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333333"/>
          <w:szCs w:val="32"/>
          <w:shd w:val="clear" w:color="auto" w:fill="FFFFFF"/>
        </w:rPr>
      </w:pPr>
      <w:r>
        <w:rPr>
          <w:rFonts w:hAnsi="黑体" w:eastAsia="黑体"/>
          <w:color w:val="333333"/>
          <w:szCs w:val="32"/>
          <w:shd w:val="clear" w:color="auto" w:fill="FFFFFF"/>
        </w:rPr>
        <w:t>附件</w:t>
      </w:r>
      <w:r>
        <w:rPr>
          <w:rFonts w:eastAsia="黑体"/>
          <w:color w:val="333333"/>
          <w:szCs w:val="32"/>
          <w:shd w:val="clear" w:color="auto" w:fill="FFFFFF"/>
        </w:rPr>
        <w:t>1</w:t>
      </w:r>
    </w:p>
    <w:p>
      <w:pPr>
        <w:jc w:val="center"/>
        <w:rPr>
          <w:rFonts w:ascii="方正小标宋简体" w:hAnsi="方正小标宋简体" w:eastAsia="方正小标宋简体" w:cs="方正小标宋简体"/>
          <w:color w:val="333333"/>
          <w:sz w:val="44"/>
          <w:szCs w:val="44"/>
          <w:shd w:val="clear" w:color="auto" w:fill="FFFFFF"/>
        </w:rPr>
      </w:pPr>
      <w:r>
        <w:rPr>
          <w:rFonts w:ascii="方正小标宋简体" w:hAnsi="方正小标宋简体" w:eastAsia="方正小标宋简体" w:cs="方正小标宋简体"/>
          <w:color w:val="333333"/>
          <w:sz w:val="44"/>
          <w:szCs w:val="44"/>
          <w:shd w:val="clear" w:color="auto" w:fill="FFFFFF"/>
        </w:rPr>
        <w:t>2021年宜春市政务公开工作要点任务分解表</w:t>
      </w:r>
    </w:p>
    <w:tbl>
      <w:tblPr>
        <w:tblStyle w:val="2"/>
        <w:tblW w:w="8825" w:type="dxa"/>
        <w:tblInd w:w="93" w:type="dxa"/>
        <w:tblLayout w:type="autofit"/>
        <w:tblCellMar>
          <w:top w:w="0" w:type="dxa"/>
          <w:left w:w="108" w:type="dxa"/>
          <w:bottom w:w="0" w:type="dxa"/>
          <w:right w:w="108" w:type="dxa"/>
        </w:tblCellMar>
      </w:tblPr>
      <w:tblGrid>
        <w:gridCol w:w="740"/>
        <w:gridCol w:w="1080"/>
        <w:gridCol w:w="3582"/>
        <w:gridCol w:w="2343"/>
        <w:gridCol w:w="1080"/>
      </w:tblGrid>
      <w:tr>
        <w:tblPrEx>
          <w:tblCellMar>
            <w:top w:w="0" w:type="dxa"/>
            <w:left w:w="108" w:type="dxa"/>
            <w:bottom w:w="0" w:type="dxa"/>
            <w:right w:w="108" w:type="dxa"/>
          </w:tblCellMar>
        </w:tblPrEx>
        <w:trPr>
          <w:trHeight w:val="300" w:hRule="atLeast"/>
          <w:tblHeader/>
        </w:trPr>
        <w:tc>
          <w:tcPr>
            <w:tcW w:w="7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rFonts w:ascii="黑体" w:hAnsi="黑体" w:eastAsia="黑体"/>
                <w:bCs/>
                <w:color w:val="333333"/>
                <w:kern w:val="0"/>
                <w:sz w:val="28"/>
                <w:szCs w:val="28"/>
              </w:rPr>
            </w:pPr>
            <w:r>
              <w:rPr>
                <w:rFonts w:ascii="黑体" w:hAnsi="黑体" w:eastAsia="黑体"/>
                <w:bCs/>
                <w:color w:val="333333"/>
                <w:kern w:val="0"/>
                <w:sz w:val="28"/>
                <w:szCs w:val="28"/>
              </w:rPr>
              <w:t>序号</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400" w:lineRule="exact"/>
              <w:jc w:val="center"/>
              <w:rPr>
                <w:rFonts w:hint="eastAsia" w:ascii="黑体" w:hAnsi="黑体" w:eastAsia="黑体"/>
                <w:bCs/>
                <w:color w:val="333333"/>
                <w:kern w:val="0"/>
                <w:sz w:val="28"/>
                <w:szCs w:val="28"/>
              </w:rPr>
            </w:pPr>
            <w:r>
              <w:rPr>
                <w:rFonts w:ascii="黑体" w:hAnsi="黑体" w:eastAsia="黑体"/>
                <w:bCs/>
                <w:color w:val="333333"/>
                <w:kern w:val="0"/>
                <w:sz w:val="28"/>
                <w:szCs w:val="28"/>
              </w:rPr>
              <w:t>任务</w:t>
            </w:r>
          </w:p>
          <w:p>
            <w:pPr>
              <w:widowControl/>
              <w:spacing w:line="400" w:lineRule="exact"/>
              <w:jc w:val="center"/>
              <w:rPr>
                <w:rFonts w:ascii="黑体" w:hAnsi="黑体" w:eastAsia="黑体"/>
                <w:bCs/>
                <w:color w:val="333333"/>
                <w:kern w:val="0"/>
                <w:sz w:val="28"/>
                <w:szCs w:val="28"/>
              </w:rPr>
            </w:pPr>
            <w:r>
              <w:rPr>
                <w:rFonts w:ascii="黑体" w:hAnsi="黑体" w:eastAsia="黑体"/>
                <w:bCs/>
                <w:color w:val="333333"/>
                <w:kern w:val="0"/>
                <w:sz w:val="28"/>
                <w:szCs w:val="28"/>
              </w:rPr>
              <w:t>名称</w:t>
            </w:r>
          </w:p>
        </w:tc>
        <w:tc>
          <w:tcPr>
            <w:tcW w:w="3582"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400" w:lineRule="exact"/>
              <w:jc w:val="center"/>
              <w:rPr>
                <w:rFonts w:ascii="黑体" w:hAnsi="黑体" w:eastAsia="黑体"/>
                <w:bCs/>
                <w:color w:val="333333"/>
                <w:kern w:val="0"/>
                <w:sz w:val="28"/>
                <w:szCs w:val="28"/>
              </w:rPr>
            </w:pPr>
            <w:r>
              <w:rPr>
                <w:rFonts w:ascii="黑体" w:hAnsi="黑体" w:eastAsia="黑体"/>
                <w:bCs/>
                <w:color w:val="333333"/>
                <w:kern w:val="0"/>
                <w:sz w:val="28"/>
                <w:szCs w:val="28"/>
              </w:rPr>
              <w:t>任务内容</w:t>
            </w:r>
          </w:p>
        </w:tc>
        <w:tc>
          <w:tcPr>
            <w:tcW w:w="234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400" w:lineRule="exact"/>
              <w:jc w:val="center"/>
              <w:rPr>
                <w:rFonts w:ascii="黑体" w:hAnsi="黑体" w:eastAsia="黑体"/>
                <w:bCs/>
                <w:color w:val="333333"/>
                <w:kern w:val="0"/>
                <w:sz w:val="28"/>
                <w:szCs w:val="28"/>
              </w:rPr>
            </w:pPr>
            <w:r>
              <w:rPr>
                <w:rFonts w:ascii="黑体" w:hAnsi="黑体" w:eastAsia="黑体"/>
                <w:bCs/>
                <w:color w:val="333333"/>
                <w:kern w:val="0"/>
                <w:sz w:val="28"/>
                <w:szCs w:val="28"/>
              </w:rPr>
              <w:t>责任单位</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400" w:lineRule="exact"/>
              <w:jc w:val="center"/>
              <w:rPr>
                <w:rFonts w:hint="eastAsia" w:ascii="黑体" w:hAnsi="黑体" w:eastAsia="黑体"/>
                <w:bCs/>
                <w:color w:val="333333"/>
                <w:kern w:val="0"/>
                <w:sz w:val="28"/>
                <w:szCs w:val="28"/>
              </w:rPr>
            </w:pPr>
            <w:r>
              <w:rPr>
                <w:rFonts w:ascii="黑体" w:hAnsi="黑体" w:eastAsia="黑体"/>
                <w:bCs/>
                <w:color w:val="333333"/>
                <w:kern w:val="0"/>
                <w:sz w:val="28"/>
                <w:szCs w:val="28"/>
              </w:rPr>
              <w:t>时间</w:t>
            </w:r>
          </w:p>
          <w:p>
            <w:pPr>
              <w:widowControl/>
              <w:spacing w:line="400" w:lineRule="exact"/>
              <w:jc w:val="center"/>
              <w:rPr>
                <w:rFonts w:ascii="黑体" w:hAnsi="黑体" w:eastAsia="黑体"/>
                <w:bCs/>
                <w:color w:val="333333"/>
                <w:kern w:val="0"/>
                <w:sz w:val="28"/>
                <w:szCs w:val="28"/>
              </w:rPr>
            </w:pPr>
            <w:r>
              <w:rPr>
                <w:rFonts w:ascii="黑体" w:hAnsi="黑体" w:eastAsia="黑体"/>
                <w:bCs/>
                <w:color w:val="333333"/>
                <w:kern w:val="0"/>
                <w:sz w:val="28"/>
                <w:szCs w:val="28"/>
              </w:rPr>
              <w:t>节点</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规范行政法规权威文本使用</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对照中国政府法制信息网行政法规库的国家正式版本，对引用或登载行政法规的网站信息，进行及时更新和完善。</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2</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推进行政规范性文件统一公开</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系统清理各地现行有效的行政规范性文件，通过本地本部门网站的专栏集中公开。</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10月底前</w:t>
            </w:r>
          </w:p>
        </w:tc>
      </w:tr>
      <w:tr>
        <w:tblPrEx>
          <w:tblCellMar>
            <w:top w:w="0" w:type="dxa"/>
            <w:left w:w="108" w:type="dxa"/>
            <w:bottom w:w="0" w:type="dxa"/>
            <w:right w:w="108" w:type="dxa"/>
          </w:tblCellMar>
        </w:tblPrEx>
        <w:trPr>
          <w:trHeight w:val="153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3</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落实公文公开属性源头审查和公开前发布审查工作机制</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各单位报请市政府或市政府办公室发文的，须填写《宜春市行政机关公文公开发布意见单》，提出公开属性建议，缺项的原则上予以退文。</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市政府各部门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785"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4</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规范政府公文管理</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政府各部门对未开展过公文公开属性源头认定的政府公文开展全面梳理和属性认定工作，整理形成涵盖本单位的重点制度文件汇编，按要求报送市政府办公室后在市政府门户网站统一公开。</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市政府各部门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9月底前</w:t>
            </w:r>
          </w:p>
        </w:tc>
      </w:tr>
      <w:tr>
        <w:tblPrEx>
          <w:tblCellMar>
            <w:top w:w="0" w:type="dxa"/>
            <w:left w:w="108" w:type="dxa"/>
            <w:bottom w:w="0" w:type="dxa"/>
            <w:right w:w="108" w:type="dxa"/>
          </w:tblCellMar>
        </w:tblPrEx>
        <w:trPr>
          <w:trHeight w:val="180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5</w:t>
            </w:r>
          </w:p>
        </w:tc>
        <w:tc>
          <w:tcPr>
            <w:tcW w:w="108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完善法定主动公开内容</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持续拓展细化主动公开的具体内容，落实专人专责，健全法定主动公开专栏的日常检查、维护和更新工作机制。持续开展“结对子找错误”活动，提高各地各部门政务公开工作人员水平。</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29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6</w:t>
            </w: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color w:val="000000"/>
                <w:kern w:val="0"/>
                <w:sz w:val="28"/>
                <w:szCs w:val="28"/>
              </w:rPr>
            </w:pP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做好各类规划集中公开，各单位要主动公开本单位“十四五”规划和专项规划，并做好历史规划（计划）的归集整理和主动公开。</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上半年</w:t>
            </w:r>
          </w:p>
        </w:tc>
      </w:tr>
      <w:tr>
        <w:tblPrEx>
          <w:tblCellMar>
            <w:top w:w="0" w:type="dxa"/>
            <w:left w:w="108" w:type="dxa"/>
            <w:bottom w:w="0" w:type="dxa"/>
            <w:right w:w="108" w:type="dxa"/>
          </w:tblCellMar>
        </w:tblPrEx>
        <w:trPr>
          <w:trHeight w:val="765"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7</w:t>
            </w: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color w:val="000000"/>
                <w:kern w:val="0"/>
                <w:sz w:val="28"/>
                <w:szCs w:val="28"/>
              </w:rPr>
            </w:pP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强化权责清单、政务服务事项清单、办事指南等权力配置和办事服务信息的调整更新。</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市政府各部门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296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8</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建立依申请公开转主动公开常态化审查机制</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对于依申请公开提供的政府信息，同步开展审查研判，符合主动公开条件的及时转为主动公开。</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2252"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9</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优化依申请公开内部办理流程</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将依申请办理工作嵌入本地本部门</w:t>
            </w:r>
            <w:r>
              <w:rPr>
                <w:rFonts w:hint="eastAsia"/>
                <w:color w:val="000000"/>
                <w:kern w:val="0"/>
                <w:sz w:val="28"/>
                <w:szCs w:val="28"/>
              </w:rPr>
              <w:t>政务</w:t>
            </w:r>
            <w:r>
              <w:rPr>
                <w:color w:val="000000"/>
                <w:kern w:val="0"/>
                <w:sz w:val="28"/>
                <w:szCs w:val="28"/>
              </w:rPr>
              <w:t>新媒体，缩短办理和答复期限，各地参照执行。</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9月底前</w:t>
            </w:r>
          </w:p>
        </w:tc>
      </w:tr>
      <w:tr>
        <w:tblPrEx>
          <w:tblCellMar>
            <w:top w:w="0" w:type="dxa"/>
            <w:left w:w="108" w:type="dxa"/>
            <w:bottom w:w="0" w:type="dxa"/>
            <w:right w:w="108" w:type="dxa"/>
          </w:tblCellMar>
        </w:tblPrEx>
        <w:trPr>
          <w:trHeight w:val="1878"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10</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加强信息处理费收费管理</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在本单位政府信息公开指南中载明收费要求和标准，加强收费管理。</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4月底前</w:t>
            </w:r>
          </w:p>
        </w:tc>
      </w:tr>
      <w:tr>
        <w:tblPrEx>
          <w:tblCellMar>
            <w:top w:w="0" w:type="dxa"/>
            <w:left w:w="108" w:type="dxa"/>
            <w:bottom w:w="0" w:type="dxa"/>
            <w:right w:w="108" w:type="dxa"/>
          </w:tblCellMar>
        </w:tblPrEx>
        <w:trPr>
          <w:trHeight w:val="139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11</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加强依申请公开研判</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充分借助法律顾问力量，对答复提出意见建议，提高答复准确性。</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409"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12</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扩大政策解读范围</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各地各部门新增的主动公开政策性文件均要开展解读。</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29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13</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加强政策解读材料质量把控</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有针对性地对政策制订过程中收集到的普遍关注点和疑惑点予以解答、说明，杜绝简单摘抄文字、罗列文件小标题等形式化解读。具体参照附</w:t>
            </w:r>
            <w:r>
              <w:rPr>
                <w:rFonts w:hint="eastAsia"/>
                <w:color w:val="000000"/>
                <w:kern w:val="0"/>
                <w:sz w:val="28"/>
                <w:szCs w:val="28"/>
              </w:rPr>
              <w:t>件</w:t>
            </w:r>
            <w:r>
              <w:rPr>
                <w:color w:val="000000"/>
                <w:kern w:val="0"/>
                <w:sz w:val="28"/>
                <w:szCs w:val="28"/>
              </w:rPr>
              <w:t>2。</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275"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14</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强化政策施行后解读</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对政策实施过程中产生的模糊认识、操作误区、执行偏差等情况，文件起草单位要开展二次解读、跟踪解读、专项解读。</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545"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15</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合理选择解读形式</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综合选用多元化解读形式，着重新闻发布会、政策通气会、图示图解、场景演示、卡通动漫、专家访谈、短视频等多元化解读形式，年内多元化解读率不得低于60%。</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16</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扩大政策解读覆盖面</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对于重要政策文件及解读材料，协调宜春发布、宜春市广播电视台等新媒体平台转发转载，提高政策知晓率。</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275"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17</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优化网上政民互动渠道</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宜春市人民政府网站要开放政策发布页面的网民留言功能，加强与“12345”政府服务热线的深度合作。</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市政府办公室牵头，各地各部门负责</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6月底前</w:t>
            </w:r>
          </w:p>
        </w:tc>
      </w:tr>
      <w:tr>
        <w:tblPrEx>
          <w:tblCellMar>
            <w:top w:w="0" w:type="dxa"/>
            <w:left w:w="108" w:type="dxa"/>
            <w:bottom w:w="0" w:type="dxa"/>
            <w:right w:w="108" w:type="dxa"/>
          </w:tblCellMar>
        </w:tblPrEx>
        <w:trPr>
          <w:trHeight w:val="1275"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18</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健全完善网站征询意见采纳、征集机制</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政策起草部门或业务主管部门负责对收集到的问题建议进行解答和回应。</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275"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19</w:t>
            </w:r>
          </w:p>
        </w:tc>
        <w:tc>
          <w:tcPr>
            <w:tcW w:w="108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实行重大行政决策事项目录管理</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确定并发布宜春市重大行政决策事项目录，后续根据决策事项的推进情况，以目录归集的方式对各项信息进行超链接展示。</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市政府办公室牵头，各地各部门执行</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744"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20</w:t>
            </w: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color w:val="000000"/>
                <w:kern w:val="0"/>
                <w:sz w:val="28"/>
                <w:szCs w:val="28"/>
              </w:rPr>
            </w:pP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各单位要结合实际，及时编制本单位的年度重大行政决策目录，并对目录内事项按照法定程序组织实施。</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21</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健全重大行政决策公众参与工作机制</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畅通人民群众参与公共政策制订的渠道，规范做好决策预公开、邀请利益相关方列席政府决策会议、会议公开等工作。</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22</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提高政府决策靶向性和质量</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制定涉企政策必须听取相关企业和行业协会意见，意见听取和采纳情况作为上会讨论的前置条件。</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2565"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23</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扩大重要决策草案意见征集的覆盖度</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360" w:lineRule="exact"/>
              <w:jc w:val="left"/>
              <w:rPr>
                <w:color w:val="000000"/>
                <w:kern w:val="0"/>
                <w:sz w:val="28"/>
                <w:szCs w:val="28"/>
              </w:rPr>
            </w:pPr>
            <w:r>
              <w:rPr>
                <w:color w:val="000000"/>
                <w:kern w:val="0"/>
                <w:sz w:val="28"/>
                <w:szCs w:val="28"/>
              </w:rPr>
              <w:t>需公开征求意见的决策草案，除在市政府门户网站公示外，还要利用好宜春发布、宜春市人民政府发布、宜春市12345政府服务热线等市民广泛使用的平台，收集社会公众对决策草案的意见建议，并在决策文件出台后向社会公开前期意见的收集、采纳情况及较为集中意见不予采纳的原因。</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29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24</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强化决策审议过程公众参与</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年内邀请企业代表、市民代表等利益相关方代表列席本单位决策会议不得少于1次，代表列席和意见发表采纳情况向社会公开。</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10月底前</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25</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动态优化更新政务公开标准目录</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持续对政务公开全领域标准化规范化目录优化调整，确保标准目录对重点业务工作的全覆盖、无遗漏。</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53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26</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强化公开事项和具体公开内容的联动展示</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在市政府门户网站醒目位置设置网页版标准目录的入口，并通过超链接等方式实现公开内容的一键查阅，便利公众通过标准目录进行公开信息的直接检索和查看。</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市政府办公室牵头，各地各部门负责</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9月底前</w:t>
            </w:r>
          </w:p>
        </w:tc>
      </w:tr>
      <w:tr>
        <w:tblPrEx>
          <w:tblCellMar>
            <w:top w:w="0" w:type="dxa"/>
            <w:left w:w="108" w:type="dxa"/>
            <w:bottom w:w="0" w:type="dxa"/>
            <w:right w:w="108" w:type="dxa"/>
          </w:tblCellMar>
        </w:tblPrEx>
        <w:trPr>
          <w:trHeight w:val="1878"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27</w:t>
            </w:r>
          </w:p>
        </w:tc>
        <w:tc>
          <w:tcPr>
            <w:tcW w:w="108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鼓励标准化规范化成果创新性应用</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加强政府门户网站、政务新媒体、“赣服通”移动端等平台联动，强化政务数据分析和落地应用。</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10月底前</w:t>
            </w:r>
          </w:p>
        </w:tc>
      </w:tr>
      <w:tr>
        <w:tblPrEx>
          <w:tblCellMar>
            <w:top w:w="0" w:type="dxa"/>
            <w:left w:w="108" w:type="dxa"/>
            <w:bottom w:w="0" w:type="dxa"/>
            <w:right w:w="108" w:type="dxa"/>
          </w:tblCellMar>
        </w:tblPrEx>
        <w:trPr>
          <w:trHeight w:val="303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28</w:t>
            </w: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color w:val="000000"/>
                <w:kern w:val="0"/>
                <w:sz w:val="28"/>
                <w:szCs w:val="28"/>
              </w:rPr>
            </w:pP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涉及26个国家基层政务公开标准化规范化试点领域的区政府各部门要在上级的指导下积极探索出台相应标准化应用产品，作为政务公开激励性指标纳入年底政务公开工作绩效考核。</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市政府办公室、市发改委、市农业农村局、市卫健委、市住建局、市公安局、市司法局、市人力资源和社会保障局、市民政局、市财政局、市教</w:t>
            </w:r>
            <w:r>
              <w:rPr>
                <w:rFonts w:hint="eastAsia"/>
                <w:color w:val="000000"/>
                <w:kern w:val="0"/>
                <w:sz w:val="28"/>
                <w:szCs w:val="28"/>
              </w:rPr>
              <w:t>体</w:t>
            </w:r>
            <w:r>
              <w:rPr>
                <w:color w:val="000000"/>
                <w:kern w:val="0"/>
                <w:sz w:val="28"/>
                <w:szCs w:val="28"/>
              </w:rPr>
              <w:t>局、市文广新旅局、市生态环境局、市市场监管局、市应急</w:t>
            </w:r>
            <w:r>
              <w:rPr>
                <w:rFonts w:hint="eastAsia"/>
                <w:color w:val="000000"/>
                <w:kern w:val="0"/>
                <w:sz w:val="28"/>
                <w:szCs w:val="28"/>
              </w:rPr>
              <w:t>管理</w:t>
            </w:r>
            <w:r>
              <w:rPr>
                <w:color w:val="000000"/>
                <w:kern w:val="0"/>
                <w:sz w:val="28"/>
                <w:szCs w:val="28"/>
              </w:rPr>
              <w:t>局、市医保局、市综合行政执法局</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10月底前</w:t>
            </w:r>
          </w:p>
        </w:tc>
      </w:tr>
      <w:tr>
        <w:tblPrEx>
          <w:tblCellMar>
            <w:top w:w="0" w:type="dxa"/>
            <w:left w:w="108" w:type="dxa"/>
            <w:bottom w:w="0" w:type="dxa"/>
            <w:right w:w="108" w:type="dxa"/>
          </w:tblCellMar>
        </w:tblPrEx>
        <w:trPr>
          <w:trHeight w:val="255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29</w:t>
            </w:r>
          </w:p>
        </w:tc>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推进标准化规范化工作向村居和公共企事业单位延伸</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加强政务公开与乡镇、村（居）务公开有效衔接，通过出台指导意见、制定通用标准目录模板等方式指导各乡镇、各村（居）委会公开包括集体资产管理、财务收支、乡村振兴、</w:t>
            </w:r>
            <w:r>
              <w:rPr>
                <w:rFonts w:hint="eastAsia"/>
                <w:color w:val="000000"/>
                <w:kern w:val="0"/>
                <w:sz w:val="28"/>
                <w:szCs w:val="28"/>
              </w:rPr>
              <w:t>养</w:t>
            </w:r>
            <w:r>
              <w:rPr>
                <w:color w:val="000000"/>
                <w:kern w:val="0"/>
                <w:sz w:val="28"/>
                <w:szCs w:val="28"/>
              </w:rPr>
              <w:t>老服务、社会救助等内容的基层自治信息，全面推进本地各乡镇、村（居）务公开标准化规范化建设。</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各县（市、区）</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10月底前</w:t>
            </w:r>
          </w:p>
        </w:tc>
      </w:tr>
      <w:tr>
        <w:tblPrEx>
          <w:tblCellMar>
            <w:top w:w="0" w:type="dxa"/>
            <w:left w:w="108" w:type="dxa"/>
            <w:bottom w:w="0" w:type="dxa"/>
            <w:right w:w="108" w:type="dxa"/>
          </w:tblCellMar>
        </w:tblPrEx>
        <w:trPr>
          <w:trHeight w:val="3862"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30</w:t>
            </w:r>
          </w:p>
        </w:tc>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推进标准化规范化工作向村居和公共企事业单位延伸</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教育、卫生健康、供水、供电、供气、供热、环境保护、公共交通等行业主管部门和市国资委要在国有企业信息公开原有基础上，按照“谁主管、谁负责”的原则，督促相关公共企事业单位研究制定公开标准和公开目录，依法全面公开各类服务信息。</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市国资委、市卫健委、市交通</w:t>
            </w:r>
            <w:r>
              <w:rPr>
                <w:rFonts w:hint="eastAsia"/>
                <w:color w:val="000000"/>
                <w:kern w:val="0"/>
                <w:sz w:val="28"/>
                <w:szCs w:val="28"/>
              </w:rPr>
              <w:t>运输</w:t>
            </w:r>
            <w:r>
              <w:rPr>
                <w:color w:val="000000"/>
                <w:kern w:val="0"/>
                <w:sz w:val="28"/>
                <w:szCs w:val="28"/>
              </w:rPr>
              <w:t>局、市教</w:t>
            </w:r>
            <w:r>
              <w:rPr>
                <w:rFonts w:hint="eastAsia"/>
                <w:color w:val="000000"/>
                <w:kern w:val="0"/>
                <w:sz w:val="28"/>
                <w:szCs w:val="28"/>
              </w:rPr>
              <w:t>体</w:t>
            </w:r>
            <w:r>
              <w:rPr>
                <w:color w:val="000000"/>
                <w:kern w:val="0"/>
                <w:sz w:val="28"/>
                <w:szCs w:val="28"/>
              </w:rPr>
              <w:t>局、市水利局、市综合行政执法局、市生态环境局</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10月底前</w:t>
            </w:r>
          </w:p>
        </w:tc>
      </w:tr>
      <w:tr>
        <w:tblPrEx>
          <w:tblCellMar>
            <w:top w:w="0" w:type="dxa"/>
            <w:left w:w="108" w:type="dxa"/>
            <w:bottom w:w="0" w:type="dxa"/>
            <w:right w:w="108" w:type="dxa"/>
          </w:tblCellMar>
        </w:tblPrEx>
        <w:trPr>
          <w:trHeight w:val="3516"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31</w:t>
            </w:r>
          </w:p>
        </w:tc>
        <w:tc>
          <w:tcPr>
            <w:tcW w:w="108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细化深化卫生健康领域信息公开</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围绕突发公共卫生事件应对强化公共卫生信息公开，做好疫情防控常态化下疫情相关政策文件的信息发布工作，加大新冠核酸检测机构点位、新冠疫苗接种政策等信息的主动推送力度，以权威信息引导社会舆论。</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市卫健委</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2428"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32</w:t>
            </w: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color w:val="000000"/>
                <w:kern w:val="0"/>
                <w:sz w:val="28"/>
                <w:szCs w:val="28"/>
              </w:rPr>
            </w:pP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进一步完善信息公开渠道，优化医院、社区医疗点等场所信息查询、就医引导等服务，切实提高医疗机构信息公开便利化水平。</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市卫健委</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929"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33</w:t>
            </w: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color w:val="000000"/>
                <w:kern w:val="0"/>
                <w:sz w:val="28"/>
                <w:szCs w:val="28"/>
              </w:rPr>
            </w:pP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全面公开行政审批、行政处罚等行政权力事项和公共服务事项，公开公共卫生监督检查情况。</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市卫健委</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34</w:t>
            </w:r>
          </w:p>
        </w:tc>
        <w:tc>
          <w:tcPr>
            <w:tcW w:w="108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细化深化市场监管领域信息公开</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严格落实市场监管行政执法公示制度，明确公示内容的采集、传递、审核、发布职责，依法公开行政权力运行信息。</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rFonts w:hint="eastAsia"/>
                <w:color w:val="000000"/>
                <w:kern w:val="0"/>
                <w:sz w:val="28"/>
                <w:szCs w:val="28"/>
                <w:lang w:eastAsia="zh-CN"/>
              </w:rPr>
              <w:t>市市场监管局</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785"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35</w:t>
            </w: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color w:val="000000"/>
                <w:kern w:val="0"/>
                <w:sz w:val="28"/>
                <w:szCs w:val="28"/>
              </w:rPr>
            </w:pP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完善各类民生相关信息的公开公示，优化食品、药品、产品质量等抽检信息栏目分类，探索抽检数据在新媒体平台以图表、动画等形式发布，加强反垄断与反不正当竞争执法信息工作。</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rFonts w:hint="eastAsia"/>
                <w:color w:val="000000"/>
                <w:kern w:val="0"/>
                <w:sz w:val="28"/>
                <w:szCs w:val="28"/>
                <w:lang w:eastAsia="zh-CN"/>
              </w:rPr>
              <w:t>市市场监管局</w:t>
            </w:r>
            <w:bookmarkStart w:id="0" w:name="_GoBack"/>
            <w:bookmarkEnd w:id="0"/>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6月底前</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36</w:t>
            </w:r>
          </w:p>
        </w:tc>
        <w:tc>
          <w:tcPr>
            <w:tcW w:w="108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细化深化生态环境领域信息公开</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重点围绕空气质量、地表水环境质量、集中式饮用水水源质量等内容持续加大信息公开和解读力度。</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市生态环境局</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37</w:t>
            </w: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color w:val="000000"/>
                <w:kern w:val="0"/>
                <w:sz w:val="28"/>
                <w:szCs w:val="28"/>
              </w:rPr>
            </w:pP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按时公开建设项目环境影响报告书（表）受理情况、拟审查公示、审批决定信息，继续做好排污许可信息公开。</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市生态环境局</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765"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38</w:t>
            </w: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color w:val="000000"/>
                <w:kern w:val="0"/>
                <w:sz w:val="28"/>
                <w:szCs w:val="28"/>
              </w:rPr>
            </w:pP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做好中央和省级生态环境保护督察情况和发现问题整改情况的公开工作。</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市生态环境局</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32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39</w:t>
            </w:r>
          </w:p>
        </w:tc>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细化深化财政资金领域信息公开</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深化推进政府采购信息公开，2021年选取部分预算单位进行政府采购意向公开试点，2022年1月1日起，公开主体实现全市各级预算单位全覆盖。</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市财政局</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40</w:t>
            </w:r>
          </w:p>
        </w:tc>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细化深化财政资金领域信息公开</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扩大单一来源采购项目公示范围，未达到公开招标数额标准的单一来源采购项目的有关信息也要向社会公示。</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市直各单位</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4258"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41</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细化深化重大建设项目领域全链条公开</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重点公开批准服务信息、批准结果信息、招标投标信息、征收土地信息、重大设计变更信息、施工有关信息、质量安全监督信息、竣工有关信息等8类信息；明确公开主体：批准服务信息、批准结果信息由批准重大建设项目和有关要件的各级政府和有关部门分别负责公开</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涉及到重大建设项目全链条公开的相关县市区和部门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280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42</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其他重点领域公开任务</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根据市级条线的部署，结合本部门重点业务和年度重点工作，确定本系统年度公开重点领域，明确细化公开内容和要求，抓好重点领域公开任务落实。</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市政府各部门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53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43</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持续深化以宜春市人民政府网站建设和管理水平</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推动政府网站的政务公开、办事服务、政民互动等版块均衡融合发展。</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3525" w:hRule="atLeast"/>
        </w:trPr>
        <w:tc>
          <w:tcPr>
            <w:tcW w:w="74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44</w:t>
            </w:r>
          </w:p>
        </w:tc>
        <w:tc>
          <w:tcPr>
            <w:tcW w:w="108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提升以宜春市人民政府发布为龙头的政务新媒体矩阵运行水平</w:t>
            </w:r>
          </w:p>
        </w:tc>
        <w:tc>
          <w:tcPr>
            <w:tcW w:w="3582"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rPr>
                <w:color w:val="000000"/>
                <w:kern w:val="0"/>
                <w:sz w:val="28"/>
                <w:szCs w:val="28"/>
              </w:rPr>
            </w:pPr>
            <w:r>
              <w:rPr>
                <w:color w:val="000000"/>
                <w:kern w:val="0"/>
                <w:sz w:val="28"/>
                <w:szCs w:val="28"/>
              </w:rPr>
              <w:t>加强对全市政务新媒体的基本运行、回应等进行监测，加大政务新媒体对政府公报、重要政策及解读材料等政府权威文本的推送和传播力度。</w:t>
            </w:r>
          </w:p>
        </w:tc>
        <w:tc>
          <w:tcPr>
            <w:tcW w:w="234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市政府办公室牵头，各地各部门负责</w:t>
            </w:r>
          </w:p>
        </w:tc>
        <w:tc>
          <w:tcPr>
            <w:tcW w:w="108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579"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color w:val="000000"/>
                <w:kern w:val="0"/>
                <w:sz w:val="28"/>
                <w:szCs w:val="2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color w:val="000000"/>
                <w:kern w:val="0"/>
                <w:sz w:val="28"/>
                <w:szCs w:val="28"/>
              </w:rPr>
            </w:pPr>
          </w:p>
        </w:tc>
        <w:tc>
          <w:tcPr>
            <w:tcW w:w="3582"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color w:val="000000"/>
                <w:kern w:val="0"/>
                <w:sz w:val="28"/>
                <w:szCs w:val="28"/>
              </w:rPr>
            </w:pPr>
          </w:p>
        </w:tc>
        <w:tc>
          <w:tcPr>
            <w:tcW w:w="2343"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CellMar>
            <w:top w:w="0" w:type="dxa"/>
            <w:left w:w="108" w:type="dxa"/>
            <w:bottom w:w="0" w:type="dxa"/>
            <w:right w:w="108" w:type="dxa"/>
          </w:tblCellMar>
        </w:tblPrEx>
        <w:trPr>
          <w:trHeight w:val="400"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color w:val="000000"/>
                <w:kern w:val="0"/>
                <w:sz w:val="28"/>
                <w:szCs w:val="2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color w:val="000000"/>
                <w:kern w:val="0"/>
                <w:sz w:val="28"/>
                <w:szCs w:val="28"/>
              </w:rPr>
            </w:pPr>
          </w:p>
        </w:tc>
        <w:tc>
          <w:tcPr>
            <w:tcW w:w="3582"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color w:val="000000"/>
                <w:kern w:val="0"/>
                <w:sz w:val="28"/>
                <w:szCs w:val="28"/>
              </w:rPr>
            </w:pPr>
          </w:p>
        </w:tc>
        <w:tc>
          <w:tcPr>
            <w:tcW w:w="2343"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CellMar>
            <w:top w:w="0" w:type="dxa"/>
            <w:left w:w="108" w:type="dxa"/>
            <w:bottom w:w="0" w:type="dxa"/>
            <w:right w:w="108" w:type="dxa"/>
          </w:tblCellMar>
        </w:tblPrEx>
        <w:trPr>
          <w:trHeight w:val="204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45</w:t>
            </w:r>
          </w:p>
        </w:tc>
        <w:tc>
          <w:tcPr>
            <w:tcW w:w="108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优化完善政务公开专区功能建设</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专区在做好依申请接收、政府信息查阅、公报免费发放、政务公开意见收集反馈等常规服务保障外，还要提供重要政策现场集中解读、公众参与活动咨询报名、政民互动平台搭建、群众办事痛点堵点问题收集等服务。</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市政府办公室、市行政审批局</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765"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46</w:t>
            </w: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color w:val="000000"/>
                <w:kern w:val="0"/>
                <w:sz w:val="28"/>
                <w:szCs w:val="28"/>
              </w:rPr>
            </w:pP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在县乡两级政府公开专区全覆盖基础上，继续探索设立有特色的政务公开专区。</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各县（市、区）</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47</w:t>
            </w:r>
          </w:p>
        </w:tc>
        <w:tc>
          <w:tcPr>
            <w:tcW w:w="108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健全组织领导和工作保障</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各地各部门主要领导年内至少听取一次政务公开工作汇报，分管领导一季度听取一次政务公开工作汇报。</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10月底前</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48</w:t>
            </w: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color w:val="000000"/>
                <w:kern w:val="0"/>
                <w:sz w:val="28"/>
                <w:szCs w:val="28"/>
              </w:rPr>
            </w:pP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配齐配强工作力量，将政务公开工作经费纳入县（市、区）政府年度预算，确保第三方评估顺利进行。</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各县（市、区）</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49</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切实提高工作培训实效</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各地每年必须开展不少于两场政务公开培训，各部门每年必须开展不少于一场政务公开培训</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10月底前</w:t>
            </w:r>
          </w:p>
        </w:tc>
      </w:tr>
      <w:tr>
        <w:tblPrEx>
          <w:tblCellMar>
            <w:top w:w="0" w:type="dxa"/>
            <w:left w:w="108" w:type="dxa"/>
            <w:bottom w:w="0" w:type="dxa"/>
            <w:right w:w="108" w:type="dxa"/>
          </w:tblCellMar>
        </w:tblPrEx>
        <w:trPr>
          <w:trHeight w:val="1785"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50</w:t>
            </w:r>
          </w:p>
        </w:tc>
        <w:tc>
          <w:tcPr>
            <w:tcW w:w="108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强化激励问责和工作监督</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进一步完善激励问责机制，对推动有力、贡献突出的单位和个人予以表彰，对工作落实不到位，考核长期落后的单位，公开通报并约谈，约谈结果按照《条例》规定向当地纪委和组织部备案。</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市政府办公室</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全年</w:t>
            </w:r>
          </w:p>
        </w:tc>
      </w:tr>
      <w:tr>
        <w:tblPrEx>
          <w:tblCellMar>
            <w:top w:w="0" w:type="dxa"/>
            <w:left w:w="108" w:type="dxa"/>
            <w:bottom w:w="0" w:type="dxa"/>
            <w:right w:w="108" w:type="dxa"/>
          </w:tblCellMar>
        </w:tblPrEx>
        <w:trPr>
          <w:trHeight w:val="1545"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51</w:t>
            </w: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color w:val="000000"/>
                <w:kern w:val="0"/>
                <w:sz w:val="28"/>
                <w:szCs w:val="28"/>
              </w:rPr>
            </w:pP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年底开展年度政务公开工作考核评估，评估结果列入政府绩效考核体系、高质量考核体系、“五型”政府考核体系，并于下一年第一季度将评估结果向社会公开。</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10月底前</w:t>
            </w:r>
          </w:p>
        </w:tc>
      </w:tr>
      <w:tr>
        <w:tblPrEx>
          <w:tblCellMar>
            <w:top w:w="0" w:type="dxa"/>
            <w:left w:w="108" w:type="dxa"/>
            <w:bottom w:w="0" w:type="dxa"/>
            <w:right w:w="108" w:type="dxa"/>
          </w:tblCellMar>
        </w:tblPrEx>
        <w:trPr>
          <w:trHeight w:val="102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52</w:t>
            </w: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color w:val="000000"/>
                <w:kern w:val="0"/>
                <w:sz w:val="28"/>
                <w:szCs w:val="28"/>
              </w:rPr>
            </w:pP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委托第三方评估机构对政务公开开展独立公正评价，评价结果作为改进和优化工作的重要参考。</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各县（市、区）</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10月底前</w:t>
            </w:r>
          </w:p>
        </w:tc>
      </w:tr>
      <w:tr>
        <w:tblPrEx>
          <w:tblCellMar>
            <w:top w:w="0" w:type="dxa"/>
            <w:left w:w="108" w:type="dxa"/>
            <w:bottom w:w="0" w:type="dxa"/>
            <w:right w:w="108" w:type="dxa"/>
          </w:tblCellMar>
        </w:tblPrEx>
        <w:trPr>
          <w:trHeight w:val="1800" w:hRule="atLeast"/>
        </w:trPr>
        <w:tc>
          <w:tcPr>
            <w:tcW w:w="740"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53</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制订年度政务公开工作计划</w:t>
            </w:r>
          </w:p>
        </w:tc>
        <w:tc>
          <w:tcPr>
            <w:tcW w:w="3582"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left"/>
              <w:rPr>
                <w:color w:val="000000"/>
                <w:kern w:val="0"/>
                <w:sz w:val="28"/>
                <w:szCs w:val="28"/>
              </w:rPr>
            </w:pPr>
            <w:r>
              <w:rPr>
                <w:color w:val="000000"/>
                <w:kern w:val="0"/>
                <w:sz w:val="28"/>
                <w:szCs w:val="28"/>
              </w:rPr>
              <w:t>结合年度重点工作和业务实际，制订本单位年度政务公开工作计划，并在本工作要点印发后20个工作日内报市政府办公室，各县（市、区）要以表格形式列出本地本年度工作要点。</w:t>
            </w:r>
          </w:p>
        </w:tc>
        <w:tc>
          <w:tcPr>
            <w:tcW w:w="2343"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各地各部门</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spacing w:line="400" w:lineRule="exact"/>
              <w:jc w:val="center"/>
              <w:rPr>
                <w:color w:val="000000"/>
                <w:kern w:val="0"/>
                <w:sz w:val="28"/>
                <w:szCs w:val="28"/>
              </w:rPr>
            </w:pPr>
            <w:r>
              <w:rPr>
                <w:color w:val="000000"/>
                <w:kern w:val="0"/>
                <w:sz w:val="28"/>
                <w:szCs w:val="28"/>
              </w:rPr>
              <w:t>5月底前</w:t>
            </w:r>
          </w:p>
        </w:tc>
      </w:tr>
    </w:tbl>
    <w:p>
      <w:pPr>
        <w:rPr>
          <w:rFonts w:ascii="黑体" w:hAnsi="黑体" w:eastAsia="黑体" w:cs="方正小标宋简体"/>
          <w:color w:val="333333"/>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22E2D"/>
    <w:rsid w:val="579A5704"/>
    <w:rsid w:val="6892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2021-05-18T09:49:00Z</dcterms:created>
  <dc:creator>卢振邦</dc:creator>
  <cp:lastModifiedBy>Administrator</cp:lastModifiedBy>
  <dcterms:modified xsi:type="dcterms:W3CDTF">2021-05-19T00:55:02Z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F7DF94D5E3F84CE48138C9DD8FC59BE8</vt:lpwstr>
  </property>
</Properties>
</file>