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left"/>
        <w:rPr>
          <w:rFonts w:hint="eastAsia" w:ascii="Times New Roman" w:hAnsi="黑体" w:eastAsia="黑体"/>
          <w:sz w:val="32"/>
          <w:szCs w:val="32"/>
        </w:rPr>
      </w:pPr>
      <w:r>
        <w:rPr>
          <w:rFonts w:hint="eastAsia" w:ascii="Times New Roman" w:hAnsi="黑体" w:eastAsia="黑体"/>
          <w:sz w:val="32"/>
          <w:szCs w:val="32"/>
        </w:rPr>
        <w:t>附件</w:t>
      </w:r>
      <w:r>
        <w:rPr>
          <w:rFonts w:ascii="Times New Roman" w:hAnsi="黑体" w:eastAsia="黑体"/>
          <w:sz w:val="32"/>
          <w:szCs w:val="32"/>
        </w:rPr>
        <w:t>3</w:t>
      </w:r>
    </w:p>
    <w:p>
      <w:pPr>
        <w:adjustRightInd w:val="0"/>
        <w:spacing w:line="620" w:lineRule="exact"/>
        <w:jc w:val="center"/>
        <w:rPr>
          <w:rFonts w:ascii="方正小标宋简体" w:hAnsi="Times New Roman" w:eastAsia="方正小标宋简体"/>
          <w:spacing w:val="-12"/>
          <w:sz w:val="42"/>
          <w:szCs w:val="42"/>
        </w:rPr>
      </w:pPr>
      <w:bookmarkStart w:id="0" w:name="_GoBack"/>
      <w:r>
        <w:rPr>
          <w:rFonts w:hint="eastAsia" w:ascii="方正小标宋简体" w:hAnsi="Times New Roman" w:eastAsia="方正小标宋简体"/>
          <w:spacing w:val="-12"/>
          <w:sz w:val="42"/>
          <w:szCs w:val="42"/>
        </w:rPr>
        <w:t>市政府决定清理规范的行政审批中介服务事项目录</w:t>
      </w:r>
    </w:p>
    <w:bookmarkEnd w:id="0"/>
    <w:p>
      <w:pPr>
        <w:adjustRightInd w:val="0"/>
        <w:spacing w:line="620" w:lineRule="exact"/>
        <w:jc w:val="center"/>
        <w:rPr>
          <w:rFonts w:hint="eastAsia" w:ascii="楷体_GB2312" w:hAnsi="Times New Roman" w:eastAsia="楷体_GB2312"/>
          <w:sz w:val="32"/>
          <w:szCs w:val="32"/>
        </w:rPr>
      </w:pPr>
      <w:r>
        <w:rPr>
          <w:rFonts w:hint="eastAsia" w:ascii="楷体_GB2312" w:hAnsi="Times New Roman" w:eastAsia="楷体_GB2312"/>
          <w:sz w:val="32"/>
          <w:szCs w:val="32"/>
        </w:rPr>
        <w:t>（共</w:t>
      </w:r>
      <w:r>
        <w:rPr>
          <w:rFonts w:ascii="Times New Roman" w:hAnsi="Times New Roman" w:eastAsia="楷体_GB2312"/>
          <w:sz w:val="32"/>
          <w:szCs w:val="32"/>
        </w:rPr>
        <w:t>13</w:t>
      </w:r>
      <w:r>
        <w:rPr>
          <w:rFonts w:hint="eastAsia" w:ascii="楷体_GB2312" w:hAnsi="Times New Roman" w:eastAsia="楷体_GB2312"/>
          <w:sz w:val="32"/>
          <w:szCs w:val="32"/>
        </w:rPr>
        <w:t>项）</w:t>
      </w:r>
    </w:p>
    <w:tbl>
      <w:tblPr>
        <w:tblStyle w:val="3"/>
        <w:tblW w:w="9095" w:type="dxa"/>
        <w:jc w:val="center"/>
        <w:tblInd w:w="0" w:type="dxa"/>
        <w:tblLayout w:type="fixed"/>
        <w:tblCellMar>
          <w:top w:w="0" w:type="dxa"/>
          <w:left w:w="0" w:type="dxa"/>
          <w:bottom w:w="0" w:type="dxa"/>
          <w:right w:w="0" w:type="dxa"/>
        </w:tblCellMar>
      </w:tblPr>
      <w:tblGrid>
        <w:gridCol w:w="472"/>
        <w:gridCol w:w="1042"/>
        <w:gridCol w:w="1594"/>
        <w:gridCol w:w="696"/>
        <w:gridCol w:w="1825"/>
        <w:gridCol w:w="1134"/>
        <w:gridCol w:w="1740"/>
        <w:gridCol w:w="592"/>
      </w:tblGrid>
      <w:tr>
        <w:tblPrEx>
          <w:tblLayout w:type="fixed"/>
          <w:tblCellMar>
            <w:top w:w="0" w:type="dxa"/>
            <w:left w:w="0" w:type="dxa"/>
            <w:bottom w:w="0" w:type="dxa"/>
            <w:right w:w="0" w:type="dxa"/>
          </w:tblCellMar>
        </w:tblPrEx>
        <w:trPr>
          <w:trHeight w:val="649" w:hRule="atLeast"/>
          <w:tblHeader/>
          <w:jc w:val="center"/>
        </w:trPr>
        <w:tc>
          <w:tcPr>
            <w:tcW w:w="472" w:type="dxa"/>
            <w:tcBorders>
              <w:top w:val="single" w:color="000000" w:sz="8"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黑体"/>
                <w:kern w:val="0"/>
                <w:szCs w:val="21"/>
              </w:rPr>
            </w:pPr>
            <w:r>
              <w:rPr>
                <w:rFonts w:ascii="Times New Roman" w:hAnsi="Times New Roman" w:eastAsia="黑体"/>
                <w:bCs/>
                <w:kern w:val="0"/>
                <w:szCs w:val="21"/>
              </w:rPr>
              <w:t>序号</w:t>
            </w:r>
          </w:p>
        </w:tc>
        <w:tc>
          <w:tcPr>
            <w:tcW w:w="1042" w:type="dxa"/>
            <w:tcBorders>
              <w:top w:val="single" w:color="000000" w:sz="8"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黑体"/>
                <w:kern w:val="0"/>
                <w:szCs w:val="21"/>
              </w:rPr>
            </w:pPr>
            <w:r>
              <w:rPr>
                <w:rFonts w:ascii="Times New Roman" w:hAnsi="Times New Roman" w:eastAsia="黑体"/>
                <w:bCs/>
                <w:kern w:val="0"/>
                <w:szCs w:val="21"/>
              </w:rPr>
              <w:t>中介服务事项名称</w:t>
            </w:r>
          </w:p>
        </w:tc>
        <w:tc>
          <w:tcPr>
            <w:tcW w:w="1594" w:type="dxa"/>
            <w:tcBorders>
              <w:top w:val="single" w:color="000000" w:sz="8"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黑体"/>
                <w:kern w:val="0"/>
                <w:szCs w:val="21"/>
              </w:rPr>
            </w:pPr>
            <w:r>
              <w:rPr>
                <w:rFonts w:ascii="Times New Roman" w:hAnsi="Times New Roman" w:eastAsia="黑体"/>
                <w:bCs/>
                <w:kern w:val="0"/>
                <w:szCs w:val="21"/>
              </w:rPr>
              <w:t>涉及的审批事项项目名称</w:t>
            </w:r>
          </w:p>
        </w:tc>
        <w:tc>
          <w:tcPr>
            <w:tcW w:w="696" w:type="dxa"/>
            <w:tcBorders>
              <w:top w:val="single" w:color="000000" w:sz="8"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黑体"/>
                <w:kern w:val="0"/>
                <w:szCs w:val="21"/>
              </w:rPr>
            </w:pPr>
            <w:r>
              <w:rPr>
                <w:rFonts w:ascii="Times New Roman" w:hAnsi="Times New Roman" w:eastAsia="黑体"/>
                <w:bCs/>
                <w:kern w:val="0"/>
                <w:szCs w:val="21"/>
              </w:rPr>
              <w:t>审批部门</w:t>
            </w:r>
          </w:p>
        </w:tc>
        <w:tc>
          <w:tcPr>
            <w:tcW w:w="1825" w:type="dxa"/>
            <w:tcBorders>
              <w:top w:val="single" w:color="000000" w:sz="8"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hint="eastAsia" w:ascii="Times New Roman" w:hAnsi="Times New Roman" w:eastAsia="黑体"/>
                <w:bCs/>
                <w:kern w:val="0"/>
                <w:szCs w:val="21"/>
              </w:rPr>
            </w:pPr>
            <w:r>
              <w:rPr>
                <w:rFonts w:ascii="Times New Roman" w:hAnsi="Times New Roman" w:eastAsia="黑体"/>
                <w:bCs/>
                <w:kern w:val="0"/>
                <w:szCs w:val="21"/>
              </w:rPr>
              <w:t>中介服务设定</w:t>
            </w:r>
          </w:p>
          <w:p>
            <w:pPr>
              <w:widowControl/>
              <w:spacing w:line="260" w:lineRule="exact"/>
              <w:jc w:val="center"/>
              <w:rPr>
                <w:rFonts w:ascii="Times New Roman" w:hAnsi="Times New Roman" w:eastAsia="黑体"/>
                <w:kern w:val="0"/>
                <w:szCs w:val="21"/>
              </w:rPr>
            </w:pPr>
            <w:r>
              <w:rPr>
                <w:rFonts w:ascii="Times New Roman" w:hAnsi="Times New Roman" w:eastAsia="黑体"/>
                <w:bCs/>
                <w:kern w:val="0"/>
                <w:szCs w:val="21"/>
              </w:rPr>
              <w:t>依据</w:t>
            </w:r>
          </w:p>
        </w:tc>
        <w:tc>
          <w:tcPr>
            <w:tcW w:w="1134"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黑体"/>
                <w:kern w:val="0"/>
                <w:szCs w:val="21"/>
              </w:rPr>
            </w:pPr>
            <w:r>
              <w:rPr>
                <w:rFonts w:ascii="Times New Roman" w:hAnsi="Times New Roman" w:eastAsia="黑体"/>
                <w:bCs/>
                <w:kern w:val="0"/>
                <w:szCs w:val="21"/>
              </w:rPr>
              <w:t>中介服务实施机构</w:t>
            </w:r>
          </w:p>
        </w:tc>
        <w:tc>
          <w:tcPr>
            <w:tcW w:w="1740" w:type="dxa"/>
            <w:tcBorders>
              <w:top w:val="single" w:color="000000" w:sz="8"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黑体"/>
                <w:kern w:val="0"/>
                <w:szCs w:val="21"/>
              </w:rPr>
            </w:pPr>
            <w:r>
              <w:rPr>
                <w:rFonts w:ascii="Times New Roman" w:hAnsi="Times New Roman" w:eastAsia="黑体"/>
                <w:bCs/>
                <w:kern w:val="0"/>
                <w:szCs w:val="21"/>
              </w:rPr>
              <w:t>处理决定</w:t>
            </w:r>
          </w:p>
        </w:tc>
        <w:tc>
          <w:tcPr>
            <w:tcW w:w="592" w:type="dxa"/>
            <w:tcBorders>
              <w:top w:val="single" w:color="000000" w:sz="8" w:space="0"/>
              <w:left w:val="nil"/>
              <w:bottom w:val="single" w:color="000000" w:sz="8" w:space="0"/>
              <w:right w:val="single" w:color="000000" w:sz="8" w:space="0"/>
            </w:tcBorders>
            <w:noWrap w:val="0"/>
            <w:vAlign w:val="center"/>
          </w:tcPr>
          <w:p>
            <w:pPr>
              <w:widowControl/>
              <w:spacing w:line="260" w:lineRule="exact"/>
              <w:jc w:val="center"/>
              <w:rPr>
                <w:rFonts w:ascii="Times New Roman" w:hAnsi="Times New Roman" w:eastAsia="黑体"/>
                <w:bCs/>
                <w:kern w:val="0"/>
                <w:szCs w:val="21"/>
              </w:rPr>
            </w:pPr>
            <w:r>
              <w:rPr>
                <w:rFonts w:ascii="Times New Roman" w:hAnsi="Times New Roman" w:eastAsia="黑体"/>
                <w:bCs/>
                <w:kern w:val="0"/>
                <w:szCs w:val="21"/>
              </w:rPr>
              <w:t>备注</w:t>
            </w:r>
          </w:p>
        </w:tc>
      </w:tr>
      <w:tr>
        <w:tblPrEx>
          <w:tblLayout w:type="fixed"/>
          <w:tblCellMar>
            <w:top w:w="0" w:type="dxa"/>
            <w:left w:w="0" w:type="dxa"/>
            <w:bottom w:w="0" w:type="dxa"/>
            <w:right w:w="0" w:type="dxa"/>
          </w:tblCellMar>
        </w:tblPrEx>
        <w:trPr>
          <w:trHeight w:val="922" w:hRule="atLeast"/>
          <w:jc w:val="center"/>
        </w:trPr>
        <w:tc>
          <w:tcPr>
            <w:tcW w:w="472" w:type="dxa"/>
            <w:tcBorders>
              <w:top w:val="nil"/>
              <w:left w:val="single" w:color="000000" w:sz="8" w:space="0"/>
              <w:bottom w:val="single" w:color="000000" w:sz="8" w:space="0"/>
              <w:right w:val="single" w:color="auto" w:sz="4"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kern w:val="0"/>
                <w:szCs w:val="21"/>
              </w:rPr>
            </w:pPr>
            <w:r>
              <w:rPr>
                <w:rFonts w:ascii="Times New Roman" w:hAnsi="Times New Roman" w:eastAsia="仿宋_GB2312"/>
                <w:kern w:val="0"/>
                <w:szCs w:val="21"/>
              </w:rPr>
              <w:t>1</w:t>
            </w:r>
          </w:p>
        </w:tc>
        <w:tc>
          <w:tcPr>
            <w:tcW w:w="104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矿山建设工程项目申请书</w:t>
            </w:r>
          </w:p>
        </w:tc>
        <w:tc>
          <w:tcPr>
            <w:tcW w:w="15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黄金矿山建设工程设计文件审批</w:t>
            </w:r>
          </w:p>
        </w:tc>
        <w:tc>
          <w:tcPr>
            <w:tcW w:w="69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市工信委</w:t>
            </w:r>
          </w:p>
        </w:tc>
        <w:tc>
          <w:tcPr>
            <w:tcW w:w="18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kern w:val="0"/>
                <w:szCs w:val="21"/>
              </w:rPr>
            </w:pPr>
            <w:r>
              <w:rPr>
                <w:rFonts w:ascii="Times New Roman" w:hAnsi="Times New Roman" w:eastAsia="仿宋_GB2312"/>
                <w:kern w:val="0"/>
                <w:szCs w:val="21"/>
              </w:rPr>
              <w:t>《中华人民共和国矿山安全法》第8条</w:t>
            </w:r>
          </w:p>
        </w:tc>
        <w:tc>
          <w:tcPr>
            <w:tcW w:w="1134" w:type="dxa"/>
            <w:tcBorders>
              <w:top w:val="nil"/>
              <w:left w:val="single" w:color="auto" w:sz="4"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kern w:val="0"/>
                <w:szCs w:val="21"/>
              </w:rPr>
            </w:pPr>
            <w:r>
              <w:rPr>
                <w:rFonts w:ascii="Times New Roman" w:eastAsia="仿宋_GB2312"/>
                <w:szCs w:val="21"/>
              </w:rPr>
              <w:t>具有相应资质的工程咨询机构</w:t>
            </w:r>
          </w:p>
        </w:tc>
        <w:tc>
          <w:tcPr>
            <w:tcW w:w="17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kern w:val="0"/>
                <w:szCs w:val="21"/>
              </w:rPr>
            </w:pPr>
            <w:r>
              <w:rPr>
                <w:rFonts w:ascii="Times New Roman" w:hAnsi="Times New Roman" w:eastAsia="仿宋_GB2312"/>
                <w:kern w:val="0"/>
                <w:szCs w:val="21"/>
              </w:rPr>
              <w:t>取消</w:t>
            </w:r>
          </w:p>
        </w:tc>
        <w:tc>
          <w:tcPr>
            <w:tcW w:w="592" w:type="dxa"/>
            <w:tcBorders>
              <w:top w:val="nil"/>
              <w:left w:val="nil"/>
              <w:bottom w:val="single" w:color="000000" w:sz="8" w:space="0"/>
              <w:right w:val="single" w:color="000000" w:sz="8" w:space="0"/>
            </w:tcBorders>
            <w:noWrap w:val="0"/>
            <w:vAlign w:val="center"/>
          </w:tcPr>
          <w:p>
            <w:pPr>
              <w:widowControl/>
              <w:spacing w:line="260" w:lineRule="exact"/>
              <w:jc w:val="center"/>
              <w:rPr>
                <w:rFonts w:ascii="Times New Roman" w:hAnsi="Times New Roman" w:eastAsia="仿宋_GB2312"/>
                <w:kern w:val="0"/>
                <w:szCs w:val="21"/>
              </w:rPr>
            </w:pPr>
          </w:p>
        </w:tc>
      </w:tr>
      <w:tr>
        <w:tblPrEx>
          <w:tblLayout w:type="fixed"/>
          <w:tblCellMar>
            <w:top w:w="0" w:type="dxa"/>
            <w:left w:w="0" w:type="dxa"/>
            <w:bottom w:w="0" w:type="dxa"/>
            <w:right w:w="0" w:type="dxa"/>
          </w:tblCellMar>
        </w:tblPrEx>
        <w:trPr>
          <w:trHeight w:val="1035" w:hRule="atLeast"/>
          <w:jc w:val="center"/>
        </w:trPr>
        <w:tc>
          <w:tcPr>
            <w:tcW w:w="472" w:type="dxa"/>
            <w:tcBorders>
              <w:top w:val="nil"/>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kern w:val="0"/>
                <w:szCs w:val="21"/>
              </w:rPr>
            </w:pPr>
            <w:r>
              <w:rPr>
                <w:rFonts w:ascii="Times New Roman" w:hAnsi="Times New Roman" w:eastAsia="仿宋_GB2312"/>
                <w:kern w:val="0"/>
                <w:szCs w:val="21"/>
              </w:rPr>
              <w:t>2</w:t>
            </w:r>
          </w:p>
        </w:tc>
        <w:tc>
          <w:tcPr>
            <w:tcW w:w="104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工程检测资料</w:t>
            </w:r>
          </w:p>
        </w:tc>
        <w:tc>
          <w:tcPr>
            <w:tcW w:w="15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房屋建筑和市政基础设施工程竣工验收备案</w:t>
            </w:r>
          </w:p>
        </w:tc>
        <w:tc>
          <w:tcPr>
            <w:tcW w:w="69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市住建局</w:t>
            </w:r>
          </w:p>
        </w:tc>
        <w:tc>
          <w:tcPr>
            <w:tcW w:w="1825" w:type="dxa"/>
            <w:tcBorders>
              <w:top w:val="single" w:color="auto" w:sz="4"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260" w:lineRule="exact"/>
              <w:jc w:val="left"/>
              <w:rPr>
                <w:rFonts w:ascii="Times New Roman" w:hAnsi="Times New Roman" w:eastAsia="仿宋_GB2312"/>
                <w:szCs w:val="21"/>
              </w:rPr>
            </w:pPr>
            <w:r>
              <w:rPr>
                <w:rFonts w:ascii="Times New Roman" w:eastAsia="仿宋_GB2312"/>
                <w:szCs w:val="21"/>
              </w:rPr>
              <w:t>《房屋建筑和市政基础设施工程竣工验收备案管理办法》第五条</w:t>
            </w:r>
          </w:p>
        </w:tc>
        <w:tc>
          <w:tcPr>
            <w:tcW w:w="1134"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r>
              <w:rPr>
                <w:rFonts w:ascii="Times New Roman" w:eastAsia="仿宋_GB2312"/>
                <w:szCs w:val="21"/>
              </w:rPr>
              <w:t>具有相应资质的工程检测机构</w:t>
            </w:r>
          </w:p>
        </w:tc>
        <w:tc>
          <w:tcPr>
            <w:tcW w:w="1740" w:type="dxa"/>
            <w:tcBorders>
              <w:top w:val="nil"/>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szCs w:val="21"/>
              </w:rPr>
            </w:pPr>
            <w:r>
              <w:rPr>
                <w:rFonts w:ascii="Times New Roman" w:eastAsia="仿宋_GB2312"/>
                <w:szCs w:val="21"/>
              </w:rPr>
              <w:t>取消</w:t>
            </w:r>
          </w:p>
        </w:tc>
        <w:tc>
          <w:tcPr>
            <w:tcW w:w="592" w:type="dxa"/>
            <w:tcBorders>
              <w:top w:val="nil"/>
              <w:left w:val="nil"/>
              <w:bottom w:val="single" w:color="000000" w:sz="8" w:space="0"/>
              <w:right w:val="single" w:color="000000" w:sz="8" w:space="0"/>
            </w:tcBorders>
            <w:noWrap w:val="0"/>
            <w:vAlign w:val="center"/>
          </w:tcPr>
          <w:p>
            <w:pPr>
              <w:widowControl/>
              <w:spacing w:line="260" w:lineRule="exact"/>
              <w:jc w:val="center"/>
              <w:rPr>
                <w:rFonts w:ascii="Times New Roman" w:hAnsi="Times New Roman" w:eastAsia="仿宋_GB2312"/>
                <w:szCs w:val="21"/>
              </w:rPr>
            </w:pPr>
          </w:p>
        </w:tc>
      </w:tr>
      <w:tr>
        <w:tblPrEx>
          <w:tblLayout w:type="fixed"/>
          <w:tblCellMar>
            <w:top w:w="0" w:type="dxa"/>
            <w:left w:w="0" w:type="dxa"/>
            <w:bottom w:w="0" w:type="dxa"/>
            <w:right w:w="0" w:type="dxa"/>
          </w:tblCellMar>
        </w:tblPrEx>
        <w:trPr>
          <w:trHeight w:val="3242" w:hRule="atLeast"/>
          <w:jc w:val="center"/>
        </w:trPr>
        <w:tc>
          <w:tcPr>
            <w:tcW w:w="472" w:type="dxa"/>
            <w:tcBorders>
              <w:top w:val="nil"/>
              <w:left w:val="single" w:color="000000" w:sz="8" w:space="0"/>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kern w:val="0"/>
                <w:szCs w:val="21"/>
              </w:rPr>
            </w:pPr>
            <w:r>
              <w:rPr>
                <w:rFonts w:ascii="Times New Roman" w:hAnsi="Times New Roman" w:eastAsia="仿宋_GB2312"/>
                <w:kern w:val="0"/>
                <w:szCs w:val="21"/>
              </w:rPr>
              <w:t>3</w:t>
            </w:r>
          </w:p>
        </w:tc>
        <w:tc>
          <w:tcPr>
            <w:tcW w:w="1042" w:type="dxa"/>
            <w:tcBorders>
              <w:top w:val="nil"/>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szCs w:val="21"/>
              </w:rPr>
            </w:pPr>
            <w:r>
              <w:rPr>
                <w:rFonts w:ascii="Times New Roman" w:eastAsia="仿宋_GB2312"/>
                <w:szCs w:val="21"/>
              </w:rPr>
              <w:t>防洪影响评价报告或初步设计编制</w:t>
            </w:r>
          </w:p>
        </w:tc>
        <w:tc>
          <w:tcPr>
            <w:tcW w:w="1594" w:type="dxa"/>
            <w:tcBorders>
              <w:top w:val="nil"/>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szCs w:val="21"/>
              </w:rPr>
            </w:pPr>
            <w:r>
              <w:rPr>
                <w:rFonts w:ascii="Times New Roman" w:eastAsia="仿宋_GB2312"/>
                <w:szCs w:val="21"/>
              </w:rPr>
              <w:t>利用堤顶、戗台、坝顶、水闸工作桥兼作公路审批</w:t>
            </w:r>
          </w:p>
        </w:tc>
        <w:tc>
          <w:tcPr>
            <w:tcW w:w="696" w:type="dxa"/>
            <w:tcBorders>
              <w:top w:val="nil"/>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szCs w:val="21"/>
              </w:rPr>
            </w:pPr>
            <w:r>
              <w:rPr>
                <w:rFonts w:ascii="Times New Roman" w:eastAsia="仿宋_GB2312"/>
                <w:szCs w:val="21"/>
              </w:rPr>
              <w:t>市水利局</w:t>
            </w:r>
          </w:p>
        </w:tc>
        <w:tc>
          <w:tcPr>
            <w:tcW w:w="1825" w:type="dxa"/>
            <w:tcBorders>
              <w:top w:val="nil"/>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pacing w:val="-6"/>
                <w:szCs w:val="21"/>
              </w:rPr>
            </w:pPr>
            <w:r>
              <w:rPr>
                <w:rFonts w:ascii="Times New Roman" w:eastAsia="仿宋_GB2312"/>
                <w:spacing w:val="-6"/>
                <w:szCs w:val="21"/>
              </w:rPr>
              <w:t>《中华人民共和国水法》第三十八条、《中华人民共和国防洪法》第三十三条、《江西省实施</w:t>
            </w:r>
            <w:r>
              <w:rPr>
                <w:rFonts w:ascii="Times New Roman" w:hAnsi="Times New Roman" w:eastAsia="仿宋_GB2312"/>
                <w:spacing w:val="-6"/>
                <w:szCs w:val="21"/>
              </w:rPr>
              <w:t>&lt;</w:t>
            </w:r>
            <w:r>
              <w:rPr>
                <w:rFonts w:ascii="Times New Roman" w:eastAsia="仿宋_GB2312"/>
                <w:spacing w:val="-6"/>
                <w:szCs w:val="21"/>
              </w:rPr>
              <w:t>中华人民共和国防洪法</w:t>
            </w:r>
            <w:r>
              <w:rPr>
                <w:rFonts w:ascii="Times New Roman" w:hAnsi="Times New Roman" w:eastAsia="仿宋_GB2312"/>
                <w:spacing w:val="-6"/>
                <w:szCs w:val="21"/>
              </w:rPr>
              <w:t>&gt;</w:t>
            </w:r>
            <w:r>
              <w:rPr>
                <w:rFonts w:ascii="Times New Roman" w:eastAsia="仿宋_GB2312"/>
                <w:spacing w:val="-6"/>
                <w:szCs w:val="21"/>
              </w:rPr>
              <w:t>办法》第二十四条、《河道管理范围内建设项目防洪评价报告编制导则（试行）》（水利部办公厅文件办建管〔</w:t>
            </w:r>
            <w:r>
              <w:rPr>
                <w:rFonts w:ascii="Times New Roman" w:hAnsi="Times New Roman" w:eastAsia="仿宋_GB2312"/>
                <w:spacing w:val="-6"/>
                <w:szCs w:val="21"/>
              </w:rPr>
              <w:t>2004</w:t>
            </w:r>
            <w:r>
              <w:rPr>
                <w:rFonts w:ascii="Times New Roman" w:eastAsia="仿宋_GB2312"/>
                <w:spacing w:val="-6"/>
                <w:szCs w:val="21"/>
              </w:rPr>
              <w:t>〕</w:t>
            </w:r>
            <w:r>
              <w:rPr>
                <w:rFonts w:ascii="Times New Roman" w:hAnsi="Times New Roman" w:eastAsia="仿宋_GB2312"/>
                <w:spacing w:val="-6"/>
                <w:szCs w:val="21"/>
              </w:rPr>
              <w:t>109</w:t>
            </w:r>
            <w:r>
              <w:rPr>
                <w:rFonts w:ascii="Times New Roman" w:eastAsia="仿宋_GB2312"/>
                <w:spacing w:val="-6"/>
                <w:szCs w:val="21"/>
              </w:rPr>
              <w:t>号）</w:t>
            </w:r>
          </w:p>
        </w:tc>
        <w:tc>
          <w:tcPr>
            <w:tcW w:w="1134" w:type="dxa"/>
            <w:tcBorders>
              <w:top w:val="nil"/>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r>
              <w:rPr>
                <w:rFonts w:ascii="Times New Roman" w:eastAsia="仿宋_GB2312"/>
                <w:szCs w:val="21"/>
              </w:rPr>
              <w:t>具有水利水电相应设计或咨询资质的机构</w:t>
            </w:r>
          </w:p>
        </w:tc>
        <w:tc>
          <w:tcPr>
            <w:tcW w:w="1740" w:type="dxa"/>
            <w:tcBorders>
              <w:top w:val="nil"/>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szCs w:val="21"/>
              </w:rPr>
            </w:pPr>
            <w:r>
              <w:rPr>
                <w:rFonts w:ascii="Times New Roman" w:eastAsia="仿宋_GB2312"/>
                <w:szCs w:val="21"/>
              </w:rPr>
              <w:t>取消</w:t>
            </w:r>
          </w:p>
        </w:tc>
        <w:tc>
          <w:tcPr>
            <w:tcW w:w="592" w:type="dxa"/>
            <w:tcBorders>
              <w:top w:val="nil"/>
              <w:left w:val="nil"/>
              <w:bottom w:val="single" w:color="auto" w:sz="4" w:space="0"/>
              <w:right w:val="single" w:color="000000" w:sz="8" w:space="0"/>
            </w:tcBorders>
            <w:noWrap w:val="0"/>
            <w:vAlign w:val="center"/>
          </w:tcPr>
          <w:p>
            <w:pPr>
              <w:widowControl/>
              <w:spacing w:line="260" w:lineRule="exact"/>
              <w:jc w:val="center"/>
              <w:rPr>
                <w:rFonts w:ascii="Times New Roman" w:hAnsi="Times New Roman" w:eastAsia="仿宋_GB2312"/>
                <w:kern w:val="0"/>
                <w:szCs w:val="21"/>
              </w:rPr>
            </w:pPr>
            <w:r>
              <w:rPr>
                <w:rFonts w:ascii="Times New Roman" w:eastAsia="仿宋_GB2312"/>
                <w:szCs w:val="21"/>
              </w:rPr>
              <w:t>该许可事项已取消</w:t>
            </w:r>
          </w:p>
        </w:tc>
      </w:tr>
      <w:tr>
        <w:tblPrEx>
          <w:tblLayout w:type="fixed"/>
          <w:tblCellMar>
            <w:top w:w="0" w:type="dxa"/>
            <w:left w:w="0" w:type="dxa"/>
            <w:bottom w:w="0" w:type="dxa"/>
            <w:right w:w="0" w:type="dxa"/>
          </w:tblCellMar>
        </w:tblPrEx>
        <w:trPr>
          <w:trHeight w:val="1274" w:hRule="atLeast"/>
          <w:jc w:val="center"/>
        </w:trPr>
        <w:tc>
          <w:tcPr>
            <w:tcW w:w="472" w:type="dxa"/>
            <w:tcBorders>
              <w:top w:val="single" w:color="auto" w:sz="4" w:space="0"/>
              <w:left w:val="single" w:color="000000" w:sz="8" w:space="0"/>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kern w:val="0"/>
                <w:szCs w:val="21"/>
              </w:rPr>
            </w:pPr>
            <w:r>
              <w:rPr>
                <w:rFonts w:ascii="Times New Roman" w:hAnsi="Times New Roman" w:eastAsia="仿宋_GB2312"/>
                <w:kern w:val="0"/>
                <w:szCs w:val="21"/>
              </w:rPr>
              <w:t>4</w:t>
            </w:r>
          </w:p>
        </w:tc>
        <w:tc>
          <w:tcPr>
            <w:tcW w:w="104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房地产开发企业年度审计报告</w:t>
            </w:r>
          </w:p>
        </w:tc>
        <w:tc>
          <w:tcPr>
            <w:tcW w:w="15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三级及以下房地产开发企业资质核准</w:t>
            </w:r>
          </w:p>
        </w:tc>
        <w:tc>
          <w:tcPr>
            <w:tcW w:w="69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市行政审批局</w:t>
            </w:r>
          </w:p>
        </w:tc>
        <w:tc>
          <w:tcPr>
            <w:tcW w:w="18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ascii="Times New Roman" w:hAnsi="Times New Roman" w:eastAsia="仿宋_GB2312"/>
                <w:szCs w:val="21"/>
              </w:rPr>
            </w:pPr>
            <w:r>
              <w:rPr>
                <w:rFonts w:ascii="Times New Roman" w:eastAsia="仿宋_GB2312"/>
                <w:szCs w:val="21"/>
              </w:rPr>
              <w:t>《房地产开发企业资质管理规定》（建设部令</w:t>
            </w:r>
            <w:r>
              <w:rPr>
                <w:rFonts w:ascii="Times New Roman" w:hAnsi="Times New Roman" w:eastAsia="仿宋_GB2312"/>
                <w:szCs w:val="21"/>
              </w:rPr>
              <w:t>77</w:t>
            </w:r>
            <w:r>
              <w:rPr>
                <w:rFonts w:ascii="Times New Roman" w:eastAsia="仿宋_GB2312"/>
                <w:szCs w:val="21"/>
              </w:rPr>
              <w:t>号）第十条、《关于规范房地产开发企业资质申报有关工作的通知》（赣建审批〔</w:t>
            </w:r>
            <w:r>
              <w:rPr>
                <w:rFonts w:ascii="Times New Roman" w:hAnsi="Times New Roman" w:eastAsia="仿宋_GB2312"/>
                <w:szCs w:val="21"/>
              </w:rPr>
              <w:t>2013</w:t>
            </w:r>
            <w:r>
              <w:rPr>
                <w:rFonts w:ascii="Times New Roman" w:eastAsia="仿宋_GB2312"/>
                <w:szCs w:val="21"/>
              </w:rPr>
              <w:t>〕</w:t>
            </w:r>
            <w:r>
              <w:rPr>
                <w:rFonts w:ascii="Times New Roman" w:hAnsi="Times New Roman" w:eastAsia="仿宋_GB2312"/>
                <w:szCs w:val="21"/>
              </w:rPr>
              <w:t>199</w:t>
            </w:r>
            <w:r>
              <w:rPr>
                <w:rFonts w:ascii="Times New Roman" w:eastAsia="仿宋_GB2312"/>
                <w:szCs w:val="21"/>
              </w:rPr>
              <w:t>号）</w:t>
            </w:r>
          </w:p>
        </w:tc>
        <w:tc>
          <w:tcPr>
            <w:tcW w:w="113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rPr>
                <w:rFonts w:ascii="Times New Roman" w:hAnsi="Times New Roman" w:eastAsia="仿宋_GB2312"/>
                <w:szCs w:val="21"/>
              </w:rPr>
            </w:pPr>
            <w:r>
              <w:rPr>
                <w:rFonts w:ascii="Times New Roman" w:eastAsia="仿宋_GB2312"/>
                <w:szCs w:val="21"/>
              </w:rPr>
              <w:t>具有相应资质的会计事务机构</w:t>
            </w:r>
          </w:p>
        </w:tc>
        <w:tc>
          <w:tcPr>
            <w:tcW w:w="1740"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szCs w:val="21"/>
              </w:rPr>
            </w:pPr>
            <w:r>
              <w:rPr>
                <w:rFonts w:ascii="Times New Roman" w:eastAsia="仿宋_GB2312"/>
                <w:szCs w:val="21"/>
              </w:rPr>
              <w:t>取消</w:t>
            </w:r>
          </w:p>
        </w:tc>
        <w:tc>
          <w:tcPr>
            <w:tcW w:w="592" w:type="dxa"/>
            <w:tcBorders>
              <w:top w:val="single" w:color="auto" w:sz="4" w:space="0"/>
              <w:left w:val="nil"/>
              <w:bottom w:val="single" w:color="auto" w:sz="4" w:space="0"/>
              <w:right w:val="single" w:color="000000" w:sz="8" w:space="0"/>
            </w:tcBorders>
            <w:noWrap w:val="0"/>
            <w:vAlign w:val="center"/>
          </w:tcPr>
          <w:p>
            <w:pPr>
              <w:widowControl/>
              <w:spacing w:line="260" w:lineRule="exact"/>
              <w:jc w:val="center"/>
              <w:rPr>
                <w:rFonts w:ascii="Times New Roman" w:hAnsi="Times New Roman" w:eastAsia="仿宋_GB2312"/>
                <w:kern w:val="0"/>
                <w:szCs w:val="21"/>
              </w:rPr>
            </w:pPr>
          </w:p>
        </w:tc>
      </w:tr>
      <w:tr>
        <w:tblPrEx>
          <w:tblLayout w:type="fixed"/>
          <w:tblCellMar>
            <w:top w:w="0" w:type="dxa"/>
            <w:left w:w="0" w:type="dxa"/>
            <w:bottom w:w="0" w:type="dxa"/>
            <w:right w:w="0" w:type="dxa"/>
          </w:tblCellMar>
        </w:tblPrEx>
        <w:trPr>
          <w:trHeight w:val="1274" w:hRule="atLeast"/>
          <w:jc w:val="center"/>
        </w:trPr>
        <w:tc>
          <w:tcPr>
            <w:tcW w:w="472" w:type="dxa"/>
            <w:tcBorders>
              <w:top w:val="single" w:color="auto" w:sz="4" w:space="0"/>
              <w:left w:val="single" w:color="000000" w:sz="8" w:space="0"/>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kern w:val="0"/>
                <w:szCs w:val="21"/>
              </w:rPr>
            </w:pPr>
            <w:r>
              <w:rPr>
                <w:rFonts w:ascii="Times New Roman" w:hAnsi="Times New Roman" w:eastAsia="仿宋_GB2312"/>
                <w:kern w:val="0"/>
                <w:szCs w:val="21"/>
              </w:rPr>
              <w:t>5</w:t>
            </w:r>
          </w:p>
        </w:tc>
        <w:tc>
          <w:tcPr>
            <w:tcW w:w="1042"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szCs w:val="21"/>
              </w:rPr>
            </w:pPr>
            <w:r>
              <w:rPr>
                <w:rFonts w:ascii="Times New Roman" w:eastAsia="仿宋_GB2312"/>
                <w:szCs w:val="21"/>
              </w:rPr>
              <w:t>人防工程监理合同</w:t>
            </w:r>
          </w:p>
        </w:tc>
        <w:tc>
          <w:tcPr>
            <w:tcW w:w="1594"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szCs w:val="21"/>
              </w:rPr>
            </w:pPr>
            <w:r>
              <w:rPr>
                <w:rFonts w:ascii="Times New Roman" w:eastAsia="仿宋_GB2312"/>
                <w:szCs w:val="21"/>
              </w:rPr>
              <w:t>结合民用建筑修建防空地下室建设项目审批（防空地下室易地建设审批）</w:t>
            </w:r>
          </w:p>
        </w:tc>
        <w:tc>
          <w:tcPr>
            <w:tcW w:w="696"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szCs w:val="21"/>
              </w:rPr>
            </w:pPr>
            <w:r>
              <w:rPr>
                <w:rFonts w:ascii="Times New Roman" w:eastAsia="仿宋_GB2312"/>
                <w:szCs w:val="21"/>
              </w:rPr>
              <w:t>市行政审批局</w:t>
            </w:r>
          </w:p>
        </w:tc>
        <w:tc>
          <w:tcPr>
            <w:tcW w:w="1825"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r>
              <w:rPr>
                <w:rFonts w:ascii="Times New Roman" w:eastAsia="仿宋_GB2312"/>
                <w:szCs w:val="21"/>
              </w:rPr>
              <w:t>《建设工程质量管理条例》（</w:t>
            </w:r>
            <w:r>
              <w:rPr>
                <w:rFonts w:ascii="Times New Roman" w:hAnsi="Times New Roman" w:eastAsia="仿宋_GB2312"/>
                <w:szCs w:val="21"/>
              </w:rPr>
              <w:t>2000</w:t>
            </w:r>
            <w:r>
              <w:rPr>
                <w:rFonts w:ascii="Times New Roman" w:eastAsia="仿宋_GB2312"/>
                <w:szCs w:val="21"/>
              </w:rPr>
              <w:t>年国务院第</w:t>
            </w:r>
            <w:r>
              <w:rPr>
                <w:rFonts w:ascii="Times New Roman" w:hAnsi="Times New Roman" w:eastAsia="仿宋_GB2312"/>
                <w:szCs w:val="21"/>
              </w:rPr>
              <w:t>279</w:t>
            </w:r>
            <w:r>
              <w:rPr>
                <w:rFonts w:ascii="Times New Roman" w:eastAsia="仿宋_GB2312"/>
                <w:szCs w:val="21"/>
              </w:rPr>
              <w:t>号令）第十二条、《江西省人民防空工程管理办法》（</w:t>
            </w:r>
            <w:r>
              <w:rPr>
                <w:rFonts w:ascii="Times New Roman" w:hAnsi="Times New Roman" w:eastAsia="仿宋_GB2312"/>
                <w:szCs w:val="21"/>
              </w:rPr>
              <w:t>2011</w:t>
            </w:r>
            <w:r>
              <w:rPr>
                <w:rFonts w:ascii="Times New Roman" w:eastAsia="仿宋_GB2312"/>
                <w:szCs w:val="21"/>
              </w:rPr>
              <w:t>年江西省人民政府第</w:t>
            </w:r>
            <w:r>
              <w:rPr>
                <w:rFonts w:ascii="Times New Roman" w:hAnsi="Times New Roman" w:eastAsia="仿宋_GB2312"/>
                <w:szCs w:val="21"/>
              </w:rPr>
              <w:t>187</w:t>
            </w:r>
            <w:r>
              <w:rPr>
                <w:rFonts w:ascii="Times New Roman" w:eastAsia="仿宋_GB2312"/>
                <w:szCs w:val="21"/>
              </w:rPr>
              <w:t>号令）第十六条</w:t>
            </w:r>
          </w:p>
        </w:tc>
        <w:tc>
          <w:tcPr>
            <w:tcW w:w="1134"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r>
              <w:rPr>
                <w:rFonts w:ascii="Times New Roman" w:eastAsia="仿宋_GB2312"/>
                <w:szCs w:val="21"/>
              </w:rPr>
              <w:t>具有相应资质的人防工程监理企业</w:t>
            </w:r>
          </w:p>
        </w:tc>
        <w:tc>
          <w:tcPr>
            <w:tcW w:w="1740"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szCs w:val="21"/>
              </w:rPr>
            </w:pPr>
            <w:r>
              <w:rPr>
                <w:rFonts w:ascii="Times New Roman" w:eastAsia="仿宋_GB2312"/>
                <w:szCs w:val="21"/>
              </w:rPr>
              <w:t>取消</w:t>
            </w:r>
          </w:p>
        </w:tc>
        <w:tc>
          <w:tcPr>
            <w:tcW w:w="592" w:type="dxa"/>
            <w:tcBorders>
              <w:top w:val="single" w:color="auto" w:sz="4" w:space="0"/>
              <w:left w:val="nil"/>
              <w:bottom w:val="single" w:color="auto" w:sz="4" w:space="0"/>
              <w:right w:val="single" w:color="000000" w:sz="8" w:space="0"/>
            </w:tcBorders>
            <w:noWrap w:val="0"/>
            <w:vAlign w:val="center"/>
          </w:tcPr>
          <w:p>
            <w:pPr>
              <w:widowControl/>
              <w:spacing w:line="260" w:lineRule="exact"/>
              <w:jc w:val="center"/>
              <w:rPr>
                <w:rFonts w:ascii="Times New Roman" w:hAnsi="Times New Roman" w:eastAsia="仿宋_GB2312"/>
                <w:kern w:val="0"/>
                <w:szCs w:val="21"/>
              </w:rPr>
            </w:pPr>
          </w:p>
        </w:tc>
      </w:tr>
      <w:tr>
        <w:tblPrEx>
          <w:tblLayout w:type="fixed"/>
          <w:tblCellMar>
            <w:top w:w="0" w:type="dxa"/>
            <w:left w:w="0" w:type="dxa"/>
            <w:bottom w:w="0" w:type="dxa"/>
            <w:right w:w="0" w:type="dxa"/>
          </w:tblCellMar>
        </w:tblPrEx>
        <w:trPr>
          <w:trHeight w:val="2143" w:hRule="atLeast"/>
          <w:jc w:val="center"/>
        </w:trPr>
        <w:tc>
          <w:tcPr>
            <w:tcW w:w="472" w:type="dxa"/>
            <w:tcBorders>
              <w:top w:val="single" w:color="auto" w:sz="4" w:space="0"/>
              <w:left w:val="single" w:color="000000" w:sz="8" w:space="0"/>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kern w:val="0"/>
                <w:szCs w:val="21"/>
              </w:rPr>
            </w:pPr>
            <w:r>
              <w:rPr>
                <w:rFonts w:ascii="Times New Roman" w:hAnsi="Times New Roman" w:eastAsia="仿宋_GB2312"/>
                <w:kern w:val="0"/>
                <w:szCs w:val="21"/>
              </w:rPr>
              <w:t>6</w:t>
            </w:r>
          </w:p>
        </w:tc>
        <w:tc>
          <w:tcPr>
            <w:tcW w:w="104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建设项目竣工环境保护验收监测报告编制</w:t>
            </w:r>
          </w:p>
        </w:tc>
        <w:tc>
          <w:tcPr>
            <w:tcW w:w="15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权限内建设项目竣工环境保护验收</w:t>
            </w:r>
          </w:p>
        </w:tc>
        <w:tc>
          <w:tcPr>
            <w:tcW w:w="69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市环保局</w:t>
            </w:r>
          </w:p>
        </w:tc>
        <w:tc>
          <w:tcPr>
            <w:tcW w:w="1825"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r>
              <w:rPr>
                <w:rFonts w:ascii="Times New Roman" w:eastAsia="仿宋_GB2312"/>
                <w:szCs w:val="21"/>
              </w:rPr>
              <w:t>《建设项目环境保护管理条例》第二十条、《建设项目竣工环境保护验收管理办法》第十一条、第十二条</w:t>
            </w:r>
          </w:p>
        </w:tc>
        <w:tc>
          <w:tcPr>
            <w:tcW w:w="1134"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r>
              <w:rPr>
                <w:rFonts w:ascii="Times New Roman" w:eastAsia="仿宋_GB2312"/>
                <w:szCs w:val="21"/>
              </w:rPr>
              <w:t>具有环境监测资质的机构</w:t>
            </w:r>
          </w:p>
        </w:tc>
        <w:tc>
          <w:tcPr>
            <w:tcW w:w="1740"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left"/>
              <w:rPr>
                <w:rFonts w:ascii="Times New Roman" w:hAnsi="Times New Roman" w:eastAsia="仿宋_GB2312"/>
                <w:szCs w:val="21"/>
              </w:rPr>
            </w:pPr>
            <w:r>
              <w:rPr>
                <w:rFonts w:ascii="Times New Roman" w:eastAsia="仿宋_GB2312"/>
                <w:szCs w:val="21"/>
              </w:rPr>
              <w:t>建设项目竣工环境保护验收监测报告编制不再由环保部门审批，由企业进行自主验收。</w:t>
            </w:r>
          </w:p>
        </w:tc>
        <w:tc>
          <w:tcPr>
            <w:tcW w:w="592" w:type="dxa"/>
            <w:tcBorders>
              <w:top w:val="single" w:color="auto" w:sz="4" w:space="0"/>
              <w:left w:val="nil"/>
              <w:bottom w:val="single" w:color="auto" w:sz="4" w:space="0"/>
              <w:right w:val="single" w:color="000000" w:sz="8" w:space="0"/>
            </w:tcBorders>
            <w:noWrap w:val="0"/>
            <w:vAlign w:val="center"/>
          </w:tcPr>
          <w:p>
            <w:pPr>
              <w:widowControl/>
              <w:spacing w:line="260" w:lineRule="exact"/>
              <w:jc w:val="center"/>
              <w:rPr>
                <w:rFonts w:ascii="Times New Roman" w:hAnsi="Times New Roman" w:eastAsia="仿宋_GB2312"/>
                <w:kern w:val="0"/>
                <w:szCs w:val="21"/>
              </w:rPr>
            </w:pPr>
          </w:p>
        </w:tc>
      </w:tr>
      <w:tr>
        <w:tblPrEx>
          <w:tblLayout w:type="fixed"/>
          <w:tblCellMar>
            <w:top w:w="0" w:type="dxa"/>
            <w:left w:w="0" w:type="dxa"/>
            <w:bottom w:w="0" w:type="dxa"/>
            <w:right w:w="0" w:type="dxa"/>
          </w:tblCellMar>
        </w:tblPrEx>
        <w:trPr>
          <w:trHeight w:val="2633" w:hRule="atLeast"/>
          <w:jc w:val="center"/>
        </w:trPr>
        <w:tc>
          <w:tcPr>
            <w:tcW w:w="472" w:type="dxa"/>
            <w:tcBorders>
              <w:top w:val="single" w:color="auto" w:sz="4" w:space="0"/>
              <w:left w:val="single" w:color="000000" w:sz="8" w:space="0"/>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kern w:val="0"/>
                <w:szCs w:val="21"/>
              </w:rPr>
            </w:pPr>
            <w:r>
              <w:rPr>
                <w:rFonts w:ascii="Times New Roman" w:hAnsi="Times New Roman" w:eastAsia="仿宋_GB2312"/>
                <w:kern w:val="0"/>
                <w:szCs w:val="21"/>
              </w:rPr>
              <w:t>7</w:t>
            </w:r>
          </w:p>
        </w:tc>
        <w:tc>
          <w:tcPr>
            <w:tcW w:w="104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工程招投标代理</w:t>
            </w:r>
          </w:p>
        </w:tc>
        <w:tc>
          <w:tcPr>
            <w:tcW w:w="15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全市水利建设项目招标投标监管</w:t>
            </w:r>
          </w:p>
        </w:tc>
        <w:tc>
          <w:tcPr>
            <w:tcW w:w="69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市水利局</w:t>
            </w:r>
          </w:p>
        </w:tc>
        <w:tc>
          <w:tcPr>
            <w:tcW w:w="1825"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r>
              <w:rPr>
                <w:rFonts w:ascii="Times New Roman" w:eastAsia="仿宋_GB2312"/>
                <w:szCs w:val="21"/>
              </w:rPr>
              <w:t>《江西省实施〈中华人民共和国招标投标法〉办法》第二章招标第十九条</w:t>
            </w:r>
          </w:p>
        </w:tc>
        <w:tc>
          <w:tcPr>
            <w:tcW w:w="1134"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r>
              <w:rPr>
                <w:rFonts w:ascii="Times New Roman" w:eastAsia="仿宋_GB2312"/>
                <w:szCs w:val="21"/>
              </w:rPr>
              <w:t>在省水利厅备案的工程招投代理咨询机构</w:t>
            </w:r>
          </w:p>
        </w:tc>
        <w:tc>
          <w:tcPr>
            <w:tcW w:w="1740"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left"/>
              <w:rPr>
                <w:rFonts w:ascii="Times New Roman" w:hAnsi="Times New Roman" w:eastAsia="仿宋_GB2312"/>
                <w:szCs w:val="21"/>
              </w:rPr>
            </w:pPr>
            <w:r>
              <w:rPr>
                <w:rFonts w:ascii="Times New Roman" w:eastAsia="仿宋_GB2312"/>
                <w:szCs w:val="21"/>
              </w:rPr>
              <w:t>招标人可自行招标或委托符合要求的招标代理机构办理招标事宜，任何单位和个人不得以任何方式为招标人指定招标代理机构。</w:t>
            </w:r>
          </w:p>
        </w:tc>
        <w:tc>
          <w:tcPr>
            <w:tcW w:w="592" w:type="dxa"/>
            <w:tcBorders>
              <w:top w:val="single" w:color="auto" w:sz="4" w:space="0"/>
              <w:left w:val="nil"/>
              <w:bottom w:val="single" w:color="auto" w:sz="4" w:space="0"/>
              <w:right w:val="single" w:color="000000" w:sz="8" w:space="0"/>
            </w:tcBorders>
            <w:noWrap w:val="0"/>
            <w:vAlign w:val="center"/>
          </w:tcPr>
          <w:p>
            <w:pPr>
              <w:widowControl/>
              <w:spacing w:line="260" w:lineRule="exact"/>
              <w:jc w:val="center"/>
              <w:rPr>
                <w:rFonts w:ascii="Times New Roman" w:hAnsi="Times New Roman" w:eastAsia="仿宋_GB2312"/>
                <w:kern w:val="0"/>
                <w:szCs w:val="21"/>
              </w:rPr>
            </w:pPr>
          </w:p>
        </w:tc>
      </w:tr>
      <w:tr>
        <w:tblPrEx>
          <w:tblLayout w:type="fixed"/>
          <w:tblCellMar>
            <w:top w:w="0" w:type="dxa"/>
            <w:left w:w="0" w:type="dxa"/>
            <w:bottom w:w="0" w:type="dxa"/>
            <w:right w:w="0" w:type="dxa"/>
          </w:tblCellMar>
        </w:tblPrEx>
        <w:trPr>
          <w:trHeight w:val="1082" w:hRule="atLeast"/>
          <w:jc w:val="center"/>
        </w:trPr>
        <w:tc>
          <w:tcPr>
            <w:tcW w:w="472" w:type="dxa"/>
            <w:tcBorders>
              <w:top w:val="single" w:color="auto" w:sz="4" w:space="0"/>
              <w:left w:val="single" w:color="000000" w:sz="8" w:space="0"/>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kern w:val="0"/>
                <w:szCs w:val="21"/>
              </w:rPr>
            </w:pPr>
            <w:r>
              <w:rPr>
                <w:rFonts w:ascii="Times New Roman" w:hAnsi="Times New Roman" w:eastAsia="仿宋_GB2312"/>
                <w:kern w:val="0"/>
                <w:szCs w:val="21"/>
              </w:rPr>
              <w:t>8</w:t>
            </w:r>
          </w:p>
        </w:tc>
        <w:tc>
          <w:tcPr>
            <w:tcW w:w="1042"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防洪影响评价报告或初步设计编制</w:t>
            </w:r>
          </w:p>
        </w:tc>
        <w:tc>
          <w:tcPr>
            <w:tcW w:w="15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河道管理范围内建设项目审查</w:t>
            </w:r>
          </w:p>
        </w:tc>
        <w:tc>
          <w:tcPr>
            <w:tcW w:w="696"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市行政审批局</w:t>
            </w:r>
          </w:p>
        </w:tc>
        <w:tc>
          <w:tcPr>
            <w:tcW w:w="1825" w:type="dxa"/>
            <w:vMerge w:val="restart"/>
            <w:tcBorders>
              <w:top w:val="single" w:color="auto" w:sz="4" w:space="0"/>
              <w:left w:val="nil"/>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r>
              <w:rPr>
                <w:rFonts w:ascii="Times New Roman" w:eastAsia="仿宋_GB2312"/>
                <w:szCs w:val="21"/>
              </w:rPr>
              <w:t>《中华人民共和国水法》第三十八条、《中华人民共和国防洪法》第三十三条、《江西省实施</w:t>
            </w:r>
            <w:r>
              <w:rPr>
                <w:rFonts w:ascii="Times New Roman" w:hAnsi="Times New Roman" w:eastAsia="仿宋_GB2312"/>
                <w:szCs w:val="21"/>
              </w:rPr>
              <w:t>&lt;</w:t>
            </w:r>
            <w:r>
              <w:rPr>
                <w:rFonts w:ascii="Times New Roman" w:eastAsia="仿宋_GB2312"/>
                <w:szCs w:val="21"/>
              </w:rPr>
              <w:t>中华人民共和国防洪法</w:t>
            </w:r>
            <w:r>
              <w:rPr>
                <w:rFonts w:ascii="Times New Roman" w:hAnsi="Times New Roman" w:eastAsia="仿宋_GB2312"/>
                <w:szCs w:val="21"/>
              </w:rPr>
              <w:t>&gt;</w:t>
            </w:r>
            <w:r>
              <w:rPr>
                <w:rFonts w:ascii="Times New Roman" w:eastAsia="仿宋_GB2312"/>
                <w:szCs w:val="21"/>
              </w:rPr>
              <w:t>办法》第二十四条、《河道管理范围内建设项目防洪评价报告编制导则（试行）》（水利部办公厅文件办建管〔</w:t>
            </w:r>
            <w:r>
              <w:rPr>
                <w:rFonts w:ascii="Times New Roman" w:hAnsi="Times New Roman" w:eastAsia="仿宋_GB2312"/>
                <w:szCs w:val="21"/>
              </w:rPr>
              <w:t>2004</w:t>
            </w:r>
            <w:r>
              <w:rPr>
                <w:rFonts w:ascii="Times New Roman" w:eastAsia="仿宋_GB2312"/>
                <w:szCs w:val="21"/>
              </w:rPr>
              <w:t>〕</w:t>
            </w:r>
            <w:r>
              <w:rPr>
                <w:rFonts w:ascii="Times New Roman" w:hAnsi="Times New Roman" w:eastAsia="仿宋_GB2312"/>
                <w:szCs w:val="21"/>
              </w:rPr>
              <w:t>109</w:t>
            </w:r>
            <w:r>
              <w:rPr>
                <w:rFonts w:ascii="Times New Roman" w:eastAsia="仿宋_GB2312"/>
                <w:szCs w:val="21"/>
              </w:rPr>
              <w:t>号）</w:t>
            </w:r>
          </w:p>
        </w:tc>
        <w:tc>
          <w:tcPr>
            <w:tcW w:w="1134" w:type="dxa"/>
            <w:vMerge w:val="restart"/>
            <w:tcBorders>
              <w:top w:val="single" w:color="auto" w:sz="4" w:space="0"/>
              <w:left w:val="nil"/>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r>
              <w:rPr>
                <w:rFonts w:ascii="Times New Roman" w:eastAsia="仿宋_GB2312"/>
                <w:szCs w:val="21"/>
              </w:rPr>
              <w:t>具有水利水电相应设计或咨询资质的机构</w:t>
            </w:r>
          </w:p>
        </w:tc>
        <w:tc>
          <w:tcPr>
            <w:tcW w:w="1740" w:type="dxa"/>
            <w:vMerge w:val="restart"/>
            <w:tcBorders>
              <w:top w:val="single" w:color="auto" w:sz="4" w:space="0"/>
              <w:left w:val="nil"/>
              <w:right w:val="single" w:color="000000" w:sz="8" w:space="0"/>
            </w:tcBorders>
            <w:noWrap w:val="0"/>
            <w:tcMar>
              <w:top w:w="0" w:type="dxa"/>
              <w:left w:w="108" w:type="dxa"/>
              <w:bottom w:w="0" w:type="dxa"/>
              <w:right w:w="108" w:type="dxa"/>
            </w:tcMar>
            <w:vAlign w:val="center"/>
          </w:tcPr>
          <w:p>
            <w:pPr>
              <w:widowControl/>
              <w:spacing w:line="260" w:lineRule="exact"/>
              <w:jc w:val="left"/>
              <w:rPr>
                <w:rFonts w:ascii="Times New Roman" w:hAnsi="Times New Roman" w:eastAsia="仿宋_GB2312"/>
                <w:szCs w:val="21"/>
              </w:rPr>
            </w:pPr>
            <w:r>
              <w:rPr>
                <w:rFonts w:ascii="Times New Roman" w:eastAsia="仿宋_GB2312"/>
                <w:szCs w:val="21"/>
              </w:rPr>
              <w:t>申请人可按要求自行编制防洪影响评价报告或初步设计，也可委托有关机构编制，审批部门不得以任何形式要求申请人必须委托特定中介机构提供服务。</w:t>
            </w:r>
          </w:p>
        </w:tc>
        <w:tc>
          <w:tcPr>
            <w:tcW w:w="592" w:type="dxa"/>
            <w:vMerge w:val="restart"/>
            <w:tcBorders>
              <w:top w:val="single" w:color="auto" w:sz="4" w:space="0"/>
              <w:left w:val="nil"/>
              <w:right w:val="single" w:color="000000" w:sz="8" w:space="0"/>
            </w:tcBorders>
            <w:noWrap w:val="0"/>
            <w:vAlign w:val="center"/>
          </w:tcPr>
          <w:p>
            <w:pPr>
              <w:widowControl/>
              <w:spacing w:line="260" w:lineRule="exact"/>
              <w:jc w:val="center"/>
              <w:rPr>
                <w:rFonts w:ascii="Times New Roman" w:hAnsi="Times New Roman" w:eastAsia="仿宋_GB2312"/>
                <w:kern w:val="0"/>
                <w:szCs w:val="21"/>
              </w:rPr>
            </w:pPr>
          </w:p>
        </w:tc>
      </w:tr>
      <w:tr>
        <w:tblPrEx>
          <w:tblLayout w:type="fixed"/>
          <w:tblCellMar>
            <w:top w:w="0" w:type="dxa"/>
            <w:left w:w="0" w:type="dxa"/>
            <w:bottom w:w="0" w:type="dxa"/>
            <w:right w:w="0" w:type="dxa"/>
          </w:tblCellMar>
        </w:tblPrEx>
        <w:trPr>
          <w:trHeight w:val="2017" w:hRule="atLeast"/>
          <w:jc w:val="center"/>
        </w:trPr>
        <w:tc>
          <w:tcPr>
            <w:tcW w:w="472" w:type="dxa"/>
            <w:tcBorders>
              <w:top w:val="single" w:color="auto" w:sz="4" w:space="0"/>
              <w:left w:val="single" w:color="000000" w:sz="8" w:space="0"/>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kern w:val="0"/>
                <w:szCs w:val="21"/>
              </w:rPr>
            </w:pPr>
            <w:r>
              <w:rPr>
                <w:rFonts w:ascii="Times New Roman" w:hAnsi="Times New Roman" w:eastAsia="仿宋_GB2312"/>
                <w:kern w:val="0"/>
                <w:szCs w:val="21"/>
              </w:rPr>
              <w:t>9</w:t>
            </w:r>
          </w:p>
        </w:tc>
        <w:tc>
          <w:tcPr>
            <w:tcW w:w="1042"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p>
        </w:tc>
        <w:tc>
          <w:tcPr>
            <w:tcW w:w="15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在河道堤防背水面保护区</w:t>
            </w:r>
            <w:r>
              <w:rPr>
                <w:rFonts w:ascii="Times New Roman" w:hAnsi="Times New Roman" w:eastAsia="仿宋_GB2312"/>
                <w:szCs w:val="21"/>
              </w:rPr>
              <w:t>500</w:t>
            </w:r>
            <w:r>
              <w:rPr>
                <w:rFonts w:ascii="Times New Roman" w:eastAsia="仿宋_GB2312"/>
                <w:szCs w:val="21"/>
              </w:rPr>
              <w:t>米内进行地下采矿以及在山区河道两侧采石、修路等活动许可</w:t>
            </w:r>
          </w:p>
        </w:tc>
        <w:tc>
          <w:tcPr>
            <w:tcW w:w="696"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p>
        </w:tc>
        <w:tc>
          <w:tcPr>
            <w:tcW w:w="1825" w:type="dxa"/>
            <w:vMerge w:val="continue"/>
            <w:tcBorders>
              <w:left w:val="nil"/>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p>
        </w:tc>
        <w:tc>
          <w:tcPr>
            <w:tcW w:w="1134" w:type="dxa"/>
            <w:vMerge w:val="continue"/>
            <w:tcBorders>
              <w:left w:val="nil"/>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p>
        </w:tc>
        <w:tc>
          <w:tcPr>
            <w:tcW w:w="1740" w:type="dxa"/>
            <w:vMerge w:val="continue"/>
            <w:tcBorders>
              <w:left w:val="nil"/>
              <w:right w:val="single" w:color="000000" w:sz="8" w:space="0"/>
            </w:tcBorders>
            <w:noWrap w:val="0"/>
            <w:tcMar>
              <w:top w:w="0" w:type="dxa"/>
              <w:left w:w="108" w:type="dxa"/>
              <w:bottom w:w="0" w:type="dxa"/>
              <w:right w:w="108" w:type="dxa"/>
            </w:tcMar>
            <w:vAlign w:val="center"/>
          </w:tcPr>
          <w:p>
            <w:pPr>
              <w:widowControl/>
              <w:spacing w:line="260" w:lineRule="exact"/>
              <w:jc w:val="left"/>
              <w:rPr>
                <w:rFonts w:ascii="Times New Roman" w:hAnsi="Times New Roman" w:eastAsia="仿宋_GB2312"/>
                <w:szCs w:val="21"/>
              </w:rPr>
            </w:pPr>
          </w:p>
        </w:tc>
        <w:tc>
          <w:tcPr>
            <w:tcW w:w="592" w:type="dxa"/>
            <w:vMerge w:val="continue"/>
            <w:tcBorders>
              <w:left w:val="nil"/>
              <w:right w:val="single" w:color="000000" w:sz="8" w:space="0"/>
            </w:tcBorders>
            <w:noWrap w:val="0"/>
            <w:vAlign w:val="center"/>
          </w:tcPr>
          <w:p>
            <w:pPr>
              <w:widowControl/>
              <w:spacing w:line="260" w:lineRule="exact"/>
              <w:jc w:val="center"/>
              <w:rPr>
                <w:rFonts w:ascii="Times New Roman" w:hAnsi="Times New Roman" w:eastAsia="仿宋_GB2312"/>
                <w:kern w:val="0"/>
                <w:szCs w:val="21"/>
              </w:rPr>
            </w:pPr>
          </w:p>
        </w:tc>
      </w:tr>
      <w:tr>
        <w:tblPrEx>
          <w:tblLayout w:type="fixed"/>
          <w:tblCellMar>
            <w:top w:w="0" w:type="dxa"/>
            <w:left w:w="0" w:type="dxa"/>
            <w:bottom w:w="0" w:type="dxa"/>
            <w:right w:w="0" w:type="dxa"/>
          </w:tblCellMar>
        </w:tblPrEx>
        <w:trPr>
          <w:trHeight w:val="2170" w:hRule="atLeast"/>
          <w:jc w:val="center"/>
        </w:trPr>
        <w:tc>
          <w:tcPr>
            <w:tcW w:w="472" w:type="dxa"/>
            <w:tcBorders>
              <w:top w:val="single" w:color="auto" w:sz="4" w:space="0"/>
              <w:left w:val="single" w:color="000000" w:sz="8" w:space="0"/>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kern w:val="0"/>
                <w:szCs w:val="21"/>
              </w:rPr>
            </w:pPr>
            <w:r>
              <w:rPr>
                <w:rFonts w:ascii="Times New Roman" w:hAnsi="Times New Roman" w:eastAsia="仿宋_GB2312"/>
                <w:kern w:val="0"/>
                <w:szCs w:val="21"/>
              </w:rPr>
              <w:t>10</w:t>
            </w:r>
          </w:p>
        </w:tc>
        <w:tc>
          <w:tcPr>
            <w:tcW w:w="1042"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p>
        </w:tc>
        <w:tc>
          <w:tcPr>
            <w:tcW w:w="15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影响河道安全以及水文监测作业、防汛、通信、通航安全的作业活动保护措施审查</w:t>
            </w:r>
          </w:p>
        </w:tc>
        <w:tc>
          <w:tcPr>
            <w:tcW w:w="696"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p>
        </w:tc>
        <w:tc>
          <w:tcPr>
            <w:tcW w:w="1825" w:type="dxa"/>
            <w:vMerge w:val="continue"/>
            <w:tcBorders>
              <w:left w:val="nil"/>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p>
        </w:tc>
        <w:tc>
          <w:tcPr>
            <w:tcW w:w="1134" w:type="dxa"/>
            <w:vMerge w:val="continue"/>
            <w:tcBorders>
              <w:left w:val="nil"/>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p>
        </w:tc>
        <w:tc>
          <w:tcPr>
            <w:tcW w:w="1740" w:type="dxa"/>
            <w:vMerge w:val="continue"/>
            <w:tcBorders>
              <w:left w:val="nil"/>
              <w:right w:val="single" w:color="000000" w:sz="8" w:space="0"/>
            </w:tcBorders>
            <w:noWrap w:val="0"/>
            <w:tcMar>
              <w:top w:w="0" w:type="dxa"/>
              <w:left w:w="108" w:type="dxa"/>
              <w:bottom w:w="0" w:type="dxa"/>
              <w:right w:w="108" w:type="dxa"/>
            </w:tcMar>
            <w:vAlign w:val="center"/>
          </w:tcPr>
          <w:p>
            <w:pPr>
              <w:widowControl/>
              <w:spacing w:line="260" w:lineRule="exact"/>
              <w:jc w:val="left"/>
              <w:rPr>
                <w:rFonts w:ascii="Times New Roman" w:hAnsi="Times New Roman" w:eastAsia="仿宋_GB2312"/>
                <w:szCs w:val="21"/>
              </w:rPr>
            </w:pPr>
          </w:p>
        </w:tc>
        <w:tc>
          <w:tcPr>
            <w:tcW w:w="592" w:type="dxa"/>
            <w:vMerge w:val="continue"/>
            <w:tcBorders>
              <w:left w:val="nil"/>
              <w:right w:val="single" w:color="000000" w:sz="8" w:space="0"/>
            </w:tcBorders>
            <w:noWrap w:val="0"/>
            <w:vAlign w:val="center"/>
          </w:tcPr>
          <w:p>
            <w:pPr>
              <w:widowControl/>
              <w:spacing w:line="260" w:lineRule="exact"/>
              <w:jc w:val="center"/>
              <w:rPr>
                <w:rFonts w:ascii="Times New Roman" w:hAnsi="Times New Roman" w:eastAsia="仿宋_GB2312"/>
                <w:kern w:val="0"/>
                <w:szCs w:val="21"/>
              </w:rPr>
            </w:pPr>
          </w:p>
        </w:tc>
      </w:tr>
      <w:tr>
        <w:tblPrEx>
          <w:tblLayout w:type="fixed"/>
          <w:tblCellMar>
            <w:top w:w="0" w:type="dxa"/>
            <w:left w:w="0" w:type="dxa"/>
            <w:bottom w:w="0" w:type="dxa"/>
            <w:right w:w="0" w:type="dxa"/>
          </w:tblCellMar>
        </w:tblPrEx>
        <w:trPr>
          <w:trHeight w:val="1689" w:hRule="atLeast"/>
          <w:jc w:val="center"/>
        </w:trPr>
        <w:tc>
          <w:tcPr>
            <w:tcW w:w="472" w:type="dxa"/>
            <w:tcBorders>
              <w:top w:val="single" w:color="auto" w:sz="4" w:space="0"/>
              <w:left w:val="single" w:color="000000" w:sz="8" w:space="0"/>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kern w:val="0"/>
                <w:szCs w:val="21"/>
              </w:rPr>
            </w:pPr>
            <w:r>
              <w:rPr>
                <w:rFonts w:ascii="Times New Roman" w:hAnsi="Times New Roman" w:eastAsia="仿宋_GB2312"/>
                <w:kern w:val="0"/>
                <w:szCs w:val="21"/>
              </w:rPr>
              <w:t>11</w:t>
            </w:r>
          </w:p>
        </w:tc>
        <w:tc>
          <w:tcPr>
            <w:tcW w:w="1042"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p>
        </w:tc>
        <w:tc>
          <w:tcPr>
            <w:tcW w:w="15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在跨行政区域的边界河道修建水工程以及河道整治工程的许可</w:t>
            </w:r>
          </w:p>
        </w:tc>
        <w:tc>
          <w:tcPr>
            <w:tcW w:w="696"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p>
        </w:tc>
        <w:tc>
          <w:tcPr>
            <w:tcW w:w="1825" w:type="dxa"/>
            <w:vMerge w:val="continue"/>
            <w:tcBorders>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p>
        </w:tc>
        <w:tc>
          <w:tcPr>
            <w:tcW w:w="1134" w:type="dxa"/>
            <w:vMerge w:val="continue"/>
            <w:tcBorders>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p>
        </w:tc>
        <w:tc>
          <w:tcPr>
            <w:tcW w:w="1740" w:type="dxa"/>
            <w:vMerge w:val="continue"/>
            <w:tcBorders>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left"/>
              <w:rPr>
                <w:rFonts w:ascii="Times New Roman" w:hAnsi="Times New Roman" w:eastAsia="仿宋_GB2312"/>
                <w:szCs w:val="21"/>
              </w:rPr>
            </w:pPr>
          </w:p>
        </w:tc>
        <w:tc>
          <w:tcPr>
            <w:tcW w:w="592" w:type="dxa"/>
            <w:vMerge w:val="continue"/>
            <w:tcBorders>
              <w:left w:val="nil"/>
              <w:bottom w:val="single" w:color="auto" w:sz="4" w:space="0"/>
              <w:right w:val="single" w:color="000000" w:sz="8" w:space="0"/>
            </w:tcBorders>
            <w:noWrap w:val="0"/>
            <w:vAlign w:val="center"/>
          </w:tcPr>
          <w:p>
            <w:pPr>
              <w:widowControl/>
              <w:spacing w:line="260" w:lineRule="exact"/>
              <w:jc w:val="center"/>
              <w:rPr>
                <w:rFonts w:ascii="Times New Roman" w:hAnsi="Times New Roman" w:eastAsia="仿宋_GB2312"/>
                <w:kern w:val="0"/>
                <w:szCs w:val="21"/>
              </w:rPr>
            </w:pPr>
          </w:p>
        </w:tc>
      </w:tr>
      <w:tr>
        <w:tblPrEx>
          <w:tblLayout w:type="fixed"/>
          <w:tblCellMar>
            <w:top w:w="0" w:type="dxa"/>
            <w:left w:w="0" w:type="dxa"/>
            <w:bottom w:w="0" w:type="dxa"/>
            <w:right w:w="0" w:type="dxa"/>
          </w:tblCellMar>
        </w:tblPrEx>
        <w:trPr>
          <w:trHeight w:val="2922" w:hRule="atLeast"/>
          <w:jc w:val="center"/>
        </w:trPr>
        <w:tc>
          <w:tcPr>
            <w:tcW w:w="472" w:type="dxa"/>
            <w:tcBorders>
              <w:top w:val="single" w:color="auto" w:sz="4" w:space="0"/>
              <w:left w:val="single" w:color="000000" w:sz="8" w:space="0"/>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kern w:val="0"/>
                <w:szCs w:val="21"/>
              </w:rPr>
            </w:pPr>
            <w:r>
              <w:rPr>
                <w:rFonts w:ascii="Times New Roman" w:hAnsi="Times New Roman" w:eastAsia="仿宋_GB2312"/>
                <w:kern w:val="0"/>
                <w:szCs w:val="21"/>
              </w:rPr>
              <w:t>12</w:t>
            </w:r>
          </w:p>
        </w:tc>
        <w:tc>
          <w:tcPr>
            <w:tcW w:w="104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安全鉴定书和新运行方案</w:t>
            </w:r>
          </w:p>
        </w:tc>
        <w:tc>
          <w:tcPr>
            <w:tcW w:w="15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大中型水库险坝改变原设计运行方式审批</w:t>
            </w:r>
          </w:p>
        </w:tc>
        <w:tc>
          <w:tcPr>
            <w:tcW w:w="69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市行政审批局</w:t>
            </w:r>
          </w:p>
        </w:tc>
        <w:tc>
          <w:tcPr>
            <w:tcW w:w="1825"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r>
              <w:rPr>
                <w:rFonts w:ascii="Times New Roman" w:eastAsia="仿宋_GB2312"/>
                <w:szCs w:val="21"/>
              </w:rPr>
              <w:t>《水库大坝安全管理条例》（国务院令第</w:t>
            </w:r>
            <w:r>
              <w:rPr>
                <w:rFonts w:ascii="Times New Roman" w:hAnsi="Times New Roman" w:eastAsia="仿宋_GB2312"/>
                <w:szCs w:val="21"/>
              </w:rPr>
              <w:t>77</w:t>
            </w:r>
            <w:r>
              <w:rPr>
                <w:rFonts w:ascii="Times New Roman" w:eastAsia="仿宋_GB2312"/>
                <w:szCs w:val="21"/>
              </w:rPr>
              <w:t>号）第二十七条、《水库降等与报废管理办法（试行）》（水利部令第</w:t>
            </w:r>
            <w:r>
              <w:rPr>
                <w:rFonts w:ascii="Times New Roman" w:hAnsi="Times New Roman" w:eastAsia="仿宋_GB2312"/>
                <w:szCs w:val="21"/>
              </w:rPr>
              <w:t>18</w:t>
            </w:r>
            <w:r>
              <w:rPr>
                <w:rFonts w:ascii="Times New Roman" w:eastAsia="仿宋_GB2312"/>
                <w:szCs w:val="21"/>
              </w:rPr>
              <w:t>号）第十一条</w:t>
            </w:r>
          </w:p>
        </w:tc>
        <w:tc>
          <w:tcPr>
            <w:tcW w:w="1134"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r>
              <w:rPr>
                <w:rFonts w:ascii="Times New Roman" w:eastAsia="仿宋_GB2312"/>
                <w:szCs w:val="21"/>
              </w:rPr>
              <w:t>具有水利水电相应设计或咨询资质的机构</w:t>
            </w:r>
          </w:p>
        </w:tc>
        <w:tc>
          <w:tcPr>
            <w:tcW w:w="1740" w:type="dxa"/>
            <w:tcBorders>
              <w:top w:val="single" w:color="auto" w:sz="4" w:space="0"/>
              <w:left w:val="nil"/>
              <w:bottom w:val="single" w:color="auto" w:sz="4" w:space="0"/>
              <w:right w:val="single" w:color="000000" w:sz="8" w:space="0"/>
            </w:tcBorders>
            <w:noWrap w:val="0"/>
            <w:tcMar>
              <w:top w:w="0" w:type="dxa"/>
              <w:left w:w="108" w:type="dxa"/>
              <w:bottom w:w="0" w:type="dxa"/>
              <w:right w:w="108" w:type="dxa"/>
            </w:tcMar>
            <w:vAlign w:val="center"/>
          </w:tcPr>
          <w:p>
            <w:pPr>
              <w:widowControl/>
              <w:spacing w:line="260" w:lineRule="exact"/>
              <w:jc w:val="left"/>
              <w:rPr>
                <w:rFonts w:ascii="Times New Roman" w:hAnsi="Times New Roman" w:eastAsia="仿宋_GB2312"/>
                <w:szCs w:val="21"/>
              </w:rPr>
            </w:pPr>
            <w:r>
              <w:rPr>
                <w:rFonts w:ascii="Times New Roman" w:eastAsia="仿宋_GB2312"/>
                <w:szCs w:val="21"/>
              </w:rPr>
              <w:t>申请人可按要求自行编制安全鉴定书和新运行方案，也可委托有关机构编制，审批部门不得以任何形式要求申请人必须委托特定中介机构提供服务。</w:t>
            </w:r>
          </w:p>
        </w:tc>
        <w:tc>
          <w:tcPr>
            <w:tcW w:w="592" w:type="dxa"/>
            <w:tcBorders>
              <w:top w:val="single" w:color="auto" w:sz="4" w:space="0"/>
              <w:left w:val="nil"/>
              <w:bottom w:val="single" w:color="auto" w:sz="4" w:space="0"/>
              <w:right w:val="single" w:color="000000" w:sz="8" w:space="0"/>
            </w:tcBorders>
            <w:noWrap w:val="0"/>
            <w:vAlign w:val="center"/>
          </w:tcPr>
          <w:p>
            <w:pPr>
              <w:widowControl/>
              <w:spacing w:line="260" w:lineRule="exact"/>
              <w:jc w:val="center"/>
              <w:rPr>
                <w:rFonts w:ascii="Times New Roman" w:hAnsi="Times New Roman" w:eastAsia="仿宋_GB2312"/>
                <w:kern w:val="0"/>
                <w:szCs w:val="21"/>
              </w:rPr>
            </w:pPr>
          </w:p>
        </w:tc>
      </w:tr>
      <w:tr>
        <w:tblPrEx>
          <w:tblLayout w:type="fixed"/>
          <w:tblCellMar>
            <w:top w:w="0" w:type="dxa"/>
            <w:left w:w="0" w:type="dxa"/>
            <w:bottom w:w="0" w:type="dxa"/>
            <w:right w:w="0" w:type="dxa"/>
          </w:tblCellMar>
        </w:tblPrEx>
        <w:trPr>
          <w:trHeight w:val="2021" w:hRule="atLeast"/>
          <w:jc w:val="center"/>
        </w:trPr>
        <w:tc>
          <w:tcPr>
            <w:tcW w:w="472" w:type="dxa"/>
            <w:tcBorders>
              <w:top w:val="single" w:color="auto" w:sz="4" w:space="0"/>
              <w:left w:val="single" w:color="000000" w:sz="8" w:space="0"/>
              <w:bottom w:val="single" w:color="000000" w:sz="8" w:space="0"/>
              <w:right w:val="single" w:color="000000" w:sz="8" w:space="0"/>
            </w:tcBorders>
            <w:noWrap w:val="0"/>
            <w:tcMar>
              <w:top w:w="0" w:type="dxa"/>
              <w:left w:w="108" w:type="dxa"/>
              <w:bottom w:w="0" w:type="dxa"/>
              <w:right w:w="108" w:type="dxa"/>
            </w:tcMar>
            <w:vAlign w:val="center"/>
          </w:tcPr>
          <w:p>
            <w:pPr>
              <w:widowControl/>
              <w:spacing w:line="260" w:lineRule="exact"/>
              <w:jc w:val="center"/>
              <w:rPr>
                <w:rFonts w:ascii="Times New Roman" w:hAnsi="Times New Roman" w:eastAsia="仿宋_GB2312"/>
                <w:kern w:val="0"/>
                <w:szCs w:val="21"/>
              </w:rPr>
            </w:pPr>
            <w:r>
              <w:rPr>
                <w:rFonts w:ascii="Times New Roman" w:hAnsi="Times New Roman" w:eastAsia="仿宋_GB2312"/>
                <w:kern w:val="0"/>
                <w:szCs w:val="21"/>
              </w:rPr>
              <w:t>13</w:t>
            </w:r>
          </w:p>
        </w:tc>
        <w:tc>
          <w:tcPr>
            <w:tcW w:w="1042"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食品检验报告</w:t>
            </w:r>
          </w:p>
        </w:tc>
        <w:tc>
          <w:tcPr>
            <w:tcW w:w="15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食品许可证核发（大米、小麦粉、可可制品、焙炒咖啡）</w:t>
            </w:r>
          </w:p>
        </w:tc>
        <w:tc>
          <w:tcPr>
            <w:tcW w:w="69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260" w:lineRule="exact"/>
              <w:jc w:val="center"/>
              <w:rPr>
                <w:rFonts w:ascii="Times New Roman" w:hAnsi="Times New Roman" w:eastAsia="仿宋_GB2312"/>
                <w:szCs w:val="21"/>
              </w:rPr>
            </w:pPr>
            <w:r>
              <w:rPr>
                <w:rFonts w:ascii="Times New Roman" w:eastAsia="仿宋_GB2312"/>
                <w:szCs w:val="21"/>
              </w:rPr>
              <w:t>市市监局</w:t>
            </w:r>
          </w:p>
        </w:tc>
        <w:tc>
          <w:tcPr>
            <w:tcW w:w="1825" w:type="dxa"/>
            <w:tcBorders>
              <w:top w:val="single" w:color="auto" w:sz="4"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r>
              <w:rPr>
                <w:rFonts w:ascii="Times New Roman" w:eastAsia="仿宋_GB2312"/>
                <w:szCs w:val="21"/>
              </w:rPr>
              <w:t>《食品生产许可管理办法》（国家食品药品监督管理总局令第</w:t>
            </w:r>
            <w:r>
              <w:rPr>
                <w:rFonts w:ascii="Times New Roman" w:hAnsi="Times New Roman" w:eastAsia="仿宋_GB2312"/>
                <w:szCs w:val="21"/>
              </w:rPr>
              <w:t>16</w:t>
            </w:r>
            <w:r>
              <w:rPr>
                <w:rFonts w:ascii="Times New Roman" w:eastAsia="仿宋_GB2312"/>
                <w:szCs w:val="21"/>
              </w:rPr>
              <w:t>号）第三章第二十条第二款</w:t>
            </w:r>
          </w:p>
        </w:tc>
        <w:tc>
          <w:tcPr>
            <w:tcW w:w="1134" w:type="dxa"/>
            <w:tcBorders>
              <w:top w:val="single" w:color="auto" w:sz="4"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260" w:lineRule="exact"/>
              <w:rPr>
                <w:rFonts w:ascii="Times New Roman" w:hAnsi="Times New Roman" w:eastAsia="仿宋_GB2312"/>
                <w:szCs w:val="21"/>
              </w:rPr>
            </w:pPr>
            <w:r>
              <w:rPr>
                <w:rFonts w:ascii="Times New Roman" w:eastAsia="仿宋_GB2312"/>
                <w:szCs w:val="21"/>
              </w:rPr>
              <w:t>具有相应资质的食品检验机构</w:t>
            </w:r>
          </w:p>
        </w:tc>
        <w:tc>
          <w:tcPr>
            <w:tcW w:w="1740" w:type="dxa"/>
            <w:tcBorders>
              <w:top w:val="single" w:color="auto" w:sz="4" w:space="0"/>
              <w:left w:val="nil"/>
              <w:bottom w:val="single" w:color="000000" w:sz="8" w:space="0"/>
              <w:right w:val="single" w:color="000000" w:sz="8" w:space="0"/>
            </w:tcBorders>
            <w:noWrap w:val="0"/>
            <w:tcMar>
              <w:top w:w="0" w:type="dxa"/>
              <w:left w:w="108" w:type="dxa"/>
              <w:bottom w:w="0" w:type="dxa"/>
              <w:right w:w="108" w:type="dxa"/>
            </w:tcMar>
            <w:vAlign w:val="center"/>
          </w:tcPr>
          <w:p>
            <w:pPr>
              <w:widowControl/>
              <w:spacing w:line="260" w:lineRule="exact"/>
              <w:jc w:val="left"/>
              <w:rPr>
                <w:rFonts w:ascii="Times New Roman" w:hAnsi="Times New Roman" w:eastAsia="仿宋_GB2312"/>
                <w:szCs w:val="21"/>
              </w:rPr>
            </w:pPr>
            <w:r>
              <w:rPr>
                <w:rFonts w:ascii="Times New Roman" w:eastAsia="仿宋_GB2312"/>
                <w:szCs w:val="21"/>
              </w:rPr>
              <w:t>食品检验报告可由有检验能力的生产企业自行提供，或由市场监管部门出具抽检报告。</w:t>
            </w:r>
          </w:p>
        </w:tc>
        <w:tc>
          <w:tcPr>
            <w:tcW w:w="592" w:type="dxa"/>
            <w:tcBorders>
              <w:top w:val="single" w:color="auto" w:sz="4" w:space="0"/>
              <w:left w:val="nil"/>
              <w:bottom w:val="single" w:color="000000" w:sz="8" w:space="0"/>
              <w:right w:val="single" w:color="000000" w:sz="8" w:space="0"/>
            </w:tcBorders>
            <w:noWrap w:val="0"/>
            <w:vAlign w:val="center"/>
          </w:tcPr>
          <w:p>
            <w:pPr>
              <w:widowControl/>
              <w:spacing w:line="260" w:lineRule="exact"/>
              <w:jc w:val="center"/>
              <w:rPr>
                <w:rFonts w:ascii="Times New Roman" w:hAnsi="Times New Roman" w:eastAsia="仿宋_GB2312"/>
                <w:kern w:val="0"/>
                <w:szCs w:val="21"/>
              </w:rPr>
            </w:pPr>
          </w:p>
        </w:tc>
      </w:tr>
    </w:tbl>
    <w:p/>
    <w:sectPr>
      <w:pgSz w:w="11906" w:h="16838"/>
      <w:pgMar w:top="1701" w:right="1587"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454D54"/>
    <w:rsid w:val="25464076"/>
    <w:rsid w:val="30454D54"/>
    <w:rsid w:val="36F23BBA"/>
    <w:rsid w:val="3A384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2019-01-03T07:25:00Z</dcterms:created>
  <dc:creator>️</dc:creator>
  <cp:lastModifiedBy>️</cp:lastModifiedBy>
  <dcterms:modified xsi:type="dcterms:W3CDTF">2019-01-03T07:28:09Z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