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黑体"/>
          <w:kern w:val="0"/>
          <w:szCs w:val="32"/>
          <w:shd w:val="clear" w:color="auto" w:fill="FFFFFF"/>
        </w:rPr>
      </w:pPr>
      <w:r>
        <w:rPr>
          <w:rFonts w:eastAsia="黑体"/>
          <w:kern w:val="0"/>
          <w:szCs w:val="32"/>
          <w:shd w:val="clear" w:color="auto" w:fill="FFFFFF"/>
        </w:rPr>
        <w:t>附件2</w:t>
      </w:r>
    </w:p>
    <w:p>
      <w:pPr>
        <w:adjustRightInd w:val="0"/>
        <w:snapToGrid w:val="0"/>
        <w:spacing w:before="120" w:beforeLines="50" w:after="240" w:afterLines="100"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353060</wp:posOffset>
                </wp:positionV>
                <wp:extent cx="412750" cy="5147310"/>
                <wp:effectExtent l="4445" t="4445" r="2095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514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7.8pt;height:405.3pt;width:32.5pt;z-index:251664384;mso-width-relative:page;mso-height-relative:page;" fillcolor="#FFFFFF" filled="t" stroked="t" coordsize="21600,21600" o:gfxdata="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4xcjVAAAACQEAAA8AAAAAAAAAAQAgAAAAIgAAAGRycy9kb3ducmV2LnhtbFBLAQIU&#10;ABQAAAAIAIdO4kDBmImm9gEAAPYDAAAOAAAAAAAAAAEAIAAAACQ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6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宜春市富硒农业产业三年任务分解表</w:t>
      </w:r>
    </w:p>
    <w:bookmarkEnd w:id="0"/>
    <w:tbl>
      <w:tblPr>
        <w:tblStyle w:val="5"/>
        <w:tblW w:w="1381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350"/>
        <w:gridCol w:w="821"/>
        <w:gridCol w:w="846"/>
        <w:gridCol w:w="919"/>
        <w:gridCol w:w="1035"/>
        <w:gridCol w:w="904"/>
        <w:gridCol w:w="860"/>
        <w:gridCol w:w="889"/>
        <w:gridCol w:w="846"/>
        <w:gridCol w:w="746"/>
        <w:gridCol w:w="693"/>
        <w:gridCol w:w="747"/>
        <w:gridCol w:w="809"/>
        <w:gridCol w:w="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新增富硒基地面积（万亩）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新增产值（亿元）</w:t>
            </w: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14"/>
                <w:kern w:val="0"/>
                <w:sz w:val="24"/>
              </w:rPr>
            </w:pPr>
            <w:r>
              <w:rPr>
                <w:rFonts w:hint="eastAsia"/>
                <w:spacing w:val="-14"/>
                <w:kern w:val="0"/>
                <w:sz w:val="22"/>
                <w:szCs w:val="22"/>
              </w:rPr>
              <w:t>培育骨干龙头企业（家）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8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2"/>
                <w:szCs w:val="22"/>
              </w:rPr>
              <w:t>市级</w:t>
            </w:r>
            <w:r>
              <w:rPr>
                <w:spacing w:val="-8"/>
                <w:kern w:val="0"/>
                <w:sz w:val="22"/>
                <w:szCs w:val="22"/>
              </w:rPr>
              <w:t>“</w:t>
            </w:r>
            <w:r>
              <w:rPr>
                <w:rFonts w:hint="eastAsia"/>
                <w:spacing w:val="-8"/>
                <w:kern w:val="0"/>
                <w:sz w:val="22"/>
                <w:szCs w:val="22"/>
              </w:rPr>
              <w:t>单品冠军</w:t>
            </w:r>
            <w:r>
              <w:rPr>
                <w:spacing w:val="-8"/>
                <w:kern w:val="0"/>
                <w:sz w:val="22"/>
                <w:szCs w:val="22"/>
              </w:rPr>
              <w:t>”</w:t>
            </w:r>
            <w:r>
              <w:rPr>
                <w:rFonts w:hint="eastAsia"/>
                <w:spacing w:val="-8"/>
                <w:kern w:val="0"/>
                <w:sz w:val="22"/>
                <w:szCs w:val="22"/>
              </w:rPr>
              <w:t>品牌（个）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三年合计新增面积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2019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2020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三年合计新增产值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2019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2020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2018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2019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2020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2018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2019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袁州区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17.5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24.7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12.7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樟树市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4.3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.0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9.7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4.2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丰城市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2.8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.0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29.7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11.6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13.6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靖安县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0.1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奉新县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3.5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3.35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0.1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高安市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8.4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1.9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28.2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13.0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上高县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6.5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1.9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10.3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7.2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宜丰县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9.0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2.9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13.05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铜鼓县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1.0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0.40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万载县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10.0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15.8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10.8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明月山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管委会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9.5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3.0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新增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72.5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pacing w:val="-6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总面积</w:t>
            </w:r>
            <w:r>
              <w:rPr>
                <w:rFonts w:hint="eastAsia"/>
                <w:spacing w:val="-6"/>
                <w:kern w:val="0"/>
                <w:sz w:val="22"/>
                <w:szCs w:val="22"/>
              </w:rPr>
              <w:t>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6"/>
                <w:kern w:val="0"/>
                <w:sz w:val="22"/>
                <w:szCs w:val="22"/>
              </w:rPr>
              <w:t>总数量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</w:tbl>
    <w:p>
      <w:pPr>
        <w:adjustRightInd w:val="0"/>
        <w:snapToGrid w:val="0"/>
        <w:spacing w:line="360" w:lineRule="auto"/>
        <w:rPr>
          <w:kern w:val="0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814" w:header="851" w:footer="1134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21A80"/>
    <w:rsid w:val="0B4C5525"/>
    <w:rsid w:val="3FD2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2018-12-28T01:28:00Z</dcterms:created>
  <dc:creator>️</dc:creator>
  <cp:lastModifiedBy>️</cp:lastModifiedBy>
  <dcterms:modified xsi:type="dcterms:W3CDTF">2018-12-28T01:28:55Z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