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Fonts w:eastAsia="黑体"/>
          <w:szCs w:val="32"/>
        </w:rPr>
      </w:pPr>
      <w:r>
        <w:rPr>
          <w:rFonts w:eastAsia="黑体"/>
          <w:szCs w:val="32"/>
        </w:rPr>
        <w:t>附件1</w:t>
      </w:r>
    </w:p>
    <w:p>
      <w:pPr>
        <w:overflowPunct w:val="0"/>
        <w:adjustRightInd w:val="0"/>
        <w:spacing w:line="520" w:lineRule="exact"/>
        <w:rPr>
          <w:rFonts w:hint="eastAsia" w:eastAsia="黑体"/>
          <w:sz w:val="24"/>
        </w:rPr>
      </w:pPr>
    </w:p>
    <w:p>
      <w:pPr>
        <w:overflowPunct w:val="0"/>
        <w:adjustRightInd w:val="0"/>
        <w:spacing w:line="580" w:lineRule="exact"/>
        <w:jc w:val="center"/>
        <w:rPr>
          <w:rFonts w:eastAsia="方正小标宋简体"/>
          <w:color w:val="000000"/>
          <w:sz w:val="44"/>
          <w:szCs w:val="44"/>
        </w:rPr>
      </w:pPr>
      <w:bookmarkStart w:id="0" w:name="_GoBack"/>
      <w:r>
        <w:rPr>
          <w:rFonts w:eastAsia="方正小标宋简体"/>
          <w:color w:val="000000"/>
          <w:sz w:val="44"/>
          <w:szCs w:val="44"/>
          <w:shd w:val="clear" w:color="auto" w:fill="FFFFFF"/>
        </w:rPr>
        <w:t>财政扶持具体措施</w:t>
      </w:r>
    </w:p>
    <w:bookmarkEnd w:id="0"/>
    <w:p>
      <w:pPr>
        <w:overflowPunct w:val="0"/>
        <w:adjustRightInd w:val="0"/>
        <w:spacing w:line="500" w:lineRule="exact"/>
        <w:ind w:firstLine="640" w:firstLineChars="200"/>
        <w:rPr>
          <w:rFonts w:hint="eastAsia" w:eastAsia="黑体"/>
          <w:color w:val="000000"/>
          <w:szCs w:val="32"/>
          <w:shd w:val="clear" w:color="auto" w:fill="FFFFFF"/>
        </w:rPr>
      </w:pPr>
    </w:p>
    <w:p>
      <w:pPr>
        <w:overflowPunct w:val="0"/>
        <w:adjustRightInd w:val="0"/>
        <w:spacing w:line="580" w:lineRule="exact"/>
        <w:ind w:firstLine="640" w:firstLineChars="200"/>
        <w:rPr>
          <w:rFonts w:eastAsia="黑体"/>
          <w:color w:val="000000"/>
          <w:sz w:val="24"/>
        </w:rPr>
      </w:pPr>
      <w:r>
        <w:rPr>
          <w:rFonts w:eastAsia="黑体"/>
          <w:color w:val="000000"/>
          <w:szCs w:val="32"/>
          <w:shd w:val="clear" w:color="auto" w:fill="FFFFFF"/>
        </w:rPr>
        <w:t>一、支持天然生物营养强化国际合作项目（NBP）首批研究基地、南方富硒研究院建设</w:t>
      </w:r>
    </w:p>
    <w:p>
      <w:pPr>
        <w:shd w:val="clear" w:color="auto" w:fill="FFFFFF"/>
        <w:overflowPunct w:val="0"/>
        <w:adjustRightInd w:val="0"/>
        <w:spacing w:line="580" w:lineRule="exact"/>
        <w:ind w:firstLine="640" w:firstLineChars="200"/>
        <w:rPr>
          <w:color w:val="000000"/>
          <w:szCs w:val="32"/>
        </w:rPr>
      </w:pPr>
      <w:r>
        <w:rPr>
          <w:color w:val="000000"/>
          <w:szCs w:val="32"/>
        </w:rPr>
        <w:t xml:space="preserve">1．天然生物营养强化国际合作项目（NBP）首批研究基地。依托国际硒学会秘书处，组织国内外顶级专家团队，开展硒在土壤—作物—动物—人体的食物链传输规律、硒形态转化特征研究；膳食硒的吸收利用评价指标、膳食硒摄入安全范围研究；膳食硒的健康效应研究；探讨宜春富硒产品与人体健康关系，提供实证性研究报告。 </w:t>
      </w:r>
    </w:p>
    <w:p>
      <w:pPr>
        <w:shd w:val="clear" w:color="auto" w:fill="FFFFFF"/>
        <w:overflowPunct w:val="0"/>
        <w:adjustRightInd w:val="0"/>
        <w:spacing w:line="580" w:lineRule="exact"/>
        <w:ind w:firstLine="640" w:firstLineChars="200"/>
        <w:rPr>
          <w:color w:val="000000"/>
          <w:szCs w:val="32"/>
        </w:rPr>
      </w:pPr>
      <w:r>
        <w:rPr>
          <w:color w:val="000000"/>
          <w:szCs w:val="32"/>
        </w:rPr>
        <w:t>2．南方富硒研究院。由市农业局牵头，组织中国科学技术大学苏州研究院、苏州硒谷科技有限公司等顶级专业团队机构与宜春学院等共建南方富硒研究院，下设：硒产业创新中心、硒产品检测与认证中心。</w:t>
      </w:r>
    </w:p>
    <w:p>
      <w:pPr>
        <w:overflowPunct w:val="0"/>
        <w:adjustRightInd w:val="0"/>
        <w:spacing w:line="580" w:lineRule="exact"/>
        <w:ind w:firstLine="640" w:firstLineChars="200"/>
        <w:rPr>
          <w:rFonts w:eastAsia="黑体"/>
          <w:color w:val="000000"/>
          <w:szCs w:val="32"/>
          <w:shd w:val="clear" w:color="auto" w:fill="FFFFFF"/>
        </w:rPr>
      </w:pPr>
      <w:r>
        <w:rPr>
          <w:rFonts w:eastAsia="黑体"/>
          <w:color w:val="000000"/>
          <w:szCs w:val="32"/>
          <w:shd w:val="clear" w:color="auto" w:fill="FFFFFF"/>
        </w:rPr>
        <w:t>二、富硒农产品标准化生产示范基地建设</w:t>
      </w:r>
    </w:p>
    <w:p>
      <w:pPr>
        <w:overflowPunct w:val="0"/>
        <w:adjustRightInd w:val="0"/>
        <w:spacing w:line="580" w:lineRule="exact"/>
        <w:ind w:firstLine="640" w:firstLineChars="200"/>
        <w:rPr>
          <w:rFonts w:eastAsia="楷体_GB2312"/>
          <w:color w:val="000000"/>
          <w:sz w:val="24"/>
        </w:rPr>
      </w:pPr>
      <w:r>
        <w:rPr>
          <w:rFonts w:eastAsia="楷体_GB2312"/>
          <w:color w:val="000000"/>
          <w:szCs w:val="32"/>
          <w:shd w:val="clear" w:color="auto" w:fill="FFFFFF"/>
        </w:rPr>
        <w:t>（一）富硒农产品标准化生产示范基地奖补</w:t>
      </w:r>
    </w:p>
    <w:p>
      <w:pPr>
        <w:shd w:val="clear" w:color="auto" w:fill="FFFFFF"/>
        <w:overflowPunct w:val="0"/>
        <w:adjustRightInd w:val="0"/>
        <w:spacing w:line="580" w:lineRule="exact"/>
        <w:ind w:firstLine="640" w:firstLineChars="200"/>
        <w:rPr>
          <w:rFonts w:hint="eastAsia"/>
          <w:color w:val="000000"/>
          <w:szCs w:val="32"/>
        </w:rPr>
      </w:pPr>
      <w:r>
        <w:rPr>
          <w:color w:val="000000"/>
          <w:szCs w:val="32"/>
        </w:rPr>
        <w:t>1．富硒大米：连片种植且规模达500亩以上，产品经</w:t>
      </w:r>
      <w:r>
        <w:rPr>
          <w:rFonts w:hint="eastAsia"/>
          <w:color w:val="000000"/>
          <w:szCs w:val="32"/>
        </w:rPr>
        <w:t>有资质的</w:t>
      </w:r>
      <w:r>
        <w:rPr>
          <w:color w:val="000000"/>
          <w:szCs w:val="32"/>
        </w:rPr>
        <w:t>检测机构检测符合GB/T22499</w:t>
      </w:r>
      <w:r>
        <w:rPr>
          <w:rFonts w:hint="eastAsia"/>
          <w:color w:val="000000"/>
          <w:szCs w:val="32"/>
        </w:rPr>
        <w:t>—</w:t>
      </w:r>
      <w:r>
        <w:rPr>
          <w:color w:val="000000"/>
          <w:szCs w:val="32"/>
        </w:rPr>
        <w:t>2008《富硒稻谷》标准的示范基地，由市财政按每年100元/亩予以奖补</w:t>
      </w:r>
      <w:r>
        <w:rPr>
          <w:rFonts w:hint="eastAsia"/>
          <w:color w:val="000000"/>
          <w:szCs w:val="32"/>
        </w:rPr>
        <w:t>。</w:t>
      </w:r>
    </w:p>
    <w:p>
      <w:pPr>
        <w:shd w:val="clear" w:color="auto" w:fill="FFFFFF"/>
        <w:overflowPunct w:val="0"/>
        <w:adjustRightInd w:val="0"/>
        <w:spacing w:line="580" w:lineRule="exact"/>
        <w:ind w:firstLine="640" w:firstLineChars="200"/>
        <w:rPr>
          <w:color w:val="000000"/>
          <w:szCs w:val="32"/>
        </w:rPr>
      </w:pPr>
      <w:r>
        <w:rPr>
          <w:color w:val="000000"/>
          <w:szCs w:val="32"/>
        </w:rPr>
        <w:t>2．富硒油茶：连片种植且规模达500亩以上，产品经</w:t>
      </w:r>
      <w:r>
        <w:rPr>
          <w:rFonts w:hint="eastAsia"/>
          <w:color w:val="000000"/>
          <w:szCs w:val="32"/>
        </w:rPr>
        <w:t>有资质的</w:t>
      </w:r>
      <w:r>
        <w:rPr>
          <w:color w:val="000000"/>
          <w:szCs w:val="32"/>
        </w:rPr>
        <w:t>检测机构检测符合相关标准的示范基地，由市财政按每年100元/亩予以奖补。</w:t>
      </w:r>
    </w:p>
    <w:p>
      <w:pPr>
        <w:shd w:val="clear" w:color="auto" w:fill="FFFFFF"/>
        <w:overflowPunct w:val="0"/>
        <w:adjustRightInd w:val="0"/>
        <w:spacing w:line="580" w:lineRule="exact"/>
        <w:ind w:firstLine="640" w:firstLineChars="200"/>
        <w:rPr>
          <w:color w:val="000000"/>
          <w:szCs w:val="32"/>
        </w:rPr>
      </w:pPr>
      <w:r>
        <w:rPr>
          <w:color w:val="000000"/>
          <w:szCs w:val="32"/>
        </w:rPr>
        <w:t>3．富硒中药材：连片种植且规模达200亩以上，产品经</w:t>
      </w:r>
      <w:r>
        <w:rPr>
          <w:rFonts w:hint="eastAsia"/>
          <w:color w:val="000000"/>
          <w:szCs w:val="32"/>
        </w:rPr>
        <w:t>有资质的</w:t>
      </w:r>
      <w:r>
        <w:rPr>
          <w:color w:val="000000"/>
          <w:szCs w:val="32"/>
        </w:rPr>
        <w:t>检测机构检测符合有关标准的示范基地，由市财政按每年100元/亩予以奖补。</w:t>
      </w:r>
    </w:p>
    <w:p>
      <w:pPr>
        <w:shd w:val="clear" w:color="auto" w:fill="FFFFFF"/>
        <w:overflowPunct w:val="0"/>
        <w:adjustRightInd w:val="0"/>
        <w:spacing w:line="580" w:lineRule="exact"/>
        <w:ind w:firstLine="640" w:firstLineChars="200"/>
        <w:rPr>
          <w:color w:val="000000"/>
          <w:szCs w:val="32"/>
        </w:rPr>
      </w:pPr>
      <w:r>
        <w:rPr>
          <w:color w:val="000000"/>
          <w:szCs w:val="32"/>
        </w:rPr>
        <w:t>4．富硒水果：连片种植，翠冠梨、猕猴桃、脐橙规模达300亩以上，蓝莓等特种水果规模达100亩以上，产品经</w:t>
      </w:r>
      <w:r>
        <w:rPr>
          <w:rFonts w:hint="eastAsia"/>
          <w:color w:val="000000"/>
          <w:szCs w:val="32"/>
        </w:rPr>
        <w:t>有资质的</w:t>
      </w:r>
      <w:r>
        <w:rPr>
          <w:color w:val="000000"/>
          <w:szCs w:val="32"/>
        </w:rPr>
        <w:t>检测机构检测符合DB36/T566</w:t>
      </w:r>
      <w:r>
        <w:rPr>
          <w:rFonts w:hint="eastAsia"/>
          <w:color w:val="000000"/>
          <w:szCs w:val="32"/>
        </w:rPr>
        <w:t>—</w:t>
      </w:r>
      <w:r>
        <w:rPr>
          <w:color w:val="000000"/>
          <w:szCs w:val="32"/>
        </w:rPr>
        <w:t>2017《富硒食品硒含量分类标准》标准的示范基地，由市财政按每年100元/亩予以奖补。</w:t>
      </w:r>
    </w:p>
    <w:p>
      <w:pPr>
        <w:shd w:val="clear" w:color="auto" w:fill="FFFFFF"/>
        <w:overflowPunct w:val="0"/>
        <w:adjustRightInd w:val="0"/>
        <w:spacing w:line="580" w:lineRule="exact"/>
        <w:ind w:firstLine="640" w:firstLineChars="200"/>
        <w:rPr>
          <w:color w:val="000000"/>
          <w:szCs w:val="32"/>
        </w:rPr>
      </w:pPr>
      <w:r>
        <w:rPr>
          <w:color w:val="000000"/>
          <w:szCs w:val="32"/>
        </w:rPr>
        <w:t>5．富硒蔬菜：连片种植且规模达200亩以上，产品经</w:t>
      </w:r>
      <w:r>
        <w:rPr>
          <w:rFonts w:hint="eastAsia"/>
          <w:color w:val="000000"/>
          <w:szCs w:val="32"/>
        </w:rPr>
        <w:t>有资质的</w:t>
      </w:r>
      <w:r>
        <w:rPr>
          <w:color w:val="000000"/>
          <w:szCs w:val="32"/>
        </w:rPr>
        <w:t>检测机构检测符合DB36/T566</w:t>
      </w:r>
      <w:r>
        <w:rPr>
          <w:rFonts w:hint="eastAsia"/>
          <w:color w:val="000000"/>
          <w:szCs w:val="32"/>
        </w:rPr>
        <w:t>—</w:t>
      </w:r>
      <w:r>
        <w:rPr>
          <w:color w:val="000000"/>
          <w:szCs w:val="32"/>
        </w:rPr>
        <w:t>2017《富硒食品硒含量分类标准》标准的示范基地，由市财政按每年100元/亩予以奖补。</w:t>
      </w:r>
    </w:p>
    <w:p>
      <w:pPr>
        <w:shd w:val="clear" w:color="auto" w:fill="FFFFFF"/>
        <w:overflowPunct w:val="0"/>
        <w:adjustRightInd w:val="0"/>
        <w:spacing w:line="580" w:lineRule="exact"/>
        <w:ind w:firstLine="640" w:firstLineChars="200"/>
        <w:rPr>
          <w:color w:val="000000"/>
          <w:szCs w:val="32"/>
        </w:rPr>
      </w:pPr>
      <w:r>
        <w:rPr>
          <w:color w:val="000000"/>
          <w:szCs w:val="32"/>
        </w:rPr>
        <w:t>6．富硒畜禽：年出栏肉牛200头以上，年存笼家禽2万羽以上，产品经</w:t>
      </w:r>
      <w:r>
        <w:rPr>
          <w:rFonts w:hint="eastAsia"/>
          <w:color w:val="000000"/>
          <w:szCs w:val="32"/>
        </w:rPr>
        <w:t>有资质的</w:t>
      </w:r>
      <w:r>
        <w:rPr>
          <w:color w:val="000000"/>
          <w:szCs w:val="32"/>
        </w:rPr>
        <w:t>检测机构检测符合DB36/T566</w:t>
      </w:r>
      <w:r>
        <w:rPr>
          <w:rFonts w:hint="eastAsia"/>
          <w:color w:val="000000"/>
          <w:szCs w:val="32"/>
        </w:rPr>
        <w:t>—</w:t>
      </w:r>
      <w:r>
        <w:rPr>
          <w:color w:val="000000"/>
          <w:szCs w:val="32"/>
        </w:rPr>
        <w:t>2017《富硒食品硒含量分类标准》标准的企业，由市财政予以一定奖补。</w:t>
      </w:r>
    </w:p>
    <w:p>
      <w:pPr>
        <w:shd w:val="clear" w:color="auto" w:fill="FFFFFF"/>
        <w:overflowPunct w:val="0"/>
        <w:adjustRightInd w:val="0"/>
        <w:spacing w:line="580" w:lineRule="exact"/>
        <w:ind w:firstLine="640" w:firstLineChars="200"/>
        <w:rPr>
          <w:color w:val="000000"/>
          <w:szCs w:val="32"/>
        </w:rPr>
      </w:pPr>
      <w:r>
        <w:rPr>
          <w:color w:val="000000"/>
          <w:szCs w:val="32"/>
        </w:rPr>
        <w:t>7</w:t>
      </w:r>
      <w:r>
        <w:rPr>
          <w:rFonts w:hint="eastAsia"/>
          <w:color w:val="000000"/>
          <w:szCs w:val="32"/>
        </w:rPr>
        <w:t>．</w:t>
      </w:r>
      <w:r>
        <w:rPr>
          <w:color w:val="000000"/>
          <w:szCs w:val="32"/>
        </w:rPr>
        <w:t>其他特色富硒产品：连片种植富硒花生、富硒茶、富硒菊花等且规模达300亩以上，产品经</w:t>
      </w:r>
      <w:r>
        <w:rPr>
          <w:rFonts w:hint="eastAsia"/>
          <w:color w:val="000000"/>
          <w:szCs w:val="32"/>
        </w:rPr>
        <w:t>有资质的</w:t>
      </w:r>
      <w:r>
        <w:rPr>
          <w:color w:val="000000"/>
          <w:szCs w:val="32"/>
        </w:rPr>
        <w:t>检测机构检测符合DB36/T566</w:t>
      </w:r>
      <w:r>
        <w:rPr>
          <w:rFonts w:hint="eastAsia"/>
          <w:color w:val="000000"/>
          <w:szCs w:val="32"/>
        </w:rPr>
        <w:t>—</w:t>
      </w:r>
      <w:r>
        <w:rPr>
          <w:color w:val="000000"/>
          <w:szCs w:val="32"/>
        </w:rPr>
        <w:t>2017《富硒食品硒含量分类标准》标准的示范基地，由市财政按每年100元/亩予以奖补。</w:t>
      </w:r>
    </w:p>
    <w:p>
      <w:pPr>
        <w:shd w:val="clear" w:color="auto" w:fill="FFFFFF"/>
        <w:overflowPunct w:val="0"/>
        <w:adjustRightInd w:val="0"/>
        <w:spacing w:line="580" w:lineRule="exact"/>
        <w:ind w:firstLine="640" w:firstLineChars="200"/>
        <w:rPr>
          <w:color w:val="000000"/>
          <w:szCs w:val="32"/>
        </w:rPr>
      </w:pPr>
      <w:r>
        <w:rPr>
          <w:color w:val="000000"/>
          <w:szCs w:val="32"/>
        </w:rPr>
        <w:t>鼓励县市区组织龙头企业牵头建设“万亩富硒功能农业标准化示范基地”，产品达到前述有关标准的，由市财政按照每年150元/亩予以奖补。</w:t>
      </w:r>
    </w:p>
    <w:p>
      <w:pPr>
        <w:shd w:val="clear" w:color="auto" w:fill="FFFFFF"/>
        <w:overflowPunct w:val="0"/>
        <w:adjustRightInd w:val="0"/>
        <w:spacing w:line="580" w:lineRule="exact"/>
        <w:ind w:firstLine="640" w:firstLineChars="200"/>
        <w:rPr>
          <w:rFonts w:eastAsia="楷体_GB2312"/>
          <w:color w:val="000000"/>
          <w:szCs w:val="32"/>
        </w:rPr>
      </w:pPr>
      <w:r>
        <w:rPr>
          <w:rFonts w:eastAsia="楷体_GB2312"/>
          <w:color w:val="000000"/>
          <w:szCs w:val="32"/>
        </w:rPr>
        <w:t>（二）一定规模的示范基地或农业龙头企业奖补</w:t>
      </w:r>
    </w:p>
    <w:p>
      <w:pPr>
        <w:shd w:val="clear" w:color="auto" w:fill="FFFFFF"/>
        <w:overflowPunct w:val="0"/>
        <w:adjustRightInd w:val="0"/>
        <w:spacing w:line="580" w:lineRule="exact"/>
        <w:ind w:firstLine="640" w:firstLineChars="200"/>
        <w:rPr>
          <w:color w:val="000000"/>
          <w:szCs w:val="32"/>
        </w:rPr>
      </w:pPr>
      <w:r>
        <w:rPr>
          <w:color w:val="000000"/>
          <w:szCs w:val="32"/>
        </w:rPr>
        <w:t>对富硒农产品种植面积1000亩以上、畜牧水产养殖业投资500万元以上的种养大户，由市财政和受益县级财政分别按照企业滴灌、风干、采摘、养殖设备等固定资产投资的5%给予一次性补助。</w:t>
      </w:r>
    </w:p>
    <w:p>
      <w:pPr>
        <w:shd w:val="clear" w:color="auto" w:fill="FFFFFF"/>
        <w:overflowPunct w:val="0"/>
        <w:adjustRightInd w:val="0"/>
        <w:spacing w:line="580" w:lineRule="exact"/>
        <w:ind w:firstLine="640" w:firstLineChars="200"/>
        <w:rPr>
          <w:rFonts w:eastAsia="黑体"/>
          <w:color w:val="000000"/>
          <w:sz w:val="24"/>
        </w:rPr>
      </w:pPr>
      <w:r>
        <w:rPr>
          <w:rFonts w:eastAsia="黑体"/>
          <w:color w:val="000000"/>
          <w:szCs w:val="32"/>
        </w:rPr>
        <w:t>三、标准体系、品牌</w:t>
      </w:r>
    </w:p>
    <w:p>
      <w:pPr>
        <w:shd w:val="clear" w:color="auto" w:fill="FFFFFF"/>
        <w:overflowPunct w:val="0"/>
        <w:adjustRightInd w:val="0"/>
        <w:spacing w:line="580" w:lineRule="exact"/>
        <w:ind w:firstLine="640" w:firstLineChars="200"/>
        <w:rPr>
          <w:color w:val="000000"/>
          <w:szCs w:val="32"/>
        </w:rPr>
      </w:pPr>
      <w:r>
        <w:rPr>
          <w:color w:val="000000"/>
          <w:szCs w:val="32"/>
        </w:rPr>
        <w:t>1．“三品一标”认证：申报取得富硒农产品地理标志保护的，每个产品由市财政给予一次性奖励10万元；获绿色认证、有机认证的每个产品由市财政分别给予一次性奖励2万元、3万元。</w:t>
      </w:r>
    </w:p>
    <w:p>
      <w:pPr>
        <w:shd w:val="clear" w:color="auto" w:fill="FFFFFF"/>
        <w:overflowPunct w:val="0"/>
        <w:adjustRightInd w:val="0"/>
        <w:spacing w:line="580" w:lineRule="exact"/>
        <w:ind w:firstLine="640" w:firstLineChars="200"/>
        <w:rPr>
          <w:color w:val="000000"/>
          <w:szCs w:val="32"/>
        </w:rPr>
      </w:pPr>
      <w:r>
        <w:rPr>
          <w:color w:val="000000"/>
          <w:szCs w:val="32"/>
        </w:rPr>
        <w:t>2．制定并由省级以上质量技术监督部门颁布实施的产品标</w:t>
      </w:r>
      <w:r>
        <w:rPr>
          <w:color w:val="000000"/>
          <w:spacing w:val="-6"/>
          <w:szCs w:val="32"/>
        </w:rPr>
        <w:t>准（生产技术规程），每个标准由市财政给予一次性奖励10万元。</w:t>
      </w:r>
    </w:p>
    <w:p>
      <w:pPr>
        <w:shd w:val="clear" w:color="auto" w:fill="FFFFFF"/>
        <w:overflowPunct w:val="0"/>
        <w:adjustRightInd w:val="0"/>
        <w:spacing w:line="580" w:lineRule="exact"/>
        <w:ind w:firstLine="640" w:firstLineChars="200"/>
        <w:rPr>
          <w:color w:val="000000"/>
          <w:szCs w:val="32"/>
        </w:rPr>
      </w:pPr>
      <w:r>
        <w:rPr>
          <w:color w:val="000000"/>
          <w:szCs w:val="32"/>
        </w:rPr>
        <w:t>3．对以富硒冠名的农产品品牌且获得中国驰名商标的企业，由市财政给予一次性奖励10万元；对以富硒冠名的农产品品牌获得江西省省级名牌产品的，一次性给予5万元奖励。</w:t>
      </w:r>
    </w:p>
    <w:p>
      <w:pPr>
        <w:shd w:val="clear" w:color="auto" w:fill="FFFFFF"/>
        <w:overflowPunct w:val="0"/>
        <w:adjustRightInd w:val="0"/>
        <w:spacing w:line="580" w:lineRule="exact"/>
        <w:ind w:firstLine="640" w:firstLineChars="200"/>
        <w:rPr>
          <w:color w:val="000000"/>
          <w:szCs w:val="32"/>
        </w:rPr>
      </w:pPr>
      <w:r>
        <w:rPr>
          <w:color w:val="000000"/>
          <w:szCs w:val="32"/>
        </w:rPr>
        <w:t>4．对获得国家富硒生态原产地保护（PEOP）认证的企业，由市财政给予一次性奖励20万元。</w:t>
      </w:r>
    </w:p>
    <w:p>
      <w:pPr>
        <w:overflowPunct w:val="0"/>
        <w:adjustRightInd w:val="0"/>
        <w:spacing w:line="580" w:lineRule="exact"/>
        <w:ind w:firstLine="640" w:firstLineChars="200"/>
        <w:rPr>
          <w:rFonts w:eastAsia="黑体"/>
          <w:color w:val="000000"/>
          <w:sz w:val="24"/>
        </w:rPr>
      </w:pPr>
      <w:r>
        <w:rPr>
          <w:rFonts w:eastAsia="黑体"/>
          <w:color w:val="000000"/>
          <w:szCs w:val="32"/>
        </w:rPr>
        <w:t>四、研发创新</w:t>
      </w:r>
    </w:p>
    <w:p>
      <w:pPr>
        <w:shd w:val="clear" w:color="auto" w:fill="FFFFFF"/>
        <w:overflowPunct w:val="0"/>
        <w:adjustRightInd w:val="0"/>
        <w:spacing w:line="580" w:lineRule="exact"/>
        <w:ind w:firstLine="640" w:firstLineChars="200"/>
        <w:rPr>
          <w:color w:val="000000"/>
          <w:szCs w:val="32"/>
        </w:rPr>
      </w:pPr>
      <w:r>
        <w:rPr>
          <w:color w:val="000000"/>
          <w:szCs w:val="32"/>
        </w:rPr>
        <w:t>对入驻我市开发富硒产业的高等院校、科研院所的项目组、课题组、科研工作站，每个科研项目经市富硒产业发展工作领导小组核实认定后予以一定奖补。</w:t>
      </w:r>
    </w:p>
    <w:p>
      <w:pPr>
        <w:overflowPunct w:val="0"/>
        <w:adjustRightInd w:val="0"/>
        <w:spacing w:line="580" w:lineRule="exact"/>
        <w:ind w:firstLine="640" w:firstLineChars="200"/>
        <w:rPr>
          <w:rFonts w:eastAsia="黑体"/>
          <w:color w:val="000000"/>
          <w:szCs w:val="32"/>
        </w:rPr>
      </w:pPr>
      <w:r>
        <w:rPr>
          <w:rFonts w:eastAsia="黑体"/>
          <w:color w:val="000000"/>
          <w:szCs w:val="32"/>
        </w:rPr>
        <w:t>五、其他</w:t>
      </w:r>
    </w:p>
    <w:p>
      <w:pPr>
        <w:overflowPunct w:val="0"/>
        <w:adjustRightInd w:val="0"/>
        <w:snapToGrid w:val="0"/>
        <w:spacing w:line="580" w:lineRule="exact"/>
        <w:ind w:firstLine="640" w:firstLineChars="200"/>
        <w:rPr>
          <w:color w:val="000000"/>
          <w:szCs w:val="32"/>
        </w:rPr>
        <w:sectPr>
          <w:footerReference r:id="rId3" w:type="default"/>
          <w:footerReference r:id="rId4" w:type="even"/>
          <w:pgSz w:w="11906" w:h="16838"/>
          <w:pgMar w:top="1701" w:right="1588" w:bottom="1701" w:left="1588" w:header="851" w:footer="1588" w:gutter="0"/>
          <w:cols w:space="720" w:num="1"/>
          <w:docGrid w:type="linesAndChars" w:linePitch="579" w:charSpace="0"/>
        </w:sectPr>
      </w:pPr>
      <w:r>
        <w:rPr>
          <w:color w:val="000000"/>
          <w:szCs w:val="32"/>
        </w:rPr>
        <w:t>在宜春建立富硒田园综合体的重大项目，市委、市政府按照一事一议给予支持。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43" w:wrap="around" w:vAnchor="text" w:hAnchor="page" w:x="8949" w:y="3"/>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15</w:t>
    </w:r>
    <w:r>
      <w:rPr>
        <w:sz w:val="28"/>
        <w:szCs w:val="28"/>
      </w:rPr>
      <w:fldChar w:fldCharType="end"/>
    </w:r>
    <w:r>
      <w:rPr>
        <w:rStyle w:val="4"/>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265" w:wrap="around" w:vAnchor="text" w:hAnchor="margin" w:xAlign="outside" w:y="-5"/>
      <w:ind w:firstLine="280" w:firstLineChars="100"/>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16</w:t>
    </w:r>
    <w:r>
      <w:rPr>
        <w:sz w:val="28"/>
        <w:szCs w:val="28"/>
      </w:rPr>
      <w:fldChar w:fldCharType="end"/>
    </w:r>
    <w:r>
      <w:rPr>
        <w:rStyle w:val="4"/>
        <w:rFonts w:hint="eastAsia"/>
        <w:sz w:val="28"/>
        <w:szCs w:val="28"/>
      </w:rPr>
      <w:t xml:space="preserve"> —</w:t>
    </w:r>
  </w:p>
  <w:p>
    <w:pPr>
      <w:pStyle w:val="2"/>
      <w:ind w:right="360" w:firstLine="360"/>
      <w:rPr>
        <w:rFonts w:hint="eastAsia"/>
      </w:rPr>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52CB1"/>
    <w:rsid w:val="47AA54D0"/>
    <w:rsid w:val="5E152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2018-12-28T01:27:00Z</dcterms:created>
  <dc:creator>️</dc:creator>
  <cp:lastModifiedBy>️</cp:lastModifiedBy>
  <dcterms:modified xsi:type="dcterms:W3CDTF">2018-12-28T01:28:01Z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