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eastAsia="黑体"/>
          <w:color w:val="000000"/>
          <w:kern w:val="0"/>
          <w:szCs w:val="32"/>
        </w:rPr>
      </w:pPr>
      <w:r>
        <w:rPr>
          <w:rFonts w:hAnsi="黑体" w:eastAsia="黑体"/>
          <w:color w:val="000000"/>
          <w:kern w:val="0"/>
          <w:szCs w:val="32"/>
        </w:rPr>
        <w:t>附件</w:t>
      </w:r>
      <w:r>
        <w:rPr>
          <w:rFonts w:eastAsia="黑体"/>
          <w:color w:val="000000"/>
          <w:kern w:val="0"/>
          <w:szCs w:val="32"/>
        </w:rPr>
        <w:t>1</w:t>
      </w:r>
    </w:p>
    <w:p>
      <w:pPr>
        <w:widowControl/>
        <w:spacing w:line="600" w:lineRule="exact"/>
        <w:jc w:val="left"/>
        <w:rPr>
          <w:rFonts w:eastAsia="黑体"/>
          <w:color w:val="000000"/>
          <w:kern w:val="0"/>
          <w:szCs w:val="32"/>
        </w:rPr>
      </w:pP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宜春市中等职业学校建设目标任务表</w:t>
      </w:r>
    </w:p>
    <w:bookmarkEnd w:id="0"/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2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481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tblHeader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  <w:szCs w:val="24"/>
              </w:rPr>
              <w:t>目标任务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宜春市职业技术教育中心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按期建成达标学校。将学前教育、计算机技术应用、旅游服务与管理、机电应用技术专业建设成为骨干专业。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2021年建成达标学校。专业建设2022年完成。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长江科技中等专业学校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按照国家中职学校设置标准，需增加建筑面积6.6万平方米，需加大学校校舍建设力度。将数控技术应用、通讯营运服务与管理、电子商务、保安、模具制造技术专业建设成为骨干专业。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2022年办学条件达到国家建设标准。专业建设2022年完成。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宜春工业学校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按期建成达标学校。将数控加工、新能源汽车维修专业建设成为骨干专业。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2021年建成达标学校。专业建设2022年完成。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樟树市职业技术学校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加大与樟树市中医药学校整合力度，统筹学校专业建设，将中医药、旅游服务与管理（高铁乘务方向）、机械制造技术（工业机器人方向）、电子商务、计算机应用（无人机方向）专业建设成为骨干专业。引领学校其他专业建设。申办成普通中专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2020年整合到位， 2021年普通中专申报成功。专业建设2022年完成。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丰城中等专业学校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按照国家中职学校设置标准，要建成万人学校，需增加建筑面积12.4万平方米，需加大学校校舍建设力度。如期建成江西省高水平中等职业学校、江西省高技能人才培训基地，成功申办丰城高级技工学校。将工业机器人应用与维护、数控技术应用、汽车运用与维修、服装设计与工艺、电子商务、学前教育、物流服务与管理、高星级酒店运营与管理专业建设成为骨干专业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2022年办学条件达到国家建设标准，建成江西省高水平中等职业学校。专业建设2022年完成。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靖安县职业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按照国家中职学校设置标准，为满足2022年学位需求，需增加建筑面积1.1万平方米，需加大学校校舍建设力度。将运动训练、医养护理、小学教育专业建设成为骨干专业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2022年办学条件达到国家建设标准。专业建设2022年完成。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奉新县冶城职业学校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按照国家中职学校设置标准，为满足2022年学位需求，需增加建筑面积3.6万平方米，加大学校建设力度。将汽车美容与装潢、中式烹饪、中西式面点、学前教育、电子电器应用与维修专业建设成为骨干专业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2022年办学条件达到国家建设标准。专业建设2022年完成。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高安中等专业学校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按照国家中职学校设置标准加快新校区建设。将计算机应用、物流服务与管理、高星级饭店运营与管理，艺术传媒专业建设成为骨干专业。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2022年新校区建成使用。专业建设2022年完成。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上高中等专业学校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按照国家中职学校设置标准加大学校校舍建设力度。完成机械加工技术省级特色专业群建设，将汽车运用与维修，农业机械运用与维修、农产品保鲜与加工专业建设成为骨干专业。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2021年学生宿舍建成使用，2022实训楼建成使用。专业建设2022年完成。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宜丰中等专业学校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按照国家中职学校设置标准，为满足2022年学位需求，需加快学校改扩建速度，增加建筑面积2.6万平方米，加大学校校舍建设力度。将电子技术应用与维修、计算机应用专业建设成为骨干专业。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2022年办学条件达到国家建设标准。专业建设2022年完成。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铜鼓中等专业学校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按照国家中职学校设置标准加快新校区建设。将电子商务、中餐烹饪与营养膳食专业建设成为骨干专业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2022年新校区建成使用。专业建设2022年完成。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万载中等专业学校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按照国家中职学校设置标准加大学校校舍建设力度。将电子商务专业、 SMT数控专业建设成为骨干专业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2022年办学条件达到国家建设标准。专业建设2022年完成。</w:t>
            </w:r>
          </w:p>
        </w:tc>
      </w:tr>
    </w:tbl>
    <w:p>
      <w:pPr>
        <w:adjustRightInd w:val="0"/>
        <w:spacing w:line="600" w:lineRule="exact"/>
        <w:ind w:firstLine="630"/>
        <w:rPr>
          <w:rFonts w:hint="eastAsia" w:eastAsia="楷体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27FA8"/>
    <w:rsid w:val="3BA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2020-10-27T02:28:00Z</dcterms:created>
  <dc:creator>️</dc:creator>
  <cp:lastModifiedBy>️</cp:lastModifiedBy>
  <dcterms:modified xsi:type="dcterms:W3CDTF">2020-10-27T02:28:21Z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