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28"/>
        </w:rPr>
      </w:pPr>
      <w:r>
        <w:rPr>
          <w:rFonts w:hint="eastAsia" w:ascii="黑体" w:hAnsi="黑体" w:eastAsia="黑体"/>
          <w:sz w:val="32"/>
          <w:szCs w:val="28"/>
        </w:rPr>
        <w:t>附件6</w:t>
      </w:r>
    </w:p>
    <w:p>
      <w:pPr>
        <w:spacing w:line="578" w:lineRule="exact"/>
        <w:jc w:val="center"/>
        <w:rPr>
          <w:rFonts w:hint="eastAsia" w:ascii="仿宋" w:hAnsi="仿宋" w:eastAsia="仿宋"/>
          <w:b/>
          <w:bCs/>
          <w:sz w:val="44"/>
          <w:szCs w:val="44"/>
        </w:rPr>
      </w:pPr>
    </w:p>
    <w:p>
      <w:pPr>
        <w:spacing w:line="578"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部门评价报告</w:t>
      </w:r>
    </w:p>
    <w:p>
      <w:pPr>
        <w:spacing w:line="578" w:lineRule="exact"/>
        <w:rPr>
          <w:rFonts w:hint="eastAsia" w:ascii="仿宋" w:hAnsi="仿宋" w:eastAsia="仿宋"/>
          <w:szCs w:val="32"/>
        </w:rPr>
      </w:pPr>
    </w:p>
    <w:p>
      <w:pPr>
        <w:spacing w:line="578" w:lineRule="exact"/>
        <w:rPr>
          <w:rFonts w:hint="eastAsia" w:ascii="仿宋" w:hAnsi="仿宋" w:eastAsia="仿宋"/>
          <w:szCs w:val="32"/>
        </w:rPr>
      </w:pPr>
    </w:p>
    <w:p>
      <w:pPr>
        <w:spacing w:line="578" w:lineRule="exact"/>
        <w:rPr>
          <w:rFonts w:hint="eastAsia" w:ascii="仿宋" w:hAnsi="仿宋" w:eastAsia="仿宋"/>
          <w:szCs w:val="32"/>
        </w:rPr>
      </w:pPr>
    </w:p>
    <w:p>
      <w:pPr>
        <w:spacing w:line="578" w:lineRule="exact"/>
        <w:rPr>
          <w:rFonts w:hint="eastAsia" w:ascii="仿宋" w:hAnsi="仿宋" w:eastAsia="仿宋"/>
          <w:szCs w:val="32"/>
        </w:rPr>
      </w:pPr>
    </w:p>
    <w:p>
      <w:pPr>
        <w:spacing w:line="680" w:lineRule="exact"/>
        <w:jc w:val="left"/>
        <w:rPr>
          <w:rFonts w:hint="eastAsia" w:ascii="仿宋_GB2312" w:hAnsi="仿宋" w:eastAsia="仿宋_GB2312" w:cs="仿宋"/>
          <w:sz w:val="28"/>
          <w:szCs w:val="32"/>
          <w:u w:val="single"/>
        </w:rPr>
      </w:pPr>
      <w:r>
        <w:rPr>
          <w:rFonts w:hint="eastAsia" w:ascii="仿宋_GB2312" w:hAnsi="仿宋" w:eastAsia="仿宋_GB2312" w:cs="仿宋"/>
          <w:szCs w:val="32"/>
        </w:rPr>
        <w:t xml:space="preserve">         </w:t>
      </w:r>
      <w:r>
        <w:rPr>
          <w:rFonts w:hint="eastAsia" w:ascii="仿宋_GB2312" w:hAnsi="仿宋" w:eastAsia="仿宋_GB2312" w:cs="仿宋"/>
          <w:sz w:val="28"/>
          <w:szCs w:val="32"/>
        </w:rPr>
        <w:t>评价类型：</w:t>
      </w:r>
      <w:r>
        <w:rPr>
          <w:rFonts w:hint="eastAsia" w:ascii="仿宋_GB2312" w:hAnsi="仿宋" w:eastAsia="仿宋_GB2312" w:cs="仿宋"/>
          <w:spacing w:val="-20"/>
          <w:sz w:val="28"/>
          <w:szCs w:val="32"/>
          <w:u w:val="single"/>
          <w:lang w:eastAsia="zh-CN"/>
        </w:rPr>
        <w:t>☑</w:t>
      </w:r>
      <w:r>
        <w:rPr>
          <w:rFonts w:hint="eastAsia" w:ascii="仿宋_GB2312" w:hAnsi="仿宋" w:eastAsia="仿宋_GB2312" w:cs="仿宋"/>
          <w:sz w:val="28"/>
          <w:szCs w:val="32"/>
          <w:u w:val="single"/>
        </w:rPr>
        <w:t>实施过程评价</w:t>
      </w:r>
      <w:r>
        <w:rPr>
          <w:rFonts w:hint="eastAsia" w:ascii="仿宋_GB2312" w:hAnsi="仿宋" w:eastAsia="仿宋_GB2312" w:cs="仿宋"/>
          <w:sz w:val="28"/>
          <w:szCs w:val="32"/>
        </w:rPr>
        <w:t xml:space="preserve">          </w:t>
      </w:r>
      <w:r>
        <w:rPr>
          <w:rFonts w:hint="eastAsia" w:ascii="仿宋_GB2312" w:hAnsi="仿宋" w:eastAsia="仿宋_GB2312" w:cs="仿宋"/>
          <w:spacing w:val="-20"/>
          <w:sz w:val="28"/>
          <w:szCs w:val="32"/>
          <w:u w:val="single"/>
        </w:rPr>
        <w:sym w:font="Wingdings 2" w:char="0052"/>
      </w:r>
      <w:r>
        <w:rPr>
          <w:rFonts w:hint="eastAsia" w:ascii="仿宋_GB2312" w:hAnsi="仿宋" w:eastAsia="仿宋_GB2312" w:cs="仿宋"/>
          <w:sz w:val="28"/>
          <w:szCs w:val="32"/>
          <w:u w:val="single"/>
        </w:rPr>
        <w:t>完成结果评价</w:t>
      </w:r>
    </w:p>
    <w:p>
      <w:pPr>
        <w:spacing w:line="680" w:lineRule="exact"/>
        <w:jc w:val="left"/>
        <w:rPr>
          <w:rFonts w:hint="eastAsia" w:ascii="仿宋_GB2312" w:hAnsi="仿宋" w:eastAsia="仿宋_GB2312" w:cs="仿宋"/>
          <w:sz w:val="28"/>
          <w:szCs w:val="32"/>
        </w:rPr>
      </w:pPr>
      <w:r>
        <w:rPr>
          <w:rFonts w:hint="eastAsia" w:ascii="仿宋_GB2312" w:hAnsi="仿宋" w:eastAsia="仿宋_GB2312" w:cs="仿宋"/>
          <w:sz w:val="28"/>
          <w:szCs w:val="32"/>
        </w:rPr>
        <w:t xml:space="preserve">       项目名称： </w:t>
      </w:r>
      <w:r>
        <w:rPr>
          <w:rFonts w:hint="eastAsia" w:ascii="仿宋_GB2312" w:hAnsi="仿宋" w:eastAsia="仿宋_GB2312" w:cs="仿宋"/>
          <w:sz w:val="28"/>
          <w:szCs w:val="32"/>
          <w:u w:val="single"/>
        </w:rPr>
        <w:t xml:space="preserve">  </w:t>
      </w:r>
      <w:r>
        <w:rPr>
          <w:rFonts w:hint="eastAsia" w:ascii="仿宋_GB2312" w:hAnsi="仿宋" w:eastAsia="仿宋_GB2312" w:cs="仿宋"/>
          <w:sz w:val="28"/>
          <w:szCs w:val="32"/>
          <w:u w:val="single"/>
          <w:lang w:val="en-US" w:eastAsia="zh-CN"/>
        </w:rPr>
        <w:t xml:space="preserve">      2022年宣传部媒体合作费</w:t>
      </w:r>
      <w:r>
        <w:rPr>
          <w:rFonts w:hint="eastAsia" w:ascii="仿宋_GB2312" w:hAnsi="仿宋" w:eastAsia="仿宋_GB2312" w:cs="仿宋"/>
          <w:sz w:val="28"/>
          <w:szCs w:val="32"/>
          <w:u w:val="single"/>
        </w:rPr>
        <w:t xml:space="preserve">  </w:t>
      </w:r>
      <w:r>
        <w:rPr>
          <w:rFonts w:hint="eastAsia" w:ascii="仿宋_GB2312" w:hAnsi="仿宋" w:eastAsia="仿宋_GB2312" w:cs="仿宋"/>
          <w:sz w:val="28"/>
          <w:szCs w:val="32"/>
          <w:u w:val="single"/>
          <w:lang w:val="en-US" w:eastAsia="zh-CN"/>
        </w:rPr>
        <w:t xml:space="preserve">  </w:t>
      </w:r>
    </w:p>
    <w:p>
      <w:pPr>
        <w:spacing w:line="680" w:lineRule="exact"/>
        <w:jc w:val="left"/>
        <w:rPr>
          <w:rFonts w:hint="eastAsia" w:ascii="仿宋_GB2312" w:hAnsi="仿宋" w:eastAsia="仿宋_GB2312" w:cs="仿宋"/>
          <w:sz w:val="28"/>
          <w:szCs w:val="32"/>
        </w:rPr>
      </w:pPr>
      <w:r>
        <w:rPr>
          <w:rFonts w:hint="eastAsia" w:ascii="仿宋_GB2312" w:hAnsi="仿宋" w:eastAsia="仿宋_GB2312" w:cs="仿宋"/>
          <w:sz w:val="28"/>
          <w:szCs w:val="32"/>
        </w:rPr>
        <w:t xml:space="preserve">       项目单位： </w:t>
      </w:r>
      <w:r>
        <w:rPr>
          <w:rFonts w:hint="eastAsia" w:ascii="仿宋_GB2312" w:hAnsi="仿宋" w:eastAsia="仿宋_GB2312" w:cs="仿宋"/>
          <w:sz w:val="28"/>
          <w:szCs w:val="32"/>
          <w:u w:val="single"/>
        </w:rPr>
        <w:t xml:space="preserve">  </w:t>
      </w:r>
      <w:r>
        <w:rPr>
          <w:rFonts w:hint="eastAsia" w:ascii="仿宋_GB2312" w:hAnsi="仿宋" w:eastAsia="仿宋_GB2312" w:cs="仿宋"/>
          <w:sz w:val="28"/>
          <w:szCs w:val="32"/>
          <w:u w:val="single"/>
          <w:lang w:val="en-US" w:eastAsia="zh-CN"/>
        </w:rPr>
        <w:t xml:space="preserve">         </w:t>
      </w:r>
      <w:r>
        <w:rPr>
          <w:rFonts w:hint="eastAsia" w:ascii="仿宋_GB2312" w:hAnsi="仿宋" w:eastAsia="仿宋_GB2312" w:cs="仿宋"/>
          <w:sz w:val="28"/>
          <w:szCs w:val="32"/>
          <w:u w:val="single"/>
        </w:rPr>
        <w:t xml:space="preserve"> 宜春市委宣传部</w:t>
      </w:r>
      <w:r>
        <w:rPr>
          <w:rFonts w:hint="eastAsia" w:ascii="仿宋_GB2312" w:hAnsi="仿宋" w:eastAsia="仿宋_GB2312" w:cs="仿宋"/>
          <w:sz w:val="28"/>
          <w:szCs w:val="32"/>
          <w:u w:val="single"/>
          <w:lang w:val="en-US" w:eastAsia="zh-CN"/>
        </w:rPr>
        <w:t xml:space="preserve">    </w:t>
      </w:r>
      <w:r>
        <w:rPr>
          <w:rFonts w:hint="eastAsia" w:ascii="仿宋_GB2312" w:hAnsi="仿宋" w:eastAsia="仿宋_GB2312" w:cs="仿宋"/>
          <w:sz w:val="28"/>
          <w:szCs w:val="32"/>
          <w:u w:val="single"/>
        </w:rPr>
        <w:t xml:space="preserve">    </w:t>
      </w:r>
    </w:p>
    <w:p>
      <w:pPr>
        <w:spacing w:line="680" w:lineRule="exact"/>
        <w:jc w:val="left"/>
        <w:rPr>
          <w:rFonts w:hint="eastAsia" w:ascii="仿宋_GB2312" w:hAnsi="仿宋" w:eastAsia="仿宋_GB2312" w:cs="仿宋"/>
          <w:sz w:val="28"/>
          <w:szCs w:val="32"/>
        </w:rPr>
      </w:pPr>
      <w:r>
        <w:rPr>
          <w:rFonts w:hint="eastAsia" w:ascii="仿宋_GB2312" w:hAnsi="仿宋" w:eastAsia="仿宋_GB2312" w:cs="仿宋"/>
          <w:sz w:val="28"/>
          <w:szCs w:val="32"/>
        </w:rPr>
        <w:t xml:space="preserve">       主管部门： </w:t>
      </w:r>
      <w:r>
        <w:rPr>
          <w:rFonts w:hint="eastAsia" w:ascii="仿宋_GB2312" w:hAnsi="仿宋" w:eastAsia="仿宋_GB2312" w:cs="仿宋"/>
          <w:sz w:val="28"/>
          <w:szCs w:val="32"/>
          <w:u w:val="single"/>
        </w:rPr>
        <w:t xml:space="preserve">    </w:t>
      </w:r>
      <w:r>
        <w:rPr>
          <w:rFonts w:hint="eastAsia" w:ascii="仿宋_GB2312" w:hAnsi="仿宋" w:eastAsia="仿宋_GB2312" w:cs="仿宋"/>
          <w:sz w:val="28"/>
          <w:szCs w:val="32"/>
          <w:u w:val="single"/>
          <w:lang w:val="en-US" w:eastAsia="zh-CN"/>
        </w:rPr>
        <w:t xml:space="preserve">        </w:t>
      </w:r>
      <w:r>
        <w:rPr>
          <w:rFonts w:hint="eastAsia" w:ascii="仿宋_GB2312" w:hAnsi="仿宋" w:eastAsia="仿宋_GB2312" w:cs="仿宋"/>
          <w:sz w:val="28"/>
          <w:szCs w:val="32"/>
          <w:u w:val="single"/>
          <w:lang w:eastAsia="zh-CN"/>
        </w:rPr>
        <w:t>宜春市委</w:t>
      </w:r>
      <w:r>
        <w:rPr>
          <w:rFonts w:hint="eastAsia" w:ascii="仿宋_GB2312" w:hAnsi="仿宋" w:eastAsia="仿宋_GB2312" w:cs="仿宋"/>
          <w:sz w:val="28"/>
          <w:szCs w:val="32"/>
          <w:u w:val="single"/>
          <w:lang w:val="en-US" w:eastAsia="zh-CN"/>
        </w:rPr>
        <w:t xml:space="preserve">宣传部     </w:t>
      </w:r>
      <w:r>
        <w:rPr>
          <w:rFonts w:hint="eastAsia" w:ascii="仿宋_GB2312" w:hAnsi="仿宋" w:eastAsia="仿宋_GB2312" w:cs="仿宋"/>
          <w:sz w:val="28"/>
          <w:szCs w:val="32"/>
          <w:u w:val="single"/>
        </w:rPr>
        <w:t xml:space="preserve">   </w:t>
      </w:r>
    </w:p>
    <w:p>
      <w:pPr>
        <w:spacing w:line="680" w:lineRule="exact"/>
        <w:jc w:val="left"/>
        <w:rPr>
          <w:rFonts w:hint="eastAsia" w:ascii="仿宋_GB2312" w:hAnsi="仿宋" w:eastAsia="仿宋_GB2312" w:cs="仿宋"/>
          <w:sz w:val="28"/>
          <w:szCs w:val="32"/>
        </w:rPr>
      </w:pPr>
      <w:r>
        <w:rPr>
          <w:rFonts w:hint="eastAsia" w:ascii="仿宋_GB2312" w:hAnsi="仿宋" w:eastAsia="仿宋_GB2312" w:cs="仿宋"/>
          <w:sz w:val="28"/>
          <w:szCs w:val="32"/>
        </w:rPr>
        <w:t xml:space="preserve">       评价时间： </w:t>
      </w:r>
      <w:r>
        <w:rPr>
          <w:rFonts w:hint="eastAsia" w:ascii="仿宋_GB2312" w:hAnsi="仿宋" w:eastAsia="仿宋_GB2312" w:cs="仿宋"/>
          <w:sz w:val="28"/>
          <w:szCs w:val="32"/>
          <w:u w:val="single"/>
          <w:lang w:val="en-US" w:eastAsia="zh-CN"/>
        </w:rPr>
        <w:t>2023</w:t>
      </w:r>
      <w:r>
        <w:rPr>
          <w:rFonts w:hint="eastAsia" w:ascii="仿宋_GB2312" w:hAnsi="仿宋" w:eastAsia="仿宋_GB2312" w:cs="仿宋"/>
          <w:sz w:val="28"/>
          <w:szCs w:val="32"/>
          <w:u w:val="single"/>
        </w:rPr>
        <w:t>年</w:t>
      </w:r>
      <w:r>
        <w:rPr>
          <w:rFonts w:hint="eastAsia" w:ascii="仿宋_GB2312" w:hAnsi="仿宋" w:eastAsia="仿宋_GB2312" w:cs="仿宋"/>
          <w:sz w:val="28"/>
          <w:szCs w:val="32"/>
          <w:u w:val="single"/>
          <w:lang w:val="en-US" w:eastAsia="zh-CN"/>
        </w:rPr>
        <w:t>1</w:t>
      </w:r>
      <w:r>
        <w:rPr>
          <w:rFonts w:hint="eastAsia" w:ascii="仿宋_GB2312" w:hAnsi="仿宋" w:eastAsia="仿宋_GB2312" w:cs="仿宋"/>
          <w:sz w:val="28"/>
          <w:szCs w:val="32"/>
          <w:u w:val="single"/>
        </w:rPr>
        <w:t>月</w:t>
      </w:r>
      <w:r>
        <w:rPr>
          <w:rFonts w:hint="eastAsia" w:ascii="仿宋_GB2312" w:hAnsi="仿宋" w:eastAsia="仿宋_GB2312" w:cs="仿宋"/>
          <w:sz w:val="28"/>
          <w:szCs w:val="32"/>
          <w:u w:val="single"/>
          <w:lang w:val="en-US" w:eastAsia="zh-CN"/>
        </w:rPr>
        <w:t>30</w:t>
      </w:r>
      <w:r>
        <w:rPr>
          <w:rFonts w:hint="eastAsia" w:ascii="仿宋_GB2312" w:hAnsi="仿宋" w:eastAsia="仿宋_GB2312" w:cs="仿宋"/>
          <w:sz w:val="28"/>
          <w:szCs w:val="32"/>
          <w:u w:val="single"/>
        </w:rPr>
        <w:t xml:space="preserve">日至 </w:t>
      </w:r>
      <w:r>
        <w:rPr>
          <w:rFonts w:hint="eastAsia" w:ascii="仿宋_GB2312" w:hAnsi="仿宋" w:eastAsia="仿宋_GB2312" w:cs="仿宋"/>
          <w:sz w:val="28"/>
          <w:szCs w:val="32"/>
          <w:u w:val="single"/>
          <w:lang w:val="en-US" w:eastAsia="zh-CN"/>
        </w:rPr>
        <w:t>2023</w:t>
      </w:r>
      <w:r>
        <w:rPr>
          <w:rFonts w:hint="eastAsia" w:ascii="仿宋_GB2312" w:hAnsi="仿宋" w:eastAsia="仿宋_GB2312" w:cs="仿宋"/>
          <w:sz w:val="28"/>
          <w:szCs w:val="32"/>
          <w:u w:val="single"/>
        </w:rPr>
        <w:t>年</w:t>
      </w:r>
      <w:r>
        <w:rPr>
          <w:rFonts w:hint="eastAsia" w:ascii="仿宋_GB2312" w:hAnsi="仿宋" w:eastAsia="仿宋_GB2312" w:cs="仿宋"/>
          <w:sz w:val="28"/>
          <w:szCs w:val="32"/>
          <w:u w:val="single"/>
          <w:lang w:val="en-US" w:eastAsia="zh-CN"/>
        </w:rPr>
        <w:t>3</w:t>
      </w:r>
      <w:r>
        <w:rPr>
          <w:rFonts w:hint="eastAsia" w:ascii="仿宋_GB2312" w:hAnsi="仿宋" w:eastAsia="仿宋_GB2312" w:cs="仿宋"/>
          <w:sz w:val="28"/>
          <w:szCs w:val="32"/>
          <w:u w:val="single"/>
        </w:rPr>
        <w:t>月</w:t>
      </w:r>
      <w:r>
        <w:rPr>
          <w:rFonts w:hint="eastAsia" w:ascii="仿宋_GB2312" w:hAnsi="仿宋" w:eastAsia="仿宋_GB2312" w:cs="仿宋"/>
          <w:sz w:val="28"/>
          <w:szCs w:val="32"/>
          <w:u w:val="single"/>
          <w:lang w:val="en-US" w:eastAsia="zh-CN"/>
        </w:rPr>
        <w:t>31</w:t>
      </w:r>
      <w:r>
        <w:rPr>
          <w:rFonts w:hint="eastAsia" w:ascii="仿宋_GB2312" w:hAnsi="仿宋" w:eastAsia="仿宋_GB2312" w:cs="仿宋"/>
          <w:sz w:val="28"/>
          <w:szCs w:val="32"/>
          <w:u w:val="single"/>
        </w:rPr>
        <w:t>日</w:t>
      </w:r>
    </w:p>
    <w:p>
      <w:pPr>
        <w:spacing w:line="680" w:lineRule="exact"/>
        <w:jc w:val="left"/>
        <w:rPr>
          <w:rFonts w:hint="eastAsia" w:ascii="仿宋_GB2312" w:hAnsi="仿宋" w:eastAsia="仿宋_GB2312" w:cs="仿宋"/>
          <w:sz w:val="28"/>
          <w:szCs w:val="32"/>
          <w:u w:val="single"/>
        </w:rPr>
      </w:pPr>
      <w:r>
        <w:rPr>
          <w:rFonts w:hint="eastAsia" w:ascii="仿宋_GB2312" w:hAnsi="仿宋" w:eastAsia="仿宋_GB2312" w:cs="仿宋"/>
          <w:sz w:val="28"/>
          <w:szCs w:val="32"/>
        </w:rPr>
        <w:t xml:space="preserve">       组织方式：</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 xml:space="preserve">财政部门 </w:t>
      </w:r>
      <w:r>
        <w:rPr>
          <w:rFonts w:hint="eastAsia" w:ascii="仿宋_GB2312" w:hAnsi="仿宋" w:eastAsia="仿宋_GB2312" w:cs="仿宋"/>
          <w:sz w:val="28"/>
          <w:szCs w:val="32"/>
        </w:rPr>
        <w:t xml:space="preserve">    </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主管部门</w:t>
      </w:r>
      <w:r>
        <w:rPr>
          <w:rFonts w:hint="eastAsia" w:ascii="仿宋_GB2312" w:hAnsi="仿宋" w:eastAsia="仿宋_GB2312" w:cs="仿宋"/>
          <w:sz w:val="28"/>
          <w:szCs w:val="32"/>
        </w:rPr>
        <w:t xml:space="preserve">     </w:t>
      </w:r>
      <w:r>
        <w:rPr>
          <w:rFonts w:hint="eastAsia" w:ascii="仿宋_GB2312" w:hAnsi="仿宋" w:eastAsia="仿宋_GB2312" w:cs="仿宋"/>
          <w:spacing w:val="-20"/>
          <w:sz w:val="28"/>
          <w:szCs w:val="32"/>
          <w:u w:val="single"/>
        </w:rPr>
        <w:sym w:font="Wingdings 2" w:char="0052"/>
      </w:r>
      <w:r>
        <w:rPr>
          <w:rFonts w:hint="eastAsia" w:ascii="仿宋_GB2312" w:hAnsi="仿宋" w:eastAsia="仿宋_GB2312" w:cs="仿宋"/>
          <w:sz w:val="28"/>
          <w:szCs w:val="32"/>
          <w:u w:val="single"/>
        </w:rPr>
        <w:t>项目单位</w:t>
      </w:r>
    </w:p>
    <w:p>
      <w:pPr>
        <w:spacing w:line="680" w:lineRule="exact"/>
        <w:jc w:val="left"/>
        <w:rPr>
          <w:rFonts w:hint="eastAsia" w:ascii="仿宋_GB2312" w:hAnsi="仿宋" w:eastAsia="仿宋_GB2312" w:cs="仿宋"/>
          <w:sz w:val="28"/>
          <w:szCs w:val="32"/>
        </w:rPr>
      </w:pPr>
      <w:r>
        <w:rPr>
          <w:rFonts w:hint="eastAsia" w:ascii="仿宋_GB2312" w:hAnsi="仿宋" w:eastAsia="仿宋_GB2312" w:cs="仿宋"/>
          <w:sz w:val="28"/>
          <w:szCs w:val="32"/>
        </w:rPr>
        <w:t xml:space="preserve">       评价机构：</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 xml:space="preserve">第三方机构 </w:t>
      </w:r>
      <w:r>
        <w:rPr>
          <w:rFonts w:hint="eastAsia" w:ascii="仿宋_GB2312" w:hAnsi="仿宋" w:eastAsia="仿宋_GB2312" w:cs="仿宋"/>
          <w:sz w:val="28"/>
          <w:szCs w:val="32"/>
        </w:rPr>
        <w:t xml:space="preserve">  </w:t>
      </w:r>
      <w:r>
        <w:rPr>
          <w:rFonts w:hint="eastAsia" w:ascii="仿宋_GB2312" w:hAnsi="仿宋" w:eastAsia="仿宋_GB2312" w:cs="仿宋"/>
          <w:spacing w:val="-20"/>
          <w:sz w:val="28"/>
          <w:szCs w:val="32"/>
          <w:u w:val="single"/>
        </w:rPr>
        <w:t>□</w:t>
      </w:r>
      <w:r>
        <w:rPr>
          <w:rFonts w:hint="eastAsia" w:ascii="仿宋_GB2312" w:hAnsi="仿宋" w:eastAsia="仿宋_GB2312" w:cs="仿宋"/>
          <w:sz w:val="28"/>
          <w:szCs w:val="32"/>
          <w:u w:val="single"/>
        </w:rPr>
        <w:t xml:space="preserve">专家组 </w:t>
      </w:r>
      <w:r>
        <w:rPr>
          <w:rFonts w:hint="eastAsia" w:ascii="仿宋_GB2312" w:hAnsi="仿宋" w:eastAsia="仿宋_GB2312" w:cs="仿宋"/>
          <w:sz w:val="28"/>
          <w:szCs w:val="32"/>
        </w:rPr>
        <w:t xml:space="preserve">  </w:t>
      </w:r>
      <w:r>
        <w:rPr>
          <w:rFonts w:hint="eastAsia" w:ascii="仿宋_GB2312" w:hAnsi="仿宋" w:eastAsia="仿宋_GB2312" w:cs="仿宋"/>
          <w:spacing w:val="-20"/>
          <w:sz w:val="28"/>
          <w:szCs w:val="32"/>
          <w:u w:val="single"/>
        </w:rPr>
        <w:sym w:font="Wingdings 2" w:char="0052"/>
      </w:r>
      <w:r>
        <w:rPr>
          <w:rFonts w:hint="eastAsia" w:ascii="仿宋_GB2312" w:hAnsi="仿宋" w:eastAsia="仿宋_GB2312" w:cs="仿宋"/>
          <w:sz w:val="28"/>
          <w:szCs w:val="32"/>
          <w:u w:val="single"/>
        </w:rPr>
        <w:t>项目单位评价组</w:t>
      </w:r>
    </w:p>
    <w:p>
      <w:pPr>
        <w:spacing w:line="578" w:lineRule="exact"/>
        <w:ind w:left="1050" w:hanging="1050" w:hangingChars="500"/>
        <w:rPr>
          <w:rFonts w:hint="eastAsia" w:ascii="仿宋_GB2312" w:hAnsi="仿宋" w:eastAsia="仿宋_GB2312" w:cs="仿宋"/>
          <w:szCs w:val="32"/>
        </w:rPr>
      </w:pPr>
    </w:p>
    <w:p>
      <w:pPr>
        <w:spacing w:line="578" w:lineRule="exact"/>
        <w:rPr>
          <w:rFonts w:hint="eastAsia" w:ascii="仿宋_GB2312" w:hAnsi="仿宋" w:eastAsia="仿宋_GB2312" w:cs="仿宋"/>
          <w:szCs w:val="32"/>
        </w:rPr>
      </w:pPr>
    </w:p>
    <w:p>
      <w:pPr>
        <w:spacing w:line="578" w:lineRule="exact"/>
        <w:ind w:left="1050" w:hanging="1050" w:hangingChars="500"/>
        <w:rPr>
          <w:rFonts w:hint="eastAsia" w:ascii="仿宋_GB2312" w:hAnsi="仿宋" w:eastAsia="仿宋_GB2312" w:cs="仿宋"/>
          <w:szCs w:val="32"/>
        </w:rPr>
      </w:pPr>
    </w:p>
    <w:p>
      <w:pPr>
        <w:spacing w:line="578" w:lineRule="exact"/>
        <w:ind w:left="1050" w:hanging="1050" w:hangingChars="500"/>
        <w:rPr>
          <w:rFonts w:hint="eastAsia" w:ascii="仿宋_GB2312" w:hAnsi="仿宋" w:eastAsia="仿宋_GB2312" w:cs="仿宋"/>
          <w:sz w:val="28"/>
          <w:szCs w:val="32"/>
        </w:rPr>
      </w:pPr>
      <w:r>
        <w:rPr>
          <w:rFonts w:hint="eastAsia" w:ascii="仿宋_GB2312" w:hAnsi="仿宋" w:eastAsia="仿宋_GB2312" w:cs="仿宋"/>
          <w:szCs w:val="32"/>
        </w:rPr>
        <w:t xml:space="preserve">         </w:t>
      </w:r>
      <w:r>
        <w:rPr>
          <w:rFonts w:hint="eastAsia" w:ascii="仿宋_GB2312" w:hAnsi="仿宋" w:eastAsia="仿宋_GB2312" w:cs="仿宋"/>
          <w:sz w:val="28"/>
          <w:szCs w:val="32"/>
        </w:rPr>
        <w:t>评价单位（盖章）：</w:t>
      </w:r>
    </w:p>
    <w:p>
      <w:pPr>
        <w:spacing w:line="578" w:lineRule="exact"/>
        <w:ind w:left="1400" w:hanging="1400" w:hangingChars="500"/>
        <w:rPr>
          <w:rFonts w:hint="eastAsia" w:ascii="仿宋_GB2312" w:hAnsi="仿宋" w:eastAsia="仿宋_GB2312" w:cs="仿宋"/>
          <w:sz w:val="28"/>
          <w:szCs w:val="32"/>
        </w:rPr>
      </w:pPr>
      <w:r>
        <w:rPr>
          <w:rFonts w:hint="eastAsia" w:ascii="仿宋_GB2312" w:hAnsi="仿宋" w:eastAsia="仿宋_GB2312" w:cs="仿宋"/>
          <w:sz w:val="28"/>
          <w:szCs w:val="32"/>
        </w:rPr>
        <w:t xml:space="preserve">           上报时间：</w:t>
      </w:r>
    </w:p>
    <w:p>
      <w:pPr>
        <w:spacing w:line="400" w:lineRule="exact"/>
        <w:jc w:val="left"/>
        <w:rPr>
          <w:rFonts w:hint="eastAsia" w:ascii="仿宋_GB2312" w:hAnsi="仿宋" w:eastAsia="仿宋_GB2312" w:cs="仿宋"/>
          <w:szCs w:val="32"/>
        </w:rPr>
      </w:pPr>
    </w:p>
    <w:p>
      <w:pPr>
        <w:rPr>
          <w:rFonts w:hint="eastAsia" w:ascii="仿宋" w:hAnsi="仿宋" w:eastAsia="仿宋" w:cs="仿宋"/>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部门评价报告</w:t>
      </w:r>
    </w:p>
    <w:p>
      <w:pPr>
        <w:pStyle w:val="9"/>
        <w:ind w:left="0" w:leftChars="0" w:firstLine="0" w:firstLineChars="0"/>
        <w:jc w:val="both"/>
        <w:rPr>
          <w:rFonts w:hint="eastAsia" w:ascii="仿宋" w:hAnsi="仿宋" w:eastAsia="仿宋" w:cs="仿宋"/>
          <w:b/>
          <w:bCs/>
          <w:sz w:val="30"/>
          <w:szCs w:val="30"/>
          <w:lang w:eastAsia="zh-CN"/>
        </w:rPr>
      </w:pPr>
      <w:r>
        <w:rPr>
          <w:rFonts w:hint="eastAsia" w:ascii="仿宋" w:hAnsi="仿宋" w:eastAsia="仿宋" w:cs="仿宋"/>
          <w:b/>
          <w:bCs/>
          <w:sz w:val="30"/>
          <w:szCs w:val="30"/>
        </w:rPr>
        <w:t>前 言</w:t>
      </w:r>
      <w:r>
        <w:rPr>
          <w:rFonts w:hint="eastAsia" w:ascii="仿宋" w:hAnsi="仿宋" w:eastAsia="仿宋" w:cs="仿宋"/>
          <w:b/>
          <w:bCs/>
          <w:sz w:val="30"/>
          <w:szCs w:val="30"/>
          <w:lang w:eastAsia="zh-CN"/>
        </w:rPr>
        <w:t>：</w:t>
      </w:r>
    </w:p>
    <w:p>
      <w:pPr>
        <w:spacing w:line="360" w:lineRule="auto"/>
        <w:ind w:firstLine="560"/>
        <w:rPr>
          <w:rFonts w:hint="eastAsia" w:ascii="仿宋" w:hAnsi="仿宋" w:eastAsia="仿宋" w:cs="仿宋"/>
          <w:sz w:val="30"/>
          <w:szCs w:val="30"/>
        </w:rPr>
      </w:pPr>
      <w:r>
        <w:rPr>
          <w:rFonts w:hint="eastAsia" w:ascii="仿宋" w:hAnsi="仿宋" w:eastAsia="仿宋" w:cs="仿宋"/>
          <w:sz w:val="30"/>
          <w:szCs w:val="30"/>
        </w:rPr>
        <w:t>财政支出绩效评价是财政管理体制改革的重大课题，也是建设廉洁高效政府的关键措施。预算绩效管理是一种以支出结果为导向的预算管理模式，是政府绩效管理的重要组成部分，是预算绩效管理的重要手段；结合社会经济发展需要和相关标准，运用合理的绩效评价目标，对财政资金的经济性、效率性和效益性做出客观公正的评判，通过绩效评价，可以强化支出责任，优化资源配置，提高财政资金的使用效益。</w:t>
      </w:r>
    </w:p>
    <w:p>
      <w:pPr>
        <w:spacing w:line="360" w:lineRule="auto"/>
        <w:ind w:firstLine="56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习近平总书记关于媒体融合发展的重要论述中提出，要坚定不移推进媒体深度融合发展，不断提高新闻舆论的传播力、引导力、影响力、公信力。2022年宜春市委宣传部投入800万元用于国内主流媒体合作经费，与大江网、凤凰网、江西日报等主流媒体签订合作协议，利用各大媒体的新闻宣传，稿件推送等资源，给予宜春新媒体平台，新媒体作品大力支持，更好地推介宜春市在全方位推动高质量发展中的新思路、新举措、新成效、新亮点，全面展示宜春市重大活动和经济、城乡统筹、民生建设等方面重点工作，不断提升宜春知名度。</w:t>
      </w:r>
    </w:p>
    <w:p>
      <w:pPr>
        <w:spacing w:line="360" w:lineRule="auto"/>
        <w:ind w:firstLine="560"/>
        <w:rPr>
          <w:rFonts w:hint="eastAsia" w:ascii="仿宋" w:hAnsi="仿宋" w:eastAsia="仿宋" w:cs="仿宋"/>
          <w:sz w:val="30"/>
          <w:szCs w:val="30"/>
        </w:rPr>
      </w:pPr>
      <w:r>
        <w:rPr>
          <w:rFonts w:hint="eastAsia" w:ascii="仿宋" w:hAnsi="仿宋" w:eastAsia="仿宋" w:cs="仿宋"/>
          <w:sz w:val="30"/>
          <w:szCs w:val="30"/>
        </w:rPr>
        <w:t>为深入</w:t>
      </w:r>
      <w:r>
        <w:rPr>
          <w:rFonts w:hint="eastAsia" w:ascii="仿宋" w:hAnsi="仿宋" w:eastAsia="仿宋" w:cs="仿宋"/>
          <w:sz w:val="30"/>
          <w:szCs w:val="30"/>
          <w:lang w:val="en-US" w:eastAsia="zh-CN"/>
        </w:rPr>
        <w:t>开展 2022年宣传部媒体合作项目</w:t>
      </w:r>
      <w:r>
        <w:rPr>
          <w:rFonts w:hint="eastAsia" w:ascii="仿宋" w:hAnsi="仿宋" w:eastAsia="仿宋" w:cs="仿宋"/>
          <w:sz w:val="30"/>
          <w:szCs w:val="30"/>
        </w:rPr>
        <w:t>，确保目标任务落实，强化预算支出主体责任，提高财政资源配置和使用效率</w:t>
      </w:r>
      <w:r>
        <w:rPr>
          <w:rFonts w:hint="eastAsia" w:ascii="仿宋" w:hAnsi="仿宋" w:eastAsia="仿宋" w:cs="仿宋"/>
          <w:sz w:val="30"/>
          <w:szCs w:val="30"/>
          <w:lang w:val="en-US" w:eastAsia="zh-CN"/>
        </w:rPr>
        <w:t>，宜春市委宣传部</w:t>
      </w:r>
      <w:r>
        <w:rPr>
          <w:rFonts w:hint="eastAsia" w:ascii="仿宋" w:hAnsi="仿宋" w:eastAsia="仿宋" w:cs="仿宋"/>
          <w:sz w:val="30"/>
          <w:szCs w:val="30"/>
        </w:rPr>
        <w:t>根据宜财绩[2023]2号《宜春市财政局关于市级部门开展单位自评及部门评价工作的通知》</w:t>
      </w:r>
      <w:r>
        <w:rPr>
          <w:rFonts w:hint="eastAsia" w:ascii="仿宋" w:hAnsi="仿宋" w:eastAsia="仿宋" w:cs="仿宋"/>
          <w:sz w:val="30"/>
          <w:szCs w:val="30"/>
          <w:lang w:eastAsia="zh-CN"/>
        </w:rPr>
        <w:t>、</w:t>
      </w:r>
      <w:r>
        <w:rPr>
          <w:rFonts w:hint="eastAsia" w:ascii="仿宋" w:hAnsi="仿宋" w:eastAsia="仿宋" w:cs="仿宋"/>
          <w:sz w:val="30"/>
          <w:szCs w:val="30"/>
        </w:rPr>
        <w:t>《预算法》</w:t>
      </w:r>
      <w:r>
        <w:rPr>
          <w:rFonts w:hint="eastAsia" w:ascii="仿宋" w:hAnsi="仿宋" w:eastAsia="仿宋" w:cs="仿宋"/>
          <w:sz w:val="30"/>
          <w:szCs w:val="30"/>
          <w:lang w:val="en-US" w:eastAsia="zh-CN"/>
        </w:rPr>
        <w:t>等</w:t>
      </w:r>
      <w:r>
        <w:rPr>
          <w:rFonts w:hint="eastAsia" w:ascii="仿宋" w:hAnsi="仿宋" w:eastAsia="仿宋" w:cs="仿宋"/>
          <w:sz w:val="30"/>
          <w:szCs w:val="30"/>
        </w:rPr>
        <w:t>文件精神，按照绩效评价工作的一般准则，对“2022年宣传部媒体合作费”的专项资金使用及其效果开展部门绩效评价工作并形成绩效评价报告。</w:t>
      </w:r>
    </w:p>
    <w:p>
      <w:pPr>
        <w:spacing w:line="720" w:lineRule="auto"/>
        <w:ind w:firstLine="640" w:firstLineChars="200"/>
        <w:rPr>
          <w:rFonts w:hint="eastAsia" w:ascii="黑体" w:hAnsi="黑体" w:eastAsia="黑体"/>
          <w:sz w:val="32"/>
          <w:szCs w:val="32"/>
        </w:rPr>
      </w:pPr>
      <w:r>
        <w:rPr>
          <w:rFonts w:hint="eastAsia" w:ascii="黑体" w:hAnsi="黑体" w:eastAsia="黑体"/>
          <w:sz w:val="32"/>
          <w:szCs w:val="32"/>
        </w:rPr>
        <w:t>一、基本情况</w:t>
      </w:r>
    </w:p>
    <w:p>
      <w:pPr>
        <w:spacing w:line="540" w:lineRule="exact"/>
        <w:ind w:firstLine="643" w:firstLineChars="200"/>
        <w:outlineLvl w:val="0"/>
        <w:rPr>
          <w:rFonts w:hint="eastAsia" w:ascii="仿宋_GB2312" w:hAnsi="仿宋_GB2312" w:eastAsia="仿宋_GB2312"/>
          <w:b/>
          <w:bCs/>
          <w:sz w:val="32"/>
          <w:szCs w:val="32"/>
        </w:rPr>
      </w:pPr>
      <w:r>
        <w:rPr>
          <w:rFonts w:hint="eastAsia" w:ascii="仿宋_GB2312" w:hAnsi="仿宋_GB2312" w:eastAsia="仿宋_GB2312"/>
          <w:b/>
          <w:bCs/>
          <w:sz w:val="32"/>
          <w:szCs w:val="32"/>
        </w:rPr>
        <w:t>（一）项目概况。</w:t>
      </w:r>
    </w:p>
    <w:p>
      <w:pPr>
        <w:pStyle w:val="9"/>
        <w:rPr>
          <w:rFonts w:hint="eastAsia" w:ascii="仿宋_GB2312" w:hAnsi="仿宋_GB2312" w:eastAsia="仿宋_GB2312"/>
          <w:b/>
          <w:bCs/>
          <w:sz w:val="32"/>
          <w:szCs w:val="32"/>
        </w:rPr>
      </w:pPr>
      <w:r>
        <w:rPr>
          <w:rFonts w:hint="eastAsia" w:hAnsi="仿宋_GB2312"/>
          <w:b/>
          <w:bCs/>
          <w:sz w:val="32"/>
          <w:szCs w:val="32"/>
          <w:lang w:val="en-US" w:eastAsia="zh-CN"/>
        </w:rPr>
        <w:t>1，</w:t>
      </w:r>
      <w:r>
        <w:rPr>
          <w:rFonts w:hint="eastAsia" w:ascii="仿宋_GB2312" w:hAnsi="仿宋_GB2312" w:eastAsia="仿宋_GB2312"/>
          <w:b/>
          <w:bCs/>
          <w:sz w:val="32"/>
          <w:szCs w:val="32"/>
        </w:rPr>
        <w:t>项目背景</w:t>
      </w:r>
    </w:p>
    <w:p>
      <w:pPr>
        <w:spacing w:line="360" w:lineRule="auto"/>
        <w:ind w:firstLine="560"/>
        <w:rPr>
          <w:rFonts w:hint="eastAsia" w:ascii="仿宋" w:hAnsi="仿宋" w:eastAsia="仿宋" w:cs="仿宋"/>
          <w:sz w:val="30"/>
          <w:szCs w:val="30"/>
          <w:lang w:eastAsia="zh-CN"/>
        </w:rPr>
      </w:pPr>
      <w:r>
        <w:rPr>
          <w:rFonts w:hint="eastAsia" w:ascii="仿宋" w:hAnsi="仿宋" w:eastAsia="仿宋" w:cs="仿宋"/>
          <w:sz w:val="30"/>
          <w:szCs w:val="30"/>
          <w:lang w:val="en-US" w:eastAsia="zh-CN"/>
        </w:rPr>
        <w:t>深入学习贯彻习近平新时代中国特色社会主义思想，紧扣学习宣传贯彻党的二十大精神主题主线，扎实开展“三拼三促”抓落实活动，高扬主旋律，唱响好声音，凝聚精气神，宜春市委宣传部投入媒体合作宣传工作经费，用于与国内主流媒体签订合作协议。结合宜春市委宣传部职能</w:t>
      </w:r>
      <w:r>
        <w:rPr>
          <w:rFonts w:hint="eastAsia" w:ascii="仿宋" w:hAnsi="仿宋" w:eastAsia="仿宋" w:cs="仿宋"/>
          <w:sz w:val="30"/>
          <w:szCs w:val="30"/>
        </w:rPr>
        <w:t>选定20</w:t>
      </w:r>
      <w:r>
        <w:rPr>
          <w:rFonts w:hint="eastAsia" w:ascii="仿宋" w:hAnsi="仿宋" w:eastAsia="仿宋" w:cs="仿宋"/>
          <w:sz w:val="30"/>
          <w:szCs w:val="30"/>
          <w:lang w:val="en-US" w:eastAsia="zh-CN"/>
        </w:rPr>
        <w:t>22</w:t>
      </w:r>
      <w:r>
        <w:rPr>
          <w:rFonts w:hint="eastAsia" w:ascii="仿宋" w:hAnsi="仿宋" w:eastAsia="仿宋" w:cs="仿宋"/>
          <w:sz w:val="30"/>
          <w:szCs w:val="30"/>
        </w:rPr>
        <w:t>年工作绩效评价目标：</w:t>
      </w:r>
      <w:r>
        <w:rPr>
          <w:rFonts w:hint="eastAsia" w:ascii="仿宋" w:hAnsi="仿宋" w:eastAsia="仿宋" w:cs="仿宋"/>
          <w:sz w:val="30"/>
          <w:szCs w:val="30"/>
          <w:lang w:val="en-US" w:eastAsia="zh-CN"/>
        </w:rPr>
        <w:t>投入</w:t>
      </w:r>
      <w:r>
        <w:rPr>
          <w:rFonts w:hint="eastAsia" w:ascii="仿宋" w:hAnsi="仿宋" w:eastAsia="仿宋" w:cs="仿宋"/>
          <w:sz w:val="30"/>
          <w:szCs w:val="30"/>
        </w:rPr>
        <w:t>媒体合作经费</w:t>
      </w:r>
      <w:r>
        <w:rPr>
          <w:rFonts w:hint="eastAsia" w:ascii="仿宋" w:hAnsi="仿宋" w:eastAsia="仿宋" w:cs="仿宋"/>
          <w:sz w:val="30"/>
          <w:szCs w:val="30"/>
          <w:lang w:val="en-US" w:eastAsia="zh-CN"/>
        </w:rPr>
        <w:t>800万元，以完成与大江网、凤凰网、江西广播电视台、江西日报等签订合作协议，对我市新闻稿件推送、新闻宣传等给予支持，</w:t>
      </w:r>
      <w:r>
        <w:rPr>
          <w:rFonts w:hint="eastAsia" w:ascii="仿宋" w:hAnsi="仿宋" w:eastAsia="仿宋" w:cs="仿宋"/>
          <w:kern w:val="2"/>
          <w:sz w:val="30"/>
          <w:szCs w:val="30"/>
          <w:lang w:val="en-US" w:eastAsia="zh-CN" w:bidi="ar-SA"/>
        </w:rPr>
        <w:t>提高宜春知名度。</w:t>
      </w:r>
    </w:p>
    <w:p>
      <w:pPr>
        <w:pStyle w:val="9"/>
        <w:numPr>
          <w:ilvl w:val="0"/>
          <w:numId w:val="0"/>
        </w:numPr>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lang w:val="en-US" w:eastAsia="zh-CN"/>
        </w:rPr>
        <w:t>2，</w:t>
      </w:r>
      <w:r>
        <w:rPr>
          <w:rFonts w:hint="eastAsia" w:ascii="仿宋_GB2312" w:hAnsi="仿宋_GB2312" w:eastAsia="仿宋_GB2312"/>
          <w:b/>
          <w:bCs/>
          <w:sz w:val="32"/>
          <w:szCs w:val="32"/>
        </w:rPr>
        <w:t>主要内容及实施情况</w:t>
      </w:r>
    </w:p>
    <w:p>
      <w:pPr>
        <w:pStyle w:val="9"/>
        <w:numPr>
          <w:ilvl w:val="0"/>
          <w:numId w:val="0"/>
        </w:numPr>
        <w:ind w:firstLine="600" w:firstLineChars="200"/>
        <w:rPr>
          <w:rFonts w:hint="default"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项目内容：与8家媒体进行合作，在中、省、市各电视媒体、纸媒、新媒体推送外宣新闻1000余条，外宣工作稳居全市第一方阵，汇集全市重点工作、重大活动和经济、城乡统筹、民生建设等重大主题在各级主流媒体得到全面报道，提高宜春知名度。与各知名主流网络媒体进行合作，搭建网络宣传推介宜春的平台，做好重大战略、重大节会、重要活动的网络宣传，推出专题网页，及时回应市民关切，正确引导社会舆论热点。</w:t>
      </w:r>
    </w:p>
    <w:p>
      <w:pPr>
        <w:ind w:firstLine="602" w:firstLineChars="200"/>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项目实施情况：</w:t>
      </w:r>
      <w:r>
        <w:rPr>
          <w:rFonts w:hint="eastAsia" w:ascii="仿宋" w:hAnsi="仿宋" w:eastAsia="仿宋" w:cs="仿宋"/>
          <w:kern w:val="2"/>
          <w:sz w:val="30"/>
          <w:szCs w:val="30"/>
          <w:lang w:val="en-US" w:eastAsia="zh-CN" w:bidi="ar-SA"/>
        </w:rPr>
        <w:t>2022年度宜春市委宣传部媒体合作费主要包含以下内容：</w:t>
      </w:r>
    </w:p>
    <w:p>
      <w:pPr>
        <w:keepNext w:val="0"/>
        <w:keepLines w:val="0"/>
        <w:pageBreakBefore w:val="0"/>
        <w:widowControl w:val="0"/>
        <w:kinsoku/>
        <w:wordWrap/>
        <w:overflowPunct/>
        <w:topLinePunct w:val="0"/>
        <w:autoSpaceDE/>
        <w:autoSpaceDN/>
        <w:bidi w:val="0"/>
        <w:adjustRightInd/>
        <w:snapToGrid/>
        <w:ind w:leftChars="0"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（1）与大江网签订合作协议，大江网提供稿件推送、新闻宣传等资源，给予宜春新媒体平台及新媒体作品支持。</w:t>
      </w:r>
    </w:p>
    <w:p>
      <w:pPr>
        <w:pStyle w:val="9"/>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（2）与凤凰网签订合作协议，凤凰网提供总网首屏头条新闻或焦点大图、凤凰全球会客厅人物专访、舆情协调处置、禅宗文化专栏、线上直播等资源，给予宜春新媒体平台及新媒体作品支持。</w:t>
      </w:r>
    </w:p>
    <w:p>
      <w:pPr>
        <w:pStyle w:val="9"/>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（3）与江西广播电视台签订合作协议，江西广播电台提供稿件推送、新闻宣传等资源，给予宜春新媒体平台及新媒体作品支持。</w:t>
      </w:r>
    </w:p>
    <w:p>
      <w:pPr>
        <w:pStyle w:val="9"/>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（4）与江西日报签订合作协议，江西日报提供头版头条稿件推送、整版稿件推送，版面头条稿件推送等资源，给予宜春主流媒体的支持。</w:t>
      </w:r>
    </w:p>
    <w:p>
      <w:pPr>
        <w:pStyle w:val="9"/>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（5）与人民网签订合作协议，人民网提供地方节点、地方频道微博、微信、图说中国、培训、舆情监测室地方节点、人民网地方演播室等资源，给予宜春经济社会发展等方面的宣传报道支持。</w:t>
      </w:r>
    </w:p>
    <w:p>
      <w:pPr>
        <w:pStyle w:val="9"/>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（6）与凤凰网签订合作协议，凤凰网提供总网首屏头条新闻或焦点大图、凤凰全球会客厅人物专访、舆情协调处置、禅宗文化专栏、线上直播等资源，给予宜春新媒</w:t>
      </w:r>
    </w:p>
    <w:p>
      <w:pPr>
        <w:pStyle w:val="9"/>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（7）体平台及新媒体作品支持。与新浪网签订合作协议，新浪网提供首页推图、新闻活动正面官传、舆情协调处置、新闻策划、扶持宜春大V等资源，给予宜春在新闻网站、微博等平台舆论支持。</w:t>
      </w:r>
    </w:p>
    <w:p>
      <w:pPr>
        <w:pStyle w:val="9"/>
        <w:keepNext w:val="0"/>
        <w:keepLines w:val="0"/>
        <w:pageBreakBefore w:val="0"/>
        <w:widowControl w:val="0"/>
        <w:numPr>
          <w:ilvl w:val="0"/>
          <w:numId w:val="0"/>
        </w:numPr>
        <w:kinsoku/>
        <w:wordWrap/>
        <w:overflowPunct/>
        <w:topLinePunct w:val="0"/>
        <w:autoSpaceDE/>
        <w:autoSpaceDN/>
        <w:bidi w:val="0"/>
        <w:adjustRightInd/>
        <w:snapToGrid/>
        <w:ind w:leftChars="0" w:firstLine="600" w:firstLineChars="200"/>
        <w:textAlignment w:val="auto"/>
        <w:outlineLvl w:val="9"/>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（8）与字节跳动公司签订合作协议，字节跳动提供抖音、今日头条等平台资源，给予宜春新媒体平台及新媒体作品支持。</w:t>
      </w:r>
    </w:p>
    <w:p>
      <w:pPr>
        <w:pStyle w:val="9"/>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Fonts w:hint="eastAsia" w:ascii="仿宋_GB2312" w:hAnsi="仿宋_GB2312" w:eastAsia="仿宋_GB2312"/>
          <w:b/>
          <w:bCs/>
          <w:sz w:val="32"/>
          <w:szCs w:val="32"/>
        </w:rPr>
      </w:pPr>
      <w:r>
        <w:rPr>
          <w:rFonts w:hint="eastAsia" w:ascii="仿宋_GB2312" w:hAnsi="仿宋_GB2312" w:eastAsia="仿宋_GB2312"/>
          <w:b/>
          <w:bCs/>
          <w:sz w:val="32"/>
          <w:szCs w:val="32"/>
          <w:lang w:val="en-US" w:eastAsia="zh-CN"/>
        </w:rPr>
        <w:t>3，</w:t>
      </w:r>
      <w:r>
        <w:rPr>
          <w:rFonts w:hint="eastAsia" w:ascii="仿宋_GB2312" w:hAnsi="仿宋_GB2312" w:eastAsia="仿宋_GB2312"/>
          <w:b/>
          <w:bCs/>
          <w:sz w:val="32"/>
          <w:szCs w:val="32"/>
        </w:rPr>
        <w:t>资金投入和使用情况</w:t>
      </w:r>
    </w:p>
    <w:p>
      <w:pPr>
        <w:spacing w:line="60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sz w:val="30"/>
          <w:szCs w:val="30"/>
        </w:rPr>
        <w:t>项目总</w:t>
      </w:r>
      <w:r>
        <w:rPr>
          <w:rFonts w:hint="eastAsia" w:ascii="仿宋" w:hAnsi="仿宋" w:eastAsia="仿宋" w:cs="仿宋"/>
          <w:sz w:val="30"/>
          <w:szCs w:val="30"/>
          <w:lang w:val="en-US" w:eastAsia="zh-CN"/>
        </w:rPr>
        <w:t>预算</w:t>
      </w:r>
      <w:r>
        <w:rPr>
          <w:rFonts w:hint="eastAsia" w:ascii="仿宋" w:hAnsi="仿宋" w:eastAsia="仿宋" w:cs="仿宋"/>
          <w:sz w:val="30"/>
          <w:szCs w:val="30"/>
        </w:rPr>
        <w:t>为</w:t>
      </w:r>
      <w:r>
        <w:rPr>
          <w:rFonts w:hint="eastAsia" w:ascii="仿宋" w:hAnsi="仿宋" w:eastAsia="仿宋" w:cs="仿宋"/>
          <w:sz w:val="30"/>
          <w:szCs w:val="30"/>
          <w:lang w:val="en-US" w:eastAsia="zh-CN"/>
        </w:rPr>
        <w:t>800</w:t>
      </w:r>
      <w:r>
        <w:rPr>
          <w:rFonts w:hint="eastAsia" w:ascii="仿宋" w:hAnsi="仿宋" w:eastAsia="仿宋" w:cs="仿宋"/>
          <w:sz w:val="30"/>
          <w:szCs w:val="30"/>
        </w:rPr>
        <w:t>万元，</w:t>
      </w:r>
      <w:r>
        <w:rPr>
          <w:rFonts w:hint="eastAsia" w:ascii="仿宋" w:hAnsi="仿宋" w:eastAsia="仿宋" w:cs="仿宋"/>
          <w:sz w:val="30"/>
          <w:szCs w:val="30"/>
          <w:lang w:val="en-US" w:eastAsia="zh-CN"/>
        </w:rPr>
        <w:t>全部为财政拨款</w:t>
      </w:r>
      <w:r>
        <w:rPr>
          <w:rFonts w:hint="eastAsia" w:ascii="仿宋" w:hAnsi="仿宋" w:eastAsia="仿宋" w:cs="仿宋"/>
          <w:sz w:val="30"/>
          <w:szCs w:val="30"/>
          <w:lang w:eastAsia="zh-CN"/>
        </w:rPr>
        <w:t>。</w:t>
      </w:r>
      <w:r>
        <w:rPr>
          <w:rFonts w:hint="eastAsia" w:ascii="仿宋" w:hAnsi="仿宋" w:eastAsia="仿宋" w:cs="仿宋"/>
          <w:b w:val="0"/>
          <w:bCs w:val="0"/>
          <w:kern w:val="2"/>
          <w:sz w:val="30"/>
          <w:szCs w:val="30"/>
          <w:lang w:val="en-US" w:eastAsia="zh-CN" w:bidi="ar-SA"/>
        </w:rPr>
        <w:t>宜春市委宣传部</w:t>
      </w:r>
      <w:r>
        <w:rPr>
          <w:rFonts w:hint="eastAsia" w:ascii="仿宋" w:hAnsi="仿宋" w:eastAsia="仿宋" w:cs="仿宋"/>
          <w:sz w:val="30"/>
          <w:szCs w:val="30"/>
        </w:rPr>
        <w:t>媒体合作费</w:t>
      </w:r>
      <w:r>
        <w:rPr>
          <w:rFonts w:hint="eastAsia" w:ascii="仿宋" w:hAnsi="仿宋" w:eastAsia="仿宋" w:cs="仿宋"/>
          <w:b w:val="0"/>
          <w:bCs w:val="0"/>
          <w:kern w:val="2"/>
          <w:sz w:val="30"/>
          <w:szCs w:val="30"/>
          <w:lang w:val="en-US" w:eastAsia="zh-CN" w:bidi="ar-SA"/>
        </w:rPr>
        <w:t>实际到位资金</w:t>
      </w:r>
      <w:r>
        <w:rPr>
          <w:rFonts w:hint="eastAsia" w:ascii="仿宋" w:hAnsi="仿宋" w:eastAsia="仿宋" w:cs="仿宋"/>
          <w:sz w:val="30"/>
          <w:szCs w:val="30"/>
          <w:lang w:val="en-US" w:eastAsia="zh-CN"/>
        </w:rPr>
        <w:t>800</w:t>
      </w:r>
      <w:r>
        <w:rPr>
          <w:rFonts w:hint="eastAsia" w:ascii="仿宋" w:hAnsi="仿宋" w:eastAsia="仿宋" w:cs="仿宋"/>
          <w:b w:val="0"/>
          <w:bCs w:val="0"/>
          <w:kern w:val="2"/>
          <w:sz w:val="30"/>
          <w:szCs w:val="30"/>
          <w:lang w:val="en-US" w:eastAsia="zh-CN" w:bidi="ar-SA"/>
        </w:rPr>
        <w:t>万元。资金到位率=（实际到位资金÷全年项目资金）×100%=（</w:t>
      </w:r>
      <w:r>
        <w:rPr>
          <w:rFonts w:hint="eastAsia" w:ascii="仿宋" w:hAnsi="仿宋" w:eastAsia="仿宋" w:cs="仿宋"/>
          <w:sz w:val="30"/>
          <w:szCs w:val="30"/>
          <w:lang w:val="en-US" w:eastAsia="zh-CN"/>
        </w:rPr>
        <w:t>800</w:t>
      </w:r>
      <w:r>
        <w:rPr>
          <w:rFonts w:hint="eastAsia" w:ascii="仿宋" w:hAnsi="仿宋" w:eastAsia="仿宋" w:cs="仿宋"/>
          <w:b w:val="0"/>
          <w:bCs w:val="0"/>
          <w:kern w:val="2"/>
          <w:sz w:val="30"/>
          <w:szCs w:val="30"/>
          <w:lang w:val="en-US" w:eastAsia="zh-CN" w:bidi="ar-SA"/>
        </w:rPr>
        <w:t>÷800）×100%=100%</w:t>
      </w:r>
    </w:p>
    <w:p>
      <w:pPr>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b w:val="0"/>
          <w:bCs w:val="0"/>
          <w:kern w:val="2"/>
          <w:sz w:val="30"/>
          <w:szCs w:val="30"/>
          <w:lang w:val="en-US" w:eastAsia="zh-CN" w:bidi="ar-SA"/>
        </w:rPr>
        <w:t>资金执行情况：</w:t>
      </w:r>
      <w:r>
        <w:rPr>
          <w:rFonts w:hint="eastAsia" w:ascii="仿宋" w:hAnsi="仿宋" w:eastAsia="仿宋" w:cs="仿宋"/>
          <w:sz w:val="30"/>
          <w:szCs w:val="30"/>
          <w:lang w:val="en-US" w:eastAsia="zh-CN"/>
        </w:rPr>
        <w:t>该项目全年预算执行数为800万元，预算执行率=（实际支出金额÷实际到位金额）×100%=（800÷800）×100%=100%。</w:t>
      </w:r>
    </w:p>
    <w:p>
      <w:pPr>
        <w:spacing w:line="480" w:lineRule="auto"/>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（二）项目绩效目标。</w:t>
      </w:r>
    </w:p>
    <w:p>
      <w:pPr>
        <w:spacing w:line="540" w:lineRule="exact"/>
        <w:ind w:firstLine="600" w:firstLineChars="200"/>
        <w:rPr>
          <w:rFonts w:hint="default" w:ascii="仿宋" w:hAnsi="仿宋" w:eastAsia="仿宋" w:cs="仿宋"/>
          <w:b w:val="0"/>
          <w:bCs w:val="0"/>
          <w:kern w:val="2"/>
          <w:sz w:val="30"/>
          <w:szCs w:val="30"/>
          <w:lang w:val="en-US" w:eastAsia="zh-CN" w:bidi="ar-SA"/>
        </w:rPr>
      </w:pPr>
      <w:r>
        <w:rPr>
          <w:rFonts w:hint="default" w:ascii="仿宋" w:hAnsi="仿宋" w:eastAsia="仿宋" w:cs="仿宋"/>
          <w:b w:val="0"/>
          <w:bCs w:val="0"/>
          <w:kern w:val="2"/>
          <w:sz w:val="30"/>
          <w:szCs w:val="30"/>
          <w:lang w:val="en-US" w:eastAsia="zh-CN" w:bidi="ar-SA"/>
        </w:rPr>
        <w:t>市委宣传部坚持围绕中心、服务大局，不断加强与中央、省级媒体的沟通联系和密切合作，充分调动各级各有关部门的积极性和创造性，加大在中央、省级媒体宣传</w:t>
      </w:r>
      <w:r>
        <w:rPr>
          <w:rFonts w:hint="eastAsia" w:ascii="仿宋" w:hAnsi="仿宋" w:eastAsia="仿宋" w:cs="仿宋"/>
          <w:b w:val="0"/>
          <w:bCs w:val="0"/>
          <w:kern w:val="2"/>
          <w:sz w:val="30"/>
          <w:szCs w:val="30"/>
          <w:lang w:val="en-US" w:eastAsia="zh-CN" w:bidi="ar-SA"/>
        </w:rPr>
        <w:t>宜春</w:t>
      </w:r>
      <w:r>
        <w:rPr>
          <w:rFonts w:hint="default" w:ascii="仿宋" w:hAnsi="仿宋" w:eastAsia="仿宋" w:cs="仿宋"/>
          <w:b w:val="0"/>
          <w:bCs w:val="0"/>
          <w:kern w:val="2"/>
          <w:sz w:val="30"/>
          <w:szCs w:val="30"/>
          <w:lang w:val="en-US" w:eastAsia="zh-CN" w:bidi="ar-SA"/>
        </w:rPr>
        <w:t>工作的力度，充分利用中央、省级媒体的重要版面、黄金时段，展示</w:t>
      </w:r>
      <w:r>
        <w:rPr>
          <w:rFonts w:hint="eastAsia" w:ascii="仿宋" w:hAnsi="仿宋" w:eastAsia="仿宋" w:cs="仿宋"/>
          <w:b w:val="0"/>
          <w:bCs w:val="0"/>
          <w:kern w:val="2"/>
          <w:sz w:val="30"/>
          <w:szCs w:val="30"/>
          <w:lang w:val="en-US" w:eastAsia="zh-CN" w:bidi="ar-SA"/>
        </w:rPr>
        <w:t>宜春</w:t>
      </w:r>
      <w:r>
        <w:rPr>
          <w:rFonts w:hint="default" w:ascii="仿宋" w:hAnsi="仿宋" w:eastAsia="仿宋" w:cs="仿宋"/>
          <w:b w:val="0"/>
          <w:bCs w:val="0"/>
          <w:kern w:val="2"/>
          <w:sz w:val="30"/>
          <w:szCs w:val="30"/>
          <w:lang w:val="en-US" w:eastAsia="zh-CN" w:bidi="ar-SA"/>
        </w:rPr>
        <w:t>全方位推动高质量发展的生动实践，让更多的人了解</w:t>
      </w:r>
      <w:r>
        <w:rPr>
          <w:rFonts w:hint="eastAsia" w:ascii="仿宋" w:hAnsi="仿宋" w:eastAsia="仿宋" w:cs="仿宋"/>
          <w:b w:val="0"/>
          <w:bCs w:val="0"/>
          <w:kern w:val="2"/>
          <w:sz w:val="30"/>
          <w:szCs w:val="30"/>
          <w:lang w:val="en-US" w:eastAsia="zh-CN" w:bidi="ar-SA"/>
        </w:rPr>
        <w:t>宜春</w:t>
      </w:r>
      <w:r>
        <w:rPr>
          <w:rFonts w:hint="default" w:ascii="仿宋" w:hAnsi="仿宋" w:eastAsia="仿宋" w:cs="仿宋"/>
          <w:b w:val="0"/>
          <w:bCs w:val="0"/>
          <w:kern w:val="2"/>
          <w:sz w:val="30"/>
          <w:szCs w:val="30"/>
          <w:lang w:val="en-US" w:eastAsia="zh-CN" w:bidi="ar-SA"/>
        </w:rPr>
        <w:t>、关注</w:t>
      </w:r>
      <w:r>
        <w:rPr>
          <w:rFonts w:hint="eastAsia" w:ascii="仿宋" w:hAnsi="仿宋" w:eastAsia="仿宋" w:cs="仿宋"/>
          <w:b w:val="0"/>
          <w:bCs w:val="0"/>
          <w:kern w:val="2"/>
          <w:sz w:val="30"/>
          <w:szCs w:val="30"/>
          <w:lang w:val="en-US" w:eastAsia="zh-CN" w:bidi="ar-SA"/>
        </w:rPr>
        <w:t>宜春</w:t>
      </w:r>
      <w:r>
        <w:rPr>
          <w:rFonts w:hint="default" w:ascii="仿宋" w:hAnsi="仿宋" w:eastAsia="仿宋" w:cs="仿宋"/>
          <w:b w:val="0"/>
          <w:bCs w:val="0"/>
          <w:kern w:val="2"/>
          <w:sz w:val="30"/>
          <w:szCs w:val="30"/>
          <w:lang w:val="en-US" w:eastAsia="zh-CN" w:bidi="ar-SA"/>
        </w:rPr>
        <w:t>、支持</w:t>
      </w:r>
      <w:r>
        <w:rPr>
          <w:rFonts w:hint="eastAsia" w:ascii="仿宋" w:hAnsi="仿宋" w:eastAsia="仿宋" w:cs="仿宋"/>
          <w:b w:val="0"/>
          <w:bCs w:val="0"/>
          <w:kern w:val="2"/>
          <w:sz w:val="30"/>
          <w:szCs w:val="30"/>
          <w:lang w:val="en-US" w:eastAsia="zh-CN" w:bidi="ar-SA"/>
        </w:rPr>
        <w:t>宜春</w:t>
      </w:r>
      <w:r>
        <w:rPr>
          <w:rFonts w:hint="default" w:ascii="仿宋" w:hAnsi="仿宋" w:eastAsia="仿宋" w:cs="仿宋"/>
          <w:b w:val="0"/>
          <w:bCs w:val="0"/>
          <w:kern w:val="2"/>
          <w:sz w:val="30"/>
          <w:szCs w:val="30"/>
          <w:lang w:val="en-US" w:eastAsia="zh-CN" w:bidi="ar-SA"/>
        </w:rPr>
        <w:t>。为全方位推动高质量发展营造了良好的舆论环境。</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二、绩效评价工作开展情况</w:t>
      </w:r>
    </w:p>
    <w:p>
      <w:pPr>
        <w:spacing w:line="540" w:lineRule="exact"/>
        <w:ind w:firstLine="643" w:firstLineChars="200"/>
        <w:rPr>
          <w:rFonts w:hint="eastAsia"/>
        </w:rPr>
      </w:pPr>
      <w:r>
        <w:rPr>
          <w:rFonts w:hint="eastAsia" w:ascii="仿宋_GB2312" w:hAnsi="仿宋_GB2312" w:eastAsia="仿宋_GB2312"/>
          <w:b/>
          <w:bCs/>
          <w:sz w:val="32"/>
          <w:szCs w:val="32"/>
        </w:rPr>
        <w:t>（一）绩效评价目的、对象和范围。</w:t>
      </w:r>
    </w:p>
    <w:p>
      <w:pPr>
        <w:pStyle w:val="4"/>
        <w:spacing w:line="240" w:lineRule="auto"/>
        <w:ind w:firstLine="602" w:firstLineChars="200"/>
        <w:rPr>
          <w:rFonts w:hint="eastAsia" w:ascii="仿宋" w:hAnsi="仿宋" w:eastAsia="仿宋" w:cs="仿宋"/>
          <w:b w:val="0"/>
          <w:bCs w:val="0"/>
          <w:kern w:val="2"/>
          <w:sz w:val="30"/>
          <w:szCs w:val="30"/>
          <w:lang w:val="en-US" w:eastAsia="zh-CN" w:bidi="ar-SA"/>
        </w:rPr>
      </w:pPr>
      <w:bookmarkStart w:id="0" w:name="_Toc32474"/>
      <w:r>
        <w:rPr>
          <w:rFonts w:hint="eastAsia" w:ascii="仿宋" w:hAnsi="仿宋" w:eastAsia="仿宋" w:cs="仿宋"/>
          <w:b/>
          <w:bCs/>
          <w:i w:val="0"/>
          <w:iCs w:val="0"/>
          <w:kern w:val="2"/>
          <w:sz w:val="30"/>
          <w:szCs w:val="30"/>
          <w:lang w:val="en-US" w:eastAsia="zh-CN" w:bidi="ar-SA"/>
        </w:rPr>
        <w:t>1、绩效评价的目的</w:t>
      </w:r>
      <w:bookmarkEnd w:id="0"/>
    </w:p>
    <w:p>
      <w:pPr>
        <w:spacing w:line="60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pPr>
        <w:spacing w:line="60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①了解各项目资金的使用情况、项目成效及社会效益等信息；</w:t>
      </w:r>
    </w:p>
    <w:p>
      <w:pPr>
        <w:spacing w:line="60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②发现和找出资金使用中或项目管理中的不足和问题，并进行深入研究和分析；</w:t>
      </w:r>
    </w:p>
    <w:p>
      <w:pPr>
        <w:spacing w:line="600" w:lineRule="exact"/>
        <w:ind w:firstLine="600" w:firstLineChars="200"/>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③针对绩效评价中发现的项目中存在的不足和问题，提出有针对性和可行性的改进建议，为改善后续工作提供有效借鉴，以促进资金使用效率的提高和项目效益的增强。</w:t>
      </w:r>
      <w:bookmarkStart w:id="1" w:name="_Toc1550"/>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2.</w:t>
      </w:r>
      <w:r>
        <w:rPr>
          <w:rFonts w:hint="eastAsia" w:ascii="仿宋" w:hAnsi="仿宋" w:eastAsia="仿宋" w:cs="仿宋"/>
          <w:b/>
          <w:bCs/>
          <w:sz w:val="30"/>
          <w:szCs w:val="30"/>
        </w:rPr>
        <w:t>绩效评价的对象和范围</w:t>
      </w:r>
      <w:bookmarkEnd w:id="1"/>
    </w:p>
    <w:p>
      <w:pPr>
        <w:spacing w:line="600" w:lineRule="exact"/>
        <w:ind w:firstLine="600" w:firstLineChars="200"/>
        <w:rPr>
          <w:rFonts w:hint="eastAsia"/>
        </w:rPr>
      </w:pPr>
      <w:r>
        <w:rPr>
          <w:rFonts w:hint="eastAsia" w:ascii="仿宋" w:hAnsi="仿宋" w:eastAsia="仿宋" w:cs="仿宋"/>
          <w:sz w:val="30"/>
          <w:szCs w:val="30"/>
        </w:rPr>
        <w:t>此次绩效评价的对象为项目；主要评价范围包含</w:t>
      </w:r>
      <w:r>
        <w:rPr>
          <w:rFonts w:hint="eastAsia" w:ascii="仿宋" w:hAnsi="仿宋" w:eastAsia="仿宋" w:cs="仿宋"/>
          <w:sz w:val="30"/>
          <w:szCs w:val="30"/>
          <w:lang w:val="en-US" w:eastAsia="zh-CN"/>
        </w:rPr>
        <w:t>宜春市委宣传部2022年媒体合作费</w:t>
      </w:r>
      <w:r>
        <w:rPr>
          <w:rFonts w:hint="eastAsia" w:ascii="仿宋" w:hAnsi="仿宋" w:eastAsia="仿宋" w:cs="仿宋"/>
          <w:sz w:val="30"/>
          <w:szCs w:val="30"/>
        </w:rPr>
        <w:t>资金</w:t>
      </w:r>
      <w:r>
        <w:rPr>
          <w:rFonts w:hint="eastAsia" w:ascii="仿宋" w:hAnsi="仿宋" w:eastAsia="仿宋" w:cs="仿宋"/>
          <w:sz w:val="30"/>
          <w:szCs w:val="30"/>
          <w:lang w:val="en-US" w:eastAsia="zh-CN"/>
        </w:rPr>
        <w:t>800万元</w:t>
      </w:r>
      <w:r>
        <w:rPr>
          <w:rFonts w:hint="eastAsia" w:ascii="仿宋" w:hAnsi="仿宋" w:eastAsia="仿宋" w:cs="仿宋"/>
          <w:sz w:val="30"/>
          <w:szCs w:val="30"/>
        </w:rPr>
        <w:t>，及其资金使用的合规性、项目具体实施情况、项目产生的效益、群众满意度等方面。</w:t>
      </w:r>
    </w:p>
    <w:p>
      <w:pPr>
        <w:spacing w:line="54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（二）绩效评价原则、评价指标体系（附表说明）、评价方法、评价标准等。</w:t>
      </w:r>
    </w:p>
    <w:p>
      <w:pPr>
        <w:pStyle w:val="4"/>
        <w:spacing w:line="360" w:lineRule="auto"/>
        <w:ind w:firstLine="602" w:firstLineChars="200"/>
        <w:rPr>
          <w:rFonts w:hint="eastAsia" w:ascii="仿宋" w:hAnsi="仿宋" w:eastAsia="仿宋" w:cs="仿宋"/>
          <w:sz w:val="30"/>
          <w:szCs w:val="30"/>
        </w:rPr>
      </w:pPr>
      <w:bookmarkStart w:id="2" w:name="_Toc18181"/>
      <w:r>
        <w:rPr>
          <w:rFonts w:hint="eastAsia" w:ascii="仿宋" w:hAnsi="仿宋" w:eastAsia="仿宋" w:cs="仿宋"/>
          <w:sz w:val="30"/>
          <w:szCs w:val="30"/>
        </w:rPr>
        <w:t>1、绩效评价的原则</w:t>
      </w:r>
      <w:bookmarkEnd w:id="2"/>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绩效评价应当遵循以下基本原则：</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①科学规范。绩效评价注重财政支出的经济性、效率性和有效性，严格执行规定的程序，采用定量与定性分析相结合的方法。</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②公正公开。绩效评价客观、公正，标准统一、资料可靠，依法公开并接受监督。</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③分级分类。绩效评价由各级财政部门、部门（单位）根据评价对象的特点，分类组织实施。</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④绩效相关。绩效评价针对具体支出及其产出绩效进行，评价结果清晰反映支出和产出绩效之间的紧密对应关系。</w:t>
      </w:r>
      <w:bookmarkStart w:id="3" w:name="_Toc13091"/>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2、评价指标体系</w:t>
      </w:r>
      <w:bookmarkEnd w:id="3"/>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根据财政部《项目支出绩效评价管理办法》（财预[</w:t>
      </w:r>
      <w:r>
        <w:rPr>
          <w:rFonts w:hint="eastAsia" w:ascii="仿宋" w:hAnsi="仿宋" w:eastAsia="仿宋" w:cs="仿宋"/>
          <w:sz w:val="30"/>
          <w:szCs w:val="30"/>
          <w:lang w:eastAsia="zh-CN"/>
        </w:rPr>
        <w:t>2021</w:t>
      </w:r>
      <w:r>
        <w:rPr>
          <w:rFonts w:hint="eastAsia" w:ascii="仿宋" w:hAnsi="仿宋" w:eastAsia="仿宋" w:cs="仿宋"/>
          <w:sz w:val="30"/>
          <w:szCs w:val="30"/>
        </w:rPr>
        <w:t>]10号）、《</w:t>
      </w:r>
      <w:r>
        <w:rPr>
          <w:rFonts w:hint="eastAsia" w:ascii="仿宋" w:hAnsi="仿宋" w:eastAsia="仿宋" w:cs="仿宋"/>
          <w:sz w:val="30"/>
          <w:szCs w:val="30"/>
          <w:lang w:val="en-US" w:eastAsia="zh-CN"/>
        </w:rPr>
        <w:t>宜春</w:t>
      </w:r>
      <w:r>
        <w:rPr>
          <w:rFonts w:hint="eastAsia" w:ascii="仿宋" w:hAnsi="仿宋" w:eastAsia="仿宋" w:cs="仿宋"/>
          <w:sz w:val="30"/>
          <w:szCs w:val="30"/>
        </w:rPr>
        <w:t>市财政局关于开展20</w:t>
      </w:r>
      <w:r>
        <w:rPr>
          <w:rFonts w:hint="eastAsia" w:ascii="仿宋" w:hAnsi="仿宋" w:eastAsia="仿宋" w:cs="仿宋"/>
          <w:sz w:val="30"/>
          <w:szCs w:val="30"/>
          <w:lang w:val="en-US" w:eastAsia="zh-CN"/>
        </w:rPr>
        <w:t>22</w:t>
      </w:r>
      <w:r>
        <w:rPr>
          <w:rFonts w:hint="eastAsia" w:ascii="仿宋" w:hAnsi="仿宋" w:eastAsia="仿宋" w:cs="仿宋"/>
          <w:sz w:val="30"/>
          <w:szCs w:val="30"/>
        </w:rPr>
        <w:t>年度市级部门财政项目支出绩效评价工作的通知》（</w:t>
      </w:r>
      <w:r>
        <w:rPr>
          <w:rFonts w:hint="eastAsia" w:ascii="仿宋" w:hAnsi="仿宋" w:eastAsia="仿宋" w:cs="仿宋"/>
          <w:sz w:val="30"/>
          <w:szCs w:val="30"/>
          <w:lang w:val="en-US" w:eastAsia="zh-CN"/>
        </w:rPr>
        <w:t>宜</w:t>
      </w:r>
      <w:r>
        <w:rPr>
          <w:rFonts w:hint="eastAsia" w:ascii="仿宋" w:hAnsi="仿宋" w:eastAsia="仿宋" w:cs="仿宋"/>
          <w:sz w:val="30"/>
          <w:szCs w:val="30"/>
        </w:rPr>
        <w:t>财</w:t>
      </w:r>
      <w:r>
        <w:rPr>
          <w:rFonts w:hint="eastAsia" w:ascii="仿宋" w:hAnsi="仿宋" w:eastAsia="仿宋" w:cs="仿宋"/>
          <w:sz w:val="30"/>
          <w:szCs w:val="30"/>
          <w:lang w:val="en-US" w:eastAsia="zh-CN"/>
        </w:rPr>
        <w:t>绩</w:t>
      </w:r>
      <w:r>
        <w:rPr>
          <w:rFonts w:hint="eastAsia" w:ascii="仿宋" w:hAnsi="仿宋" w:eastAsia="仿宋" w:cs="仿宋"/>
          <w:sz w:val="30"/>
          <w:szCs w:val="30"/>
        </w:rPr>
        <w:t>[202</w:t>
      </w:r>
      <w:r>
        <w:rPr>
          <w:rFonts w:hint="eastAsia" w:ascii="仿宋" w:hAnsi="仿宋" w:eastAsia="仿宋" w:cs="仿宋"/>
          <w:sz w:val="30"/>
          <w:szCs w:val="30"/>
          <w:lang w:val="en-US" w:eastAsia="zh-CN"/>
        </w:rPr>
        <w:t>3</w:t>
      </w:r>
      <w:r>
        <w:rPr>
          <w:rFonts w:hint="eastAsia" w:ascii="仿宋" w:hAnsi="仿宋" w:eastAsia="仿宋" w:cs="仿宋"/>
          <w:sz w:val="30"/>
          <w:szCs w:val="30"/>
        </w:rPr>
        <w:t>]</w:t>
      </w:r>
      <w:r>
        <w:rPr>
          <w:rFonts w:hint="eastAsia" w:ascii="仿宋" w:hAnsi="仿宋" w:eastAsia="仿宋" w:cs="仿宋"/>
          <w:sz w:val="30"/>
          <w:szCs w:val="30"/>
          <w:lang w:val="en-US" w:eastAsia="zh-CN"/>
        </w:rPr>
        <w:t>2</w:t>
      </w:r>
      <w:r>
        <w:rPr>
          <w:rFonts w:hint="eastAsia" w:ascii="仿宋" w:hAnsi="仿宋" w:eastAsia="仿宋" w:cs="仿宋"/>
          <w:sz w:val="30"/>
          <w:szCs w:val="30"/>
        </w:rPr>
        <w:t>号）等文件精神，确定本次绩效评价指标的整体框架。包括项目决策指标（项目立项、绩效目标、资金投入），过程指标（资金管理、组织实施），项目产出（产出数量指标、产出质量指标、产出时效指标、产出成本指标），产出效益（项目经济效益指标、项目社会效益指标、项目环境效益指标、项目可持续影响指标、项目满意度），结合项目实际情况，确定本次绩效评价指标体系的个性指标，并通过与相关各方的协商最终确定全部指标内容。指标数据来源于法规与政府文件、基础数据采集、问卷调查、访谈等。</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（1）项目资金：占权重分10分。用于考核项目预算执行率等方面。</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（2）项目产出：占权重50分，分为产出数量、产出质量、产出时效、产出成本四个方面。</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（3）项目效益：占权重30分，分为经济效益、社会效益、生态效益、可持续影响等方面。</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（4）项目满意度：占权重10分，主要考察项目实施后群众对项目实施产生效果的满意度，包含受益群体满意度与普通群众满意度等方面。</w:t>
      </w:r>
    </w:p>
    <w:p>
      <w:pPr>
        <w:spacing w:line="600" w:lineRule="exact"/>
        <w:ind w:firstLine="602" w:firstLineChars="200"/>
        <w:rPr>
          <w:rFonts w:hint="eastAsia" w:ascii="仿宋" w:hAnsi="仿宋" w:eastAsia="仿宋" w:cs="仿宋"/>
          <w:b/>
          <w:bCs/>
          <w:sz w:val="30"/>
          <w:szCs w:val="30"/>
        </w:rPr>
      </w:pPr>
      <w:bookmarkStart w:id="4" w:name="_Toc19470"/>
      <w:r>
        <w:rPr>
          <w:rFonts w:hint="eastAsia" w:ascii="仿宋" w:hAnsi="仿宋" w:eastAsia="仿宋" w:cs="仿宋"/>
          <w:b/>
          <w:bCs/>
          <w:sz w:val="30"/>
          <w:szCs w:val="30"/>
          <w:lang w:val="en-US" w:eastAsia="zh-CN"/>
        </w:rPr>
        <w:t>3、</w:t>
      </w:r>
      <w:r>
        <w:rPr>
          <w:rFonts w:hint="eastAsia" w:ascii="仿宋" w:hAnsi="仿宋" w:eastAsia="仿宋" w:cs="仿宋"/>
          <w:b/>
          <w:bCs/>
          <w:sz w:val="30"/>
          <w:szCs w:val="30"/>
        </w:rPr>
        <w:t>评价方法</w:t>
      </w:r>
      <w:bookmarkEnd w:id="4"/>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相关方的负责人进行，用以从整体上把握项目的基本情况；财务核查则是通过专业财务人员通过查看项目相关财务凭证，掌握项目资金的使用情况；实地调研则是通过研究员调查实地情况，了解项目的产出和效果；问卷调查则是对项目的相关受益群体进行，了解其对项目实施的真实看法及满意状况。</w:t>
      </w:r>
    </w:p>
    <w:p>
      <w:pPr>
        <w:spacing w:line="600" w:lineRule="exact"/>
        <w:ind w:firstLine="602" w:firstLineChars="200"/>
        <w:rPr>
          <w:rFonts w:hint="eastAsia" w:ascii="仿宋" w:hAnsi="仿宋" w:eastAsia="仿宋" w:cs="仿宋"/>
          <w:b/>
          <w:bCs/>
          <w:sz w:val="30"/>
          <w:szCs w:val="30"/>
          <w:lang w:val="en-US" w:eastAsia="zh-CN"/>
        </w:rPr>
      </w:pPr>
      <w:bookmarkStart w:id="5" w:name="_Toc22442"/>
      <w:r>
        <w:rPr>
          <w:rFonts w:hint="eastAsia" w:ascii="仿宋" w:hAnsi="仿宋" w:eastAsia="仿宋" w:cs="仿宋"/>
          <w:b/>
          <w:bCs/>
          <w:sz w:val="30"/>
          <w:szCs w:val="30"/>
          <w:lang w:val="en-US" w:eastAsia="zh-CN"/>
        </w:rPr>
        <w:t>4、评价标准</w:t>
      </w:r>
      <w:bookmarkEnd w:id="5"/>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绩效评价标准是指衡量财政支出绩效目标完成程度的尺度。对于评价指标而言，需要通过评价标准来判别评价指标的状况和优劣程度。是评价工作的基本准绳和标尺，是最后进行评价计分的依据，它决定了评价目标能否实现以及评价结果是否公平准确。绩效指标评价标准主要有：</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（1）计划标准</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以预先制定的计划、目标、预算或定额等数据作为绩效评价标准。计划值作为评价的指标旨在通过将实际完成值与预定值对比，找出两者的差异，从而达到评价目的。但由于容易受主观因素影响，计划标准的制定要求较高。</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（2）行业标准</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以某一具体行业许多个体或某项财政经费的相关指标数据为样本，运用数理统计方法，计算和制定的该行业评价标准。行业标准可方便财政部门对各类支出的绩效情况进行纵向的或横向的比较分析；行业标准具有易取得性、权威性和客观性，广为评价工作者使用，然而行业标准的充分应用需要强大的数据资料库做支撑。</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（3）历史标准</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以绩效评价指标的历史数据作为样本，运用一定的统计学方法，计算出各类指标的平均历史水平。在运用历史标准进行评价时，要对其根据价格指数、统计口径或核算方法的变化对历史标准进行修订和完善。 </w:t>
      </w:r>
    </w:p>
    <w:p>
      <w:p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（4）经验标准</w:t>
      </w:r>
    </w:p>
    <w:p>
      <w:pPr>
        <w:spacing w:line="600" w:lineRule="exact"/>
        <w:ind w:firstLine="600" w:firstLineChars="200"/>
        <w:rPr>
          <w:rFonts w:hint="eastAsia"/>
        </w:rPr>
      </w:pPr>
      <w:r>
        <w:rPr>
          <w:rFonts w:hint="eastAsia" w:ascii="仿宋" w:hAnsi="仿宋" w:eastAsia="仿宋" w:cs="仿宋"/>
          <w:sz w:val="30"/>
          <w:szCs w:val="30"/>
        </w:rPr>
        <w:t>根据长期的财政经济活动管理实践，由在该领域中具有丰富经验的专家学者，在经过严密分析与研究，得到的有关指标标准。该标准适用于缺乏同行业标准比较时用。即便行业标准与经验标准两者都可得到并使用，如果前者不如后者有权威性时，为保证评价结果的认可度，也应当选择经验标准，而不是选择行业标准。</w:t>
      </w:r>
    </w:p>
    <w:p>
      <w:pPr>
        <w:spacing w:line="540" w:lineRule="exact"/>
        <w:ind w:firstLine="643" w:firstLineChars="200"/>
        <w:rPr>
          <w:rFonts w:hint="eastAsia" w:ascii="仿宋_GB2312" w:hAnsi="仿宋_GB2312" w:eastAsia="仿宋_GB2312"/>
          <w:b/>
          <w:bCs/>
          <w:sz w:val="32"/>
          <w:szCs w:val="32"/>
        </w:rPr>
      </w:pPr>
      <w:r>
        <w:rPr>
          <w:rFonts w:hint="eastAsia" w:ascii="仿宋_GB2312" w:hAnsi="仿宋_GB2312" w:eastAsia="仿宋_GB2312"/>
          <w:b/>
          <w:bCs/>
          <w:sz w:val="32"/>
          <w:szCs w:val="32"/>
        </w:rPr>
        <w:t>（三）绩效评价工作过程。</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提交部门审核，并根据审核意见进一步修改和完善绩效评价工作方案。然后运用科学的评价方法，对资金使用全过程及其支出的经济性、效率性和效益性进行客观公正的综合评价，以衡量预算绩效管理培训项目资金的使用绩效，同时分析其是否达到预期目标，并以书面形式分析绩效优劣的原因、造成的不良后果及影响，提出改进的意见和建议，最后撰写绩效评价报告。</w:t>
      </w:r>
      <w:bookmarkStart w:id="6" w:name="_Toc16735"/>
    </w:p>
    <w:p>
      <w:pPr>
        <w:numPr>
          <w:ilvl w:val="0"/>
          <w:numId w:val="1"/>
        </w:num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绩效评价的业务流程</w:t>
      </w:r>
      <w:bookmarkEnd w:id="6"/>
    </w:p>
    <w:p>
      <w:pPr>
        <w:numPr>
          <w:ilvl w:val="0"/>
          <w:numId w:val="0"/>
        </w:numPr>
        <w:spacing w:line="600" w:lineRule="exact"/>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（1）评价前期准备</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了解评价对象情况：根据委托方及主管部门（单位）的介绍及相关文件的解读，了解预算绩效管理培训项目情况，确定本次绩效评价类型、适用的原理框架、评价重点领域及涉及到的相关方。</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（2）绩效评价实施</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价证据的收集：绩效评价工作的科学合理开展建立在坚实的证据基础之上。绩效评价组决定从项目资金入手，对项目实施单位进行财务核查，一方面对专项资金支出合法性、合理性和合规性进行客观、公正的核查，另一方面通过对资金进行梳理汇总分类，掌握项目组织实施的情况。重点关注资金支出产生和效益。</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同时，组织对项目负责人及组织实施参与者的深度访谈，以了解项目资金使用的整体情况，诸如覆盖人群、使用方式、组织形式、取得成果及存在问题等，为评价组调整工作重点提供信息支撑，也可对项目整体情况形成总体把握。</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然后，对项目组织实施资料进行核实，这一阶段主要是进行项目相关证据的收集，为后续分析及报告撰写做好铺垫。</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另外，对项目组织实施资料进行整理，了解项目实施受益群体范围，并进行问卷调查和组织座谈。</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评价证据审核：对收集到的评价证据，保持职业怀疑，通过核实基础数据的全面性、真实性以及统计口径的一致性等，增加评价证据的可置信程度。 </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绩效分析与评级：运用既定的分析方法，根据收集整理的证据和设定的评分标准进行分析，对各项评价指标进行评分。通过加权计算出最终的评价分值，并相应确定绩效等级。</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形成评价结论：评价结论按照既定要求在内外部组织讨论，从各评价维度对相关细节问题进行核实并权衡。评价结论了说明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2"/>
        <w:ind w:firstLine="602" w:firstLineChars="200"/>
        <w:rPr>
          <w:rFonts w:hint="eastAsia" w:ascii="仿宋" w:hAnsi="仿宋" w:eastAsia="仿宋" w:cs="仿宋"/>
          <w:b/>
          <w:bCs/>
          <w:kern w:val="2"/>
          <w:sz w:val="30"/>
          <w:szCs w:val="30"/>
          <w:lang w:val="en-US" w:eastAsia="zh-CN" w:bidi="ar-SA"/>
        </w:rPr>
      </w:pPr>
      <w:bookmarkStart w:id="7" w:name="_Toc31124"/>
      <w:r>
        <w:rPr>
          <w:rFonts w:hint="eastAsia" w:ascii="仿宋" w:hAnsi="仿宋" w:eastAsia="仿宋" w:cs="仿宋"/>
          <w:b/>
          <w:bCs/>
          <w:kern w:val="2"/>
          <w:sz w:val="30"/>
          <w:szCs w:val="30"/>
          <w:lang w:val="en-US" w:eastAsia="zh-CN" w:bidi="ar-SA"/>
        </w:rPr>
        <w:t>2、形成绩效评价报告</w:t>
      </w:r>
      <w:bookmarkEnd w:id="7"/>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（1）撰写绩效评价初稿</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评价组根据前述绩效分析和评价结论，按照绩效评价要求提炼撰写绩效报告，并在项目组内部进行审核主要关注报告格式是否规范，内容是否完整；绩效数据是否真实、可靠，是否进行了必要的核实工作；报告逻辑是否清晰，分析问题是否透彻。</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（2）绩效评价报告复核</w:t>
      </w:r>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将评价报告初稿提交</w:t>
      </w:r>
      <w:r>
        <w:rPr>
          <w:rFonts w:hint="eastAsia" w:ascii="仿宋" w:hAnsi="仿宋" w:eastAsia="仿宋" w:cs="仿宋"/>
          <w:sz w:val="30"/>
          <w:szCs w:val="30"/>
          <w:lang w:val="en-US" w:eastAsia="zh-CN"/>
        </w:rPr>
        <w:t>宜春市委宣传部</w:t>
      </w:r>
      <w:r>
        <w:rPr>
          <w:rFonts w:hint="eastAsia" w:ascii="仿宋" w:hAnsi="仿宋" w:eastAsia="仿宋" w:cs="仿宋"/>
          <w:sz w:val="30"/>
          <w:szCs w:val="30"/>
        </w:rPr>
        <w:t>领导及项目实施单位进行复核，主要关注报告结论是否全面、准确；经验、教训的总结是否深刻，建议是否可行等。</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（3）形成评价报告终稿</w:t>
      </w:r>
    </w:p>
    <w:p>
      <w:pPr>
        <w:spacing w:line="600" w:lineRule="exact"/>
        <w:ind w:firstLine="600" w:firstLineChars="200"/>
        <w:rPr>
          <w:rFonts w:hint="eastAsia"/>
        </w:rPr>
      </w:pPr>
      <w:r>
        <w:rPr>
          <w:rFonts w:hint="eastAsia" w:ascii="仿宋" w:hAnsi="仿宋" w:eastAsia="仿宋" w:cs="仿宋"/>
          <w:sz w:val="30"/>
          <w:szCs w:val="30"/>
        </w:rPr>
        <w:t>在</w:t>
      </w:r>
      <w:r>
        <w:rPr>
          <w:rFonts w:hint="eastAsia" w:ascii="仿宋" w:hAnsi="仿宋" w:eastAsia="仿宋" w:cs="仿宋"/>
          <w:sz w:val="30"/>
          <w:szCs w:val="30"/>
          <w:lang w:eastAsia="zh-CN"/>
        </w:rPr>
        <w:t>宜春市委宣传部</w:t>
      </w:r>
      <w:r>
        <w:rPr>
          <w:rFonts w:hint="eastAsia" w:ascii="仿宋" w:hAnsi="仿宋" w:eastAsia="仿宋" w:cs="仿宋"/>
          <w:sz w:val="30"/>
          <w:szCs w:val="30"/>
        </w:rPr>
        <w:t>领导及项目实施</w:t>
      </w:r>
      <w:r>
        <w:rPr>
          <w:rFonts w:hint="eastAsia" w:ascii="仿宋" w:hAnsi="仿宋" w:eastAsia="仿宋" w:cs="仿宋"/>
          <w:sz w:val="30"/>
          <w:szCs w:val="30"/>
          <w:lang w:eastAsia="zh-CN"/>
        </w:rPr>
        <w:t>部门</w:t>
      </w:r>
      <w:r>
        <w:rPr>
          <w:rFonts w:hint="eastAsia" w:ascii="仿宋" w:hAnsi="仿宋" w:eastAsia="仿宋" w:cs="仿宋"/>
          <w:sz w:val="30"/>
          <w:szCs w:val="30"/>
        </w:rPr>
        <w:t>对评价报告意见和建议的基础上，修改并完善评价报告。</w:t>
      </w:r>
    </w:p>
    <w:p>
      <w:pPr>
        <w:numPr>
          <w:ilvl w:val="0"/>
          <w:numId w:val="2"/>
        </w:numPr>
        <w:spacing w:line="480" w:lineRule="auto"/>
        <w:ind w:firstLine="640" w:firstLineChars="200"/>
        <w:rPr>
          <w:rFonts w:hint="eastAsia" w:ascii="黑体" w:hAnsi="黑体" w:eastAsia="黑体"/>
          <w:sz w:val="32"/>
          <w:szCs w:val="32"/>
        </w:rPr>
      </w:pPr>
      <w:r>
        <w:rPr>
          <w:rFonts w:hint="eastAsia" w:ascii="黑体" w:hAnsi="黑体" w:eastAsia="黑体"/>
          <w:sz w:val="32"/>
          <w:szCs w:val="32"/>
        </w:rPr>
        <w:t>综合评价情况及评价结论（附相关评分表）</w:t>
      </w:r>
    </w:p>
    <w:p>
      <w:pPr>
        <w:spacing w:line="540" w:lineRule="exact"/>
        <w:ind w:firstLine="643" w:firstLineChars="200"/>
        <w:outlineLvl w:val="0"/>
        <w:rPr>
          <w:rFonts w:hint="eastAsia" w:ascii="仿宋_GB2312" w:hAnsi="仿宋_GB2312" w:eastAsia="仿宋_GB2312"/>
          <w:b/>
          <w:bCs/>
          <w:sz w:val="32"/>
          <w:szCs w:val="32"/>
        </w:rPr>
      </w:pPr>
      <w:bookmarkStart w:id="8" w:name="_Toc2001"/>
      <w:r>
        <w:rPr>
          <w:rFonts w:hint="eastAsia" w:ascii="仿宋_GB2312" w:hAnsi="仿宋_GB2312" w:eastAsia="仿宋_GB2312"/>
          <w:b/>
          <w:bCs/>
          <w:sz w:val="32"/>
          <w:szCs w:val="32"/>
          <w:lang w:eastAsia="zh-CN"/>
        </w:rPr>
        <w:t>（</w:t>
      </w:r>
      <w:r>
        <w:rPr>
          <w:rFonts w:hint="eastAsia" w:ascii="仿宋_GB2312" w:hAnsi="仿宋_GB2312" w:eastAsia="仿宋_GB2312"/>
          <w:b/>
          <w:bCs/>
          <w:sz w:val="32"/>
          <w:szCs w:val="32"/>
          <w:lang w:val="en-US" w:eastAsia="zh-CN"/>
        </w:rPr>
        <w:t>一</w:t>
      </w:r>
      <w:r>
        <w:rPr>
          <w:rFonts w:hint="eastAsia" w:ascii="仿宋_GB2312" w:hAnsi="仿宋_GB2312" w:eastAsia="仿宋_GB2312"/>
          <w:b/>
          <w:bCs/>
          <w:sz w:val="32"/>
          <w:szCs w:val="32"/>
          <w:lang w:eastAsia="zh-CN"/>
        </w:rPr>
        <w:t>）</w:t>
      </w:r>
      <w:r>
        <w:rPr>
          <w:rFonts w:hint="eastAsia" w:ascii="仿宋_GB2312" w:hAnsi="仿宋_GB2312" w:eastAsia="仿宋_GB2312"/>
          <w:b/>
          <w:bCs/>
          <w:sz w:val="32"/>
          <w:szCs w:val="32"/>
        </w:rPr>
        <w:t>综合评价情况及其结论</w:t>
      </w:r>
      <w:bookmarkEnd w:id="8"/>
    </w:p>
    <w:p>
      <w:pPr>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我单位积极履行，强化管理，较好地完成了年度工作目标。通过加强预算收支管理，不断建立健全内部管理制度，梳理内部管理流程，</w:t>
      </w:r>
      <w:r>
        <w:rPr>
          <w:rFonts w:hint="eastAsia" w:ascii="仿宋" w:hAnsi="仿宋" w:eastAsia="仿宋" w:cs="仿宋"/>
          <w:sz w:val="30"/>
          <w:szCs w:val="30"/>
          <w:lang w:val="en-US" w:eastAsia="zh-CN"/>
        </w:rPr>
        <w:t>项目</w:t>
      </w:r>
      <w:r>
        <w:rPr>
          <w:rFonts w:hint="eastAsia" w:ascii="仿宋" w:hAnsi="仿宋" w:eastAsia="仿宋" w:cs="仿宋"/>
          <w:sz w:val="30"/>
          <w:szCs w:val="30"/>
        </w:rPr>
        <w:t>支出管理水平得到提升。我</w:t>
      </w:r>
      <w:r>
        <w:rPr>
          <w:rFonts w:hint="eastAsia" w:ascii="仿宋" w:hAnsi="仿宋" w:eastAsia="仿宋" w:cs="仿宋"/>
          <w:sz w:val="30"/>
          <w:szCs w:val="30"/>
          <w:lang w:val="en-US" w:eastAsia="zh-CN"/>
        </w:rPr>
        <w:t>单位</w:t>
      </w:r>
      <w:r>
        <w:rPr>
          <w:rFonts w:hint="eastAsia" w:ascii="仿宋" w:hAnsi="仿宋" w:eastAsia="仿宋" w:cs="仿宋"/>
          <w:sz w:val="30"/>
          <w:szCs w:val="30"/>
        </w:rPr>
        <w:t>按照市</w:t>
      </w:r>
      <w:r>
        <w:rPr>
          <w:rFonts w:hint="eastAsia" w:ascii="仿宋" w:hAnsi="仿宋" w:eastAsia="仿宋" w:cs="仿宋"/>
          <w:sz w:val="30"/>
          <w:szCs w:val="30"/>
          <w:lang w:val="en-US" w:eastAsia="zh-CN"/>
        </w:rPr>
        <w:t>财政</w:t>
      </w:r>
      <w:r>
        <w:rPr>
          <w:rFonts w:hint="eastAsia" w:ascii="仿宋" w:hAnsi="仿宋" w:eastAsia="仿宋" w:cs="仿宋"/>
          <w:sz w:val="30"/>
          <w:szCs w:val="30"/>
        </w:rPr>
        <w:t>下发的宜发[2019]19号</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中共宜春市委 宜春市人民政府印发《关于全面实施预算绩效管理的实施意见》的通知精神，组织成立了绩效管理工作实施小组</w:t>
      </w:r>
      <w:r>
        <w:rPr>
          <w:rFonts w:hint="eastAsia" w:ascii="仿宋" w:hAnsi="仿宋" w:eastAsia="仿宋" w:cs="仿宋"/>
          <w:sz w:val="30"/>
          <w:szCs w:val="30"/>
          <w:lang w:eastAsia="zh-CN"/>
        </w:rPr>
        <w:t>。</w:t>
      </w:r>
      <w:r>
        <w:rPr>
          <w:rFonts w:hint="eastAsia" w:ascii="仿宋" w:hAnsi="仿宋" w:eastAsia="仿宋" w:cs="仿宋"/>
          <w:sz w:val="30"/>
          <w:szCs w:val="30"/>
        </w:rPr>
        <w:t>全力推进预算绩效管理工作。</w:t>
      </w:r>
    </w:p>
    <w:p>
      <w:pPr>
        <w:spacing w:line="600" w:lineRule="exact"/>
        <w:ind w:firstLine="600" w:firstLineChars="200"/>
        <w:rPr>
          <w:rFonts w:hint="eastAsia" w:ascii="仿宋" w:hAnsi="仿宋" w:eastAsia="仿宋" w:cs="仿宋"/>
          <w:b/>
          <w:bCs/>
          <w:sz w:val="30"/>
          <w:szCs w:val="30"/>
        </w:rPr>
      </w:pPr>
      <w:r>
        <w:rPr>
          <w:rFonts w:hint="eastAsia" w:ascii="仿宋" w:hAnsi="仿宋" w:eastAsia="仿宋" w:cs="仿宋"/>
          <w:sz w:val="30"/>
          <w:szCs w:val="30"/>
        </w:rPr>
        <w:t>我</w:t>
      </w:r>
      <w:r>
        <w:rPr>
          <w:rFonts w:hint="eastAsia" w:ascii="仿宋" w:hAnsi="仿宋" w:eastAsia="仿宋" w:cs="仿宋"/>
          <w:sz w:val="30"/>
          <w:szCs w:val="30"/>
          <w:lang w:val="en-US" w:eastAsia="zh-CN"/>
        </w:rPr>
        <w:t>单位评价小组</w:t>
      </w:r>
      <w:r>
        <w:rPr>
          <w:rFonts w:hint="eastAsia" w:ascii="仿宋" w:hAnsi="仿宋" w:eastAsia="仿宋" w:cs="仿宋"/>
          <w:sz w:val="30"/>
          <w:szCs w:val="30"/>
        </w:rPr>
        <w:t>依据制定的评价指标体系及相关评分标准，通过数据采集、问卷调查及实地访谈，对</w:t>
      </w:r>
      <w:r>
        <w:rPr>
          <w:rFonts w:hint="eastAsia" w:ascii="仿宋" w:hAnsi="仿宋" w:eastAsia="仿宋" w:cs="仿宋"/>
          <w:sz w:val="30"/>
          <w:szCs w:val="30"/>
          <w:lang w:eastAsia="zh-CN"/>
        </w:rPr>
        <w:t>宜春市委宣传部</w:t>
      </w:r>
      <w:r>
        <w:rPr>
          <w:rFonts w:hint="eastAsia" w:ascii="仿宋" w:hAnsi="仿宋" w:eastAsia="仿宋" w:cs="仿宋"/>
          <w:sz w:val="30"/>
          <w:szCs w:val="30"/>
          <w:lang w:val="en-US" w:eastAsia="zh-CN"/>
        </w:rPr>
        <w:t>2022年媒体合作费</w:t>
      </w:r>
      <w:r>
        <w:rPr>
          <w:rFonts w:hint="eastAsia" w:ascii="仿宋" w:hAnsi="仿宋" w:eastAsia="仿宋" w:cs="仿宋"/>
          <w:sz w:val="30"/>
          <w:szCs w:val="30"/>
        </w:rPr>
        <w:t>进行客观评价，</w:t>
      </w:r>
      <w:r>
        <w:rPr>
          <w:rFonts w:hint="eastAsia" w:ascii="仿宋" w:hAnsi="仿宋" w:eastAsia="仿宋" w:cs="仿宋"/>
          <w:sz w:val="30"/>
          <w:szCs w:val="30"/>
          <w:lang w:val="en-US" w:eastAsia="zh-CN"/>
        </w:rPr>
        <w:t>媒体合作费项目</w:t>
      </w:r>
      <w:r>
        <w:rPr>
          <w:rFonts w:hint="eastAsia" w:ascii="仿宋" w:hAnsi="仿宋" w:eastAsia="仿宋" w:cs="仿宋"/>
          <w:sz w:val="30"/>
          <w:szCs w:val="30"/>
        </w:rPr>
        <w:t>最终评分得分为</w:t>
      </w:r>
      <w:r>
        <w:rPr>
          <w:rFonts w:hint="eastAsia" w:ascii="仿宋" w:hAnsi="仿宋" w:eastAsia="仿宋" w:cs="仿宋"/>
          <w:b/>
          <w:bCs/>
          <w:sz w:val="30"/>
          <w:szCs w:val="30"/>
          <w:lang w:val="en-US" w:eastAsia="zh-CN"/>
        </w:rPr>
        <w:t>100</w:t>
      </w:r>
      <w:r>
        <w:rPr>
          <w:rFonts w:hint="eastAsia" w:ascii="仿宋" w:hAnsi="仿宋" w:eastAsia="仿宋" w:cs="仿宋"/>
          <w:sz w:val="30"/>
          <w:szCs w:val="30"/>
        </w:rPr>
        <w:t>分，自评价等级为“优”。</w:t>
      </w:r>
    </w:p>
    <w:p>
      <w:pPr>
        <w:spacing w:beforeLines="50"/>
        <w:ind w:firstLine="0" w:firstLineChars="0"/>
        <w:jc w:val="center"/>
        <w:rPr>
          <w:rFonts w:hint="eastAsia" w:ascii="仿宋" w:hAnsi="仿宋" w:eastAsia="仿宋" w:cs="仿宋"/>
          <w:sz w:val="30"/>
          <w:szCs w:val="30"/>
        </w:rPr>
      </w:pPr>
      <w:r>
        <w:rPr>
          <w:rFonts w:hint="eastAsia" w:ascii="仿宋" w:hAnsi="仿宋" w:eastAsia="仿宋" w:cs="仿宋"/>
          <w:b/>
          <w:bCs/>
          <w:sz w:val="30"/>
          <w:szCs w:val="30"/>
        </w:rPr>
        <w:t>表</w:t>
      </w:r>
      <w:r>
        <w:rPr>
          <w:rFonts w:hint="eastAsia" w:ascii="仿宋" w:hAnsi="仿宋" w:eastAsia="仿宋" w:cs="仿宋"/>
          <w:b/>
          <w:bCs/>
          <w:sz w:val="30"/>
          <w:szCs w:val="30"/>
          <w:lang w:val="en-US" w:eastAsia="zh-CN"/>
        </w:rPr>
        <w:t>1</w:t>
      </w:r>
      <w:r>
        <w:rPr>
          <w:rFonts w:hint="eastAsia" w:ascii="仿宋" w:hAnsi="仿宋" w:eastAsia="仿宋" w:cs="仿宋"/>
          <w:b/>
          <w:bCs/>
          <w:sz w:val="30"/>
          <w:szCs w:val="30"/>
        </w:rPr>
        <w:t xml:space="preserve"> </w:t>
      </w:r>
      <w:r>
        <w:rPr>
          <w:rFonts w:hint="eastAsia" w:ascii="仿宋" w:hAnsi="仿宋" w:eastAsia="仿宋" w:cs="仿宋"/>
          <w:b/>
          <w:bCs/>
          <w:sz w:val="30"/>
          <w:szCs w:val="30"/>
          <w:lang w:eastAsia="zh-CN"/>
        </w:rPr>
        <w:t>媒体合作</w:t>
      </w:r>
      <w:r>
        <w:rPr>
          <w:rFonts w:hint="eastAsia" w:ascii="仿宋" w:hAnsi="仿宋" w:eastAsia="仿宋" w:cs="仿宋"/>
          <w:b/>
          <w:bCs/>
          <w:sz w:val="30"/>
          <w:szCs w:val="30"/>
        </w:rPr>
        <w:t>经费项目绩效评价得分一览表</w:t>
      </w:r>
    </w:p>
    <w:tbl>
      <w:tblPr>
        <w:tblStyle w:val="13"/>
        <w:tblW w:w="8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2317"/>
        <w:gridCol w:w="1671"/>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shd w:val="clear" w:color="auto" w:fill="00B0F0"/>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一级指标</w:t>
            </w:r>
          </w:p>
        </w:tc>
        <w:tc>
          <w:tcPr>
            <w:tcW w:w="2317" w:type="dxa"/>
            <w:shd w:val="clear" w:color="auto" w:fill="00B0F0"/>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二级指标</w:t>
            </w:r>
          </w:p>
        </w:tc>
        <w:tc>
          <w:tcPr>
            <w:tcW w:w="1671" w:type="dxa"/>
            <w:shd w:val="clear" w:color="auto" w:fill="00B0F0"/>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权重</w:t>
            </w:r>
          </w:p>
        </w:tc>
        <w:tc>
          <w:tcPr>
            <w:tcW w:w="2614" w:type="dxa"/>
            <w:shd w:val="clear" w:color="auto" w:fill="00B0F0"/>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062" w:type="dxa"/>
            <w:gridSpan w:val="2"/>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项目资金</w:t>
            </w:r>
          </w:p>
        </w:tc>
        <w:tc>
          <w:tcPr>
            <w:tcW w:w="1671"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10</w:t>
            </w:r>
          </w:p>
        </w:tc>
        <w:tc>
          <w:tcPr>
            <w:tcW w:w="2614"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5" w:type="dxa"/>
            <w:vMerge w:val="restart"/>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项目产出</w:t>
            </w:r>
          </w:p>
        </w:tc>
        <w:tc>
          <w:tcPr>
            <w:tcW w:w="2317"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产出数量</w:t>
            </w:r>
          </w:p>
        </w:tc>
        <w:tc>
          <w:tcPr>
            <w:tcW w:w="1671"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20</w:t>
            </w:r>
          </w:p>
        </w:tc>
        <w:tc>
          <w:tcPr>
            <w:tcW w:w="2614"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5" w:type="dxa"/>
            <w:vMerge w:val="continue"/>
            <w:vAlign w:val="center"/>
          </w:tcPr>
          <w:p>
            <w:pPr>
              <w:widowControl/>
              <w:ind w:firstLine="0" w:firstLineChars="0"/>
              <w:jc w:val="center"/>
              <w:rPr>
                <w:rFonts w:hint="eastAsia" w:ascii="仿宋" w:hAnsi="仿宋" w:eastAsia="仿宋" w:cs="仿宋"/>
                <w:sz w:val="30"/>
                <w:szCs w:val="30"/>
              </w:rPr>
            </w:pPr>
          </w:p>
        </w:tc>
        <w:tc>
          <w:tcPr>
            <w:tcW w:w="2317"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产出质量</w:t>
            </w:r>
          </w:p>
        </w:tc>
        <w:tc>
          <w:tcPr>
            <w:tcW w:w="1671"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15</w:t>
            </w:r>
          </w:p>
        </w:tc>
        <w:tc>
          <w:tcPr>
            <w:tcW w:w="2614" w:type="dxa"/>
            <w:vAlign w:val="center"/>
          </w:tcPr>
          <w:p>
            <w:pPr>
              <w:widowControl/>
              <w:ind w:firstLine="0" w:firstLineChars="0"/>
              <w:jc w:val="center"/>
              <w:rPr>
                <w:rFonts w:hint="eastAsia" w:ascii="仿宋" w:hAnsi="仿宋" w:eastAsia="仿宋" w:cs="仿宋"/>
                <w:sz w:val="30"/>
                <w:szCs w:val="30"/>
                <w:lang w:eastAsia="zh-CN"/>
              </w:rPr>
            </w:pPr>
            <w:r>
              <w:rPr>
                <w:rFonts w:hint="eastAsia" w:ascii="仿宋" w:hAnsi="仿宋" w:eastAsia="仿宋" w:cs="仿宋"/>
                <w:sz w:val="30"/>
                <w:szCs w:val="30"/>
              </w:rPr>
              <w:t>1</w:t>
            </w:r>
            <w:r>
              <w:rPr>
                <w:rFonts w:hint="eastAsia" w:ascii="仿宋" w:hAnsi="仿宋" w:eastAsia="仿宋" w:cs="仿宋"/>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vAlign w:val="center"/>
          </w:tcPr>
          <w:p>
            <w:pPr>
              <w:widowControl/>
              <w:ind w:firstLine="0" w:firstLineChars="0"/>
              <w:jc w:val="center"/>
              <w:rPr>
                <w:rFonts w:hint="eastAsia" w:ascii="仿宋" w:hAnsi="仿宋" w:eastAsia="仿宋" w:cs="仿宋"/>
                <w:sz w:val="30"/>
                <w:szCs w:val="30"/>
              </w:rPr>
            </w:pPr>
          </w:p>
        </w:tc>
        <w:tc>
          <w:tcPr>
            <w:tcW w:w="2317"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产出时效</w:t>
            </w:r>
          </w:p>
        </w:tc>
        <w:tc>
          <w:tcPr>
            <w:tcW w:w="1671" w:type="dxa"/>
            <w:vAlign w:val="center"/>
          </w:tcPr>
          <w:p>
            <w:pPr>
              <w:widowControl/>
              <w:ind w:firstLine="0" w:firstLineChars="0"/>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10</w:t>
            </w:r>
          </w:p>
        </w:tc>
        <w:tc>
          <w:tcPr>
            <w:tcW w:w="2614" w:type="dxa"/>
            <w:vAlign w:val="center"/>
          </w:tcPr>
          <w:p>
            <w:pPr>
              <w:widowControl/>
              <w:ind w:firstLine="0" w:firstLineChars="0"/>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10</w:t>
            </w:r>
            <w:bookmarkStart w:id="9" w:name="_GoBack"/>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vAlign w:val="center"/>
          </w:tcPr>
          <w:p>
            <w:pPr>
              <w:widowControl/>
              <w:ind w:firstLine="0" w:firstLineChars="0"/>
              <w:jc w:val="center"/>
              <w:rPr>
                <w:rFonts w:hint="eastAsia" w:ascii="仿宋" w:hAnsi="仿宋" w:eastAsia="仿宋" w:cs="仿宋"/>
                <w:sz w:val="30"/>
                <w:szCs w:val="30"/>
              </w:rPr>
            </w:pPr>
          </w:p>
        </w:tc>
        <w:tc>
          <w:tcPr>
            <w:tcW w:w="2317"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产出成本</w:t>
            </w:r>
          </w:p>
        </w:tc>
        <w:tc>
          <w:tcPr>
            <w:tcW w:w="1671" w:type="dxa"/>
            <w:vAlign w:val="center"/>
          </w:tcPr>
          <w:p>
            <w:pPr>
              <w:widowControl/>
              <w:ind w:firstLine="0" w:firstLineChars="0"/>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p>
        </w:tc>
        <w:tc>
          <w:tcPr>
            <w:tcW w:w="2614" w:type="dxa"/>
            <w:vAlign w:val="center"/>
          </w:tcPr>
          <w:p>
            <w:pPr>
              <w:widowControl/>
              <w:ind w:firstLine="0" w:firstLineChars="0"/>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restart"/>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项目效果</w:t>
            </w:r>
          </w:p>
        </w:tc>
        <w:tc>
          <w:tcPr>
            <w:tcW w:w="2317"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经济效益</w:t>
            </w:r>
          </w:p>
        </w:tc>
        <w:tc>
          <w:tcPr>
            <w:tcW w:w="1671" w:type="dxa"/>
            <w:vAlign w:val="center"/>
          </w:tcPr>
          <w:p>
            <w:pPr>
              <w:widowControl/>
              <w:ind w:firstLine="0" w:firstLineChars="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w:t>
            </w:r>
          </w:p>
        </w:tc>
        <w:tc>
          <w:tcPr>
            <w:tcW w:w="2614" w:type="dxa"/>
            <w:vAlign w:val="center"/>
          </w:tcPr>
          <w:p>
            <w:pPr>
              <w:widowControl/>
              <w:ind w:firstLine="0" w:firstLineChars="0"/>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vAlign w:val="center"/>
          </w:tcPr>
          <w:p>
            <w:pPr>
              <w:widowControl/>
              <w:ind w:firstLine="0" w:firstLineChars="0"/>
              <w:jc w:val="center"/>
              <w:rPr>
                <w:rFonts w:hint="eastAsia" w:ascii="仿宋" w:hAnsi="仿宋" w:eastAsia="仿宋" w:cs="仿宋"/>
                <w:sz w:val="30"/>
                <w:szCs w:val="30"/>
              </w:rPr>
            </w:pPr>
          </w:p>
        </w:tc>
        <w:tc>
          <w:tcPr>
            <w:tcW w:w="2317"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社会效益</w:t>
            </w:r>
          </w:p>
        </w:tc>
        <w:tc>
          <w:tcPr>
            <w:tcW w:w="1671"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10</w:t>
            </w:r>
          </w:p>
        </w:tc>
        <w:tc>
          <w:tcPr>
            <w:tcW w:w="2614"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vAlign w:val="center"/>
          </w:tcPr>
          <w:p>
            <w:pPr>
              <w:widowControl/>
              <w:ind w:firstLine="0" w:firstLineChars="0"/>
              <w:jc w:val="center"/>
              <w:rPr>
                <w:rFonts w:hint="eastAsia" w:ascii="仿宋" w:hAnsi="仿宋" w:eastAsia="仿宋" w:cs="仿宋"/>
                <w:sz w:val="30"/>
                <w:szCs w:val="30"/>
              </w:rPr>
            </w:pPr>
          </w:p>
        </w:tc>
        <w:tc>
          <w:tcPr>
            <w:tcW w:w="2317"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环境效益</w:t>
            </w:r>
          </w:p>
        </w:tc>
        <w:tc>
          <w:tcPr>
            <w:tcW w:w="1671"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5</w:t>
            </w:r>
          </w:p>
        </w:tc>
        <w:tc>
          <w:tcPr>
            <w:tcW w:w="2614"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Merge w:val="continue"/>
            <w:vAlign w:val="center"/>
          </w:tcPr>
          <w:p>
            <w:pPr>
              <w:widowControl/>
              <w:ind w:firstLine="0" w:firstLineChars="0"/>
              <w:jc w:val="center"/>
              <w:rPr>
                <w:rFonts w:hint="eastAsia" w:ascii="仿宋" w:hAnsi="仿宋" w:eastAsia="仿宋" w:cs="仿宋"/>
                <w:sz w:val="30"/>
                <w:szCs w:val="30"/>
              </w:rPr>
            </w:pPr>
          </w:p>
        </w:tc>
        <w:tc>
          <w:tcPr>
            <w:tcW w:w="2317"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可持续影响</w:t>
            </w:r>
          </w:p>
        </w:tc>
        <w:tc>
          <w:tcPr>
            <w:tcW w:w="1671" w:type="dxa"/>
            <w:vAlign w:val="center"/>
          </w:tcPr>
          <w:p>
            <w:pPr>
              <w:widowControl/>
              <w:ind w:firstLine="0" w:firstLineChars="0"/>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p>
        </w:tc>
        <w:tc>
          <w:tcPr>
            <w:tcW w:w="2614"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5"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项目满意度</w:t>
            </w:r>
          </w:p>
        </w:tc>
        <w:tc>
          <w:tcPr>
            <w:tcW w:w="2317"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服务对象满意度</w:t>
            </w:r>
          </w:p>
        </w:tc>
        <w:tc>
          <w:tcPr>
            <w:tcW w:w="1671"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10</w:t>
            </w:r>
          </w:p>
        </w:tc>
        <w:tc>
          <w:tcPr>
            <w:tcW w:w="2614" w:type="dxa"/>
            <w:vAlign w:val="center"/>
          </w:tcPr>
          <w:p>
            <w:pPr>
              <w:widowControl/>
              <w:ind w:firstLine="0" w:firstLineChars="0"/>
              <w:jc w:val="center"/>
              <w:rPr>
                <w:rFonts w:hint="eastAsia" w:ascii="仿宋" w:hAnsi="仿宋" w:eastAsia="仿宋" w:cs="仿宋"/>
                <w:sz w:val="30"/>
                <w:szCs w:val="30"/>
              </w:rPr>
            </w:pPr>
            <w:r>
              <w:rPr>
                <w:rFonts w:hint="eastAsia" w:ascii="仿宋" w:hAnsi="仿宋" w:eastAsia="仿宋" w:cs="仿宋"/>
                <w:sz w:val="30"/>
                <w:szCs w:val="3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062" w:type="dxa"/>
            <w:gridSpan w:val="2"/>
            <w:vAlign w:val="center"/>
          </w:tcPr>
          <w:p>
            <w:pPr>
              <w:widowControl/>
              <w:ind w:firstLine="0" w:firstLineChars="0"/>
              <w:jc w:val="center"/>
              <w:rPr>
                <w:rFonts w:hint="eastAsia" w:ascii="仿宋" w:hAnsi="仿宋" w:eastAsia="仿宋" w:cs="仿宋"/>
                <w:b/>
                <w:bCs/>
                <w:sz w:val="30"/>
                <w:szCs w:val="30"/>
              </w:rPr>
            </w:pPr>
            <w:r>
              <w:rPr>
                <w:rFonts w:hint="eastAsia" w:ascii="仿宋" w:hAnsi="仿宋" w:eastAsia="仿宋" w:cs="仿宋"/>
                <w:b/>
                <w:bCs/>
                <w:sz w:val="30"/>
                <w:szCs w:val="30"/>
              </w:rPr>
              <w:t>合计</w:t>
            </w:r>
          </w:p>
        </w:tc>
        <w:tc>
          <w:tcPr>
            <w:tcW w:w="1671" w:type="dxa"/>
            <w:vAlign w:val="center"/>
          </w:tcPr>
          <w:p>
            <w:pPr>
              <w:widowControl/>
              <w:ind w:firstLine="0" w:firstLineChars="0"/>
              <w:jc w:val="center"/>
              <w:rPr>
                <w:rFonts w:hint="eastAsia" w:ascii="仿宋" w:hAnsi="仿宋" w:eastAsia="仿宋" w:cs="仿宋"/>
                <w:b/>
                <w:bCs/>
                <w:sz w:val="30"/>
                <w:szCs w:val="30"/>
              </w:rPr>
            </w:pPr>
            <w:r>
              <w:rPr>
                <w:rFonts w:hint="eastAsia" w:ascii="仿宋" w:hAnsi="仿宋" w:eastAsia="仿宋" w:cs="仿宋"/>
                <w:b/>
                <w:bCs/>
                <w:sz w:val="30"/>
                <w:szCs w:val="30"/>
              </w:rPr>
              <w:t>100</w:t>
            </w:r>
          </w:p>
        </w:tc>
        <w:tc>
          <w:tcPr>
            <w:tcW w:w="2614" w:type="dxa"/>
            <w:vAlign w:val="center"/>
          </w:tcPr>
          <w:p>
            <w:pPr>
              <w:widowControl/>
              <w:ind w:firstLine="0" w:firstLineChars="0"/>
              <w:jc w:val="center"/>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100</w:t>
            </w:r>
          </w:p>
        </w:tc>
      </w:tr>
    </w:tbl>
    <w:p>
      <w:pPr>
        <w:spacing w:line="540" w:lineRule="exact"/>
        <w:ind w:firstLine="640" w:firstLineChars="200"/>
        <w:rPr>
          <w:rFonts w:hint="eastAsia" w:ascii="黑体" w:hAnsi="黑体" w:eastAsia="黑体"/>
          <w:sz w:val="32"/>
          <w:szCs w:val="32"/>
        </w:rPr>
      </w:pP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四、绩效评价指标分析</w:t>
      </w:r>
    </w:p>
    <w:p>
      <w:pPr>
        <w:spacing w:line="540" w:lineRule="exact"/>
        <w:ind w:firstLine="643" w:firstLineChars="200"/>
        <w:outlineLvl w:val="0"/>
        <w:rPr>
          <w:rFonts w:hint="eastAsia" w:ascii="仿宋_GB2312" w:hAnsi="仿宋_GB2312" w:eastAsia="仿宋_GB2312"/>
          <w:b/>
          <w:bCs/>
          <w:sz w:val="32"/>
          <w:szCs w:val="32"/>
        </w:rPr>
      </w:pPr>
      <w:r>
        <w:rPr>
          <w:rFonts w:hint="eastAsia" w:ascii="仿宋_GB2312" w:hAnsi="仿宋_GB2312" w:eastAsia="仿宋_GB2312"/>
          <w:b/>
          <w:bCs/>
          <w:sz w:val="32"/>
          <w:szCs w:val="32"/>
        </w:rPr>
        <w:t>（一）项目决策情况。</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1.项目立项</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该指标考察项目立项依据的充分性和立项程序的规范性。</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1）立项依据充分性。经核查，该项目立项符合国家法律法规、国民经济发展规划和相关政策；符合行业发展规划和政策要求；项目立项与部门职责范围相符，属于部门履职所需；项目属于公共财政支持范围，符合中央、地方事权支出责任划分原则；项目与相关部门同类项目或部门内部相关项目不存在重复现象。</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（2）立项程序规范性。经核查，项目事前已经过必要的可行性研究、专家论证、风险评估、绩效评估、集体决策。</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2.绩效目标</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（1）绩效目标合理性。经核查，该项目已设定绩效目标，项目预期产出效益和效果大致符合正常的业绩水平，与预算确定的项目投资额或资金量相匹配。</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（2）绩效指标明确性。经核查，项目的实施结果可通过清晰、可衡量的指标值予以体现，与项目目标任务数或计划数相对应。</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3.资金投入</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（1）预算编制科学性。经核查，预算编制经过科学论证，预算内容与项目内容一致，预算额度测算依据充分，按照相应标准编制。预算确定的项目资金量与工作任务匹配。</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（2）资金分配合理性。预算资金分配依据充分，资金分配额度合理，与项目单位的实际情况相适应。</w:t>
      </w:r>
    </w:p>
    <w:p>
      <w:pPr>
        <w:spacing w:line="540" w:lineRule="exact"/>
        <w:ind w:firstLine="643" w:firstLineChars="200"/>
        <w:outlineLvl w:val="0"/>
        <w:rPr>
          <w:rFonts w:hint="eastAsia" w:ascii="仿宋_GB2312" w:hAnsi="仿宋_GB2312" w:eastAsia="仿宋_GB2312"/>
          <w:b/>
          <w:bCs/>
          <w:sz w:val="32"/>
          <w:szCs w:val="32"/>
          <w:highlight w:val="none"/>
          <w:lang w:val="en-US" w:eastAsia="zh-CN"/>
        </w:rPr>
      </w:pPr>
      <w:r>
        <w:rPr>
          <w:rFonts w:hint="eastAsia" w:ascii="仿宋_GB2312" w:hAnsi="仿宋_GB2312" w:eastAsia="仿宋_GB2312"/>
          <w:b/>
          <w:bCs/>
          <w:sz w:val="32"/>
          <w:szCs w:val="32"/>
          <w:highlight w:val="none"/>
          <w:lang w:val="en-US" w:eastAsia="zh-CN"/>
        </w:rPr>
        <w:t>（二）项目过程情况</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1.资金管理</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（1）资金到位率。截至2022年12月，资金拨付项目实施单位共800万元，占预算资金800万元的100%，资金拨付到位率100%。</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（2）预算执行率。截至2022年12月，拨付资金已全部用于媒体合作费各事务中使用，实际支出800万元，全部使用完全，执行率100%。</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（3）资金使用合规性。项目资金使用符合国家资金管理办法和财务管理制度的有关规定，资金的拨付有完整的审批程序和手续，资金使用符合项目合同规定的用途，不存在截留、挤占、挪用、虚列支出等情况。</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2.组织实施</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（1）管理制度健全性。该项目实施单位具有规范的财务和业务管理制度，财务和业务管理制度合法、合规、完整。</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（2）制度执行有效性。在项目实施规程中，项目有关人员遵守相关法律法规和相关管理规定，项目相关资料齐全并及时归档，项目实施的人员条件、场地设备、信息支撑等落实到位。</w:t>
      </w:r>
    </w:p>
    <w:p>
      <w:pPr>
        <w:spacing w:line="540" w:lineRule="exact"/>
        <w:ind w:firstLine="643" w:firstLineChars="200"/>
        <w:outlineLvl w:val="0"/>
        <w:rPr>
          <w:rFonts w:hint="eastAsia" w:ascii="仿宋_GB2312" w:hAnsi="仿宋_GB2312" w:eastAsia="仿宋_GB2312"/>
          <w:b/>
          <w:bCs/>
          <w:sz w:val="32"/>
          <w:szCs w:val="32"/>
          <w:highlight w:val="none"/>
        </w:rPr>
      </w:pPr>
      <w:r>
        <w:rPr>
          <w:rFonts w:hint="eastAsia" w:ascii="仿宋_GB2312" w:hAnsi="仿宋_GB2312" w:eastAsia="仿宋_GB2312"/>
          <w:b/>
          <w:bCs/>
          <w:sz w:val="32"/>
          <w:szCs w:val="32"/>
          <w:highlight w:val="none"/>
        </w:rPr>
        <w:t>（三）项目产出情况。</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举办全市好人宣讲工作现场推进会、好人宣讲大赛等活动，工作做法获省委领导批示肯定，并在新华社、人民日报、江西日报、当代江西等主流媒体和重点刊物推介。</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把迎接和学习宣传贯彻党的二十大精神作为主题主线，紧紧围绕市委市政府中心工作开展宣传，加强选题策划和沟通联系，积极向中央主要媒体供稿，推出一批主题宣传、政策宣传、典型宣传的优质稿件，荣获中国新闻奖二等奖和两个江西省新闻奖。截至目前，在中央“四报两台”等主要媒体发稿596条，同比增长31.6%，居全省前列。在党的二十大、全国两会等重要节点，春节、国庆等重要节日，中国锂业大会、月亮文化旅游节等重要活动，宜春多次“十上央视”“十上人民日报”，在央媒“刷屏”“露脸”。特别是以全省工业现场推进会在宜春召开为契机，大力宣传宜春发展成就和喜人变化，半个月内七上中央“四报”头版，创历史最好成绩，让宜春故事更加生动、宜春声音更加响亮、宜春形象更加出彩。</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全市网宣用稿量质齐升，共计在中央九大新闻网站和5大商业门户网站总网用稿4282篇，《江西宜春 冬奥来了青少年积极参与冰雪运动》《少年们的滑雪之旅！江西铜鼓“冰雪运动”持续升温》《山区留守儿童的“大朋友”》等稿件在新华网、人民网总网刊登报道，传播宜春好声音。依托微信、抖音等平台，组织制作有影响力的短视频500余个，大力宣传我市工作成效，充分展现宜春风彩风貌，弘扬宜春正能量。</w:t>
      </w:r>
    </w:p>
    <w:p>
      <w:pPr>
        <w:spacing w:line="540" w:lineRule="exact"/>
        <w:ind w:firstLine="643" w:firstLineChars="200"/>
        <w:outlineLvl w:val="0"/>
        <w:rPr>
          <w:rFonts w:hint="eastAsia" w:ascii="仿宋_GB2312" w:hAnsi="仿宋_GB2312" w:eastAsia="仿宋_GB2312"/>
          <w:b/>
          <w:bCs/>
          <w:sz w:val="32"/>
          <w:szCs w:val="32"/>
          <w:highlight w:val="none"/>
          <w:lang w:val="en-US" w:eastAsia="zh-CN"/>
        </w:rPr>
      </w:pPr>
      <w:r>
        <w:rPr>
          <w:rFonts w:hint="eastAsia" w:ascii="仿宋_GB2312" w:hAnsi="仿宋_GB2312" w:eastAsia="仿宋_GB2312"/>
          <w:b/>
          <w:bCs/>
          <w:sz w:val="32"/>
          <w:szCs w:val="32"/>
          <w:highlight w:val="none"/>
          <w:lang w:val="en-US" w:eastAsia="zh-CN"/>
        </w:rPr>
        <w:t>（四）项目效益情况</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项目实施后，良好的外宣造势，提高了宜春影响力，可一定程度上带动宜春的经济发展。通过动态新闻报道和深度专题报道的相结合方式，起到了新闻宣传、舆论引导的重要作用，做好产业引导工作，维护了市场经济的正常秩序，有效保障了人民群众的身体健康，能积极的维护社会稳定。本项目实施后，可进一步提升宜春对外知名度和影响力，可持续时间长。通过问卷满意度调查发现，该项目满意率达到95%。</w:t>
      </w:r>
    </w:p>
    <w:p>
      <w:pPr>
        <w:pStyle w:val="14"/>
        <w:keepNext w:val="0"/>
        <w:keepLines w:val="0"/>
        <w:widowControl w:val="0"/>
        <w:numPr>
          <w:ilvl w:val="0"/>
          <w:numId w:val="0"/>
        </w:numPr>
        <w:shd w:val="clear" w:color="auto" w:fill="auto"/>
        <w:tabs>
          <w:tab w:val="left" w:pos="710"/>
        </w:tabs>
        <w:bidi w:val="0"/>
        <w:spacing w:before="0" w:after="240" w:line="360" w:lineRule="auto"/>
        <w:ind w:right="0" w:rightChars="0" w:firstLine="640" w:firstLineChars="200"/>
        <w:jc w:val="both"/>
        <w:rPr>
          <w:rFonts w:hint="eastAsia" w:ascii="黑体" w:hAnsi="黑体" w:eastAsia="黑体"/>
          <w:sz w:val="32"/>
          <w:szCs w:val="32"/>
        </w:rPr>
      </w:pPr>
      <w:r>
        <w:rPr>
          <w:rFonts w:hint="eastAsia" w:ascii="黑体" w:hAnsi="黑体" w:eastAsia="黑体"/>
          <w:sz w:val="32"/>
          <w:szCs w:val="32"/>
        </w:rPr>
        <w:t>五、主要经验及做法、存在的问题及原因分析</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yellow"/>
          <w:lang w:val="en-US" w:eastAsia="zh-CN" w:bidi="ar-SA"/>
        </w:rPr>
      </w:pPr>
      <w:r>
        <w:rPr>
          <w:rFonts w:hint="eastAsia" w:ascii="仿宋_GB2312" w:hAnsi="仿宋_GB2312" w:eastAsia="仿宋_GB2312" w:cs="Times New Roman"/>
          <w:b/>
          <w:bCs/>
          <w:kern w:val="2"/>
          <w:sz w:val="32"/>
          <w:szCs w:val="32"/>
          <w:highlight w:val="none"/>
          <w:lang w:val="en-US" w:eastAsia="zh-CN" w:bidi="ar-SA"/>
        </w:rPr>
        <w:t>（一）主要经验及做法</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30"/>
          <w:szCs w:val="30"/>
          <w:highlight w:val="none"/>
          <w:lang w:val="en-US" w:eastAsia="zh-CN" w:bidi="ar-SA"/>
        </w:rPr>
      </w:pPr>
      <w:r>
        <w:rPr>
          <w:rFonts w:hint="eastAsia" w:ascii="仿宋" w:hAnsi="仿宋" w:eastAsia="仿宋" w:cs="仿宋"/>
          <w:kern w:val="2"/>
          <w:sz w:val="30"/>
          <w:szCs w:val="30"/>
          <w:highlight w:val="none"/>
          <w:lang w:val="en-US" w:eastAsia="zh-CN" w:bidi="ar-SA"/>
        </w:rPr>
        <w:t>工作过程中，我们严格规范财务和稽查考核制度，建立起了一套完善的申报审我们这边批监督管理工作制度，形成了严格、科学、高效的运行机制。严格审批程序。本项目资金审批严格依据相关制度执行。通过严格规范的工作程序，确保资金专款专用。</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Times New Roman"/>
          <w:b/>
          <w:bCs/>
          <w:kern w:val="2"/>
          <w:sz w:val="32"/>
          <w:szCs w:val="32"/>
          <w:highlight w:val="none"/>
          <w:lang w:val="en-US" w:eastAsia="zh-CN" w:bidi="ar-SA"/>
        </w:rPr>
      </w:pPr>
      <w:r>
        <w:rPr>
          <w:rFonts w:hint="eastAsia" w:ascii="仿宋_GB2312" w:hAnsi="仿宋_GB2312" w:eastAsia="仿宋_GB2312" w:cs="Times New Roman"/>
          <w:b/>
          <w:bCs/>
          <w:kern w:val="2"/>
          <w:sz w:val="32"/>
          <w:szCs w:val="32"/>
          <w:highlight w:val="none"/>
          <w:lang w:val="en-US" w:eastAsia="zh-CN" w:bidi="ar-SA"/>
        </w:rPr>
        <w:t>（二）存在的问题</w:t>
      </w:r>
    </w:p>
    <w:p>
      <w:pPr>
        <w:spacing w:line="600" w:lineRule="exact"/>
        <w:ind w:firstLine="640" w:firstLineChars="200"/>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无</w:t>
      </w:r>
    </w:p>
    <w:p>
      <w:pPr>
        <w:spacing w:line="600" w:lineRule="exact"/>
        <w:ind w:firstLine="640" w:firstLineChars="200"/>
        <w:rPr>
          <w:rFonts w:hint="eastAsia" w:ascii="黑体" w:hAnsi="黑体" w:eastAsia="黑体" w:cs="Times New Roman"/>
          <w:sz w:val="32"/>
          <w:szCs w:val="32"/>
        </w:rPr>
      </w:pPr>
      <w:r>
        <w:rPr>
          <w:rFonts w:hint="eastAsia" w:ascii="黑体" w:hAnsi="黑体" w:eastAsia="黑体" w:cs="Times New Roman"/>
          <w:sz w:val="32"/>
          <w:szCs w:val="32"/>
          <w:lang w:val="en-US" w:eastAsia="zh-CN"/>
        </w:rPr>
        <w:t>六、</w:t>
      </w:r>
      <w:r>
        <w:rPr>
          <w:rFonts w:hint="eastAsia" w:ascii="黑体" w:hAnsi="黑体" w:eastAsia="黑体" w:cs="Times New Roman"/>
          <w:sz w:val="32"/>
          <w:szCs w:val="32"/>
        </w:rPr>
        <w:t>有关建议</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spacing w:line="540" w:lineRule="exact"/>
        <w:ind w:firstLine="640" w:firstLineChars="200"/>
        <w:rPr>
          <w:rFonts w:hint="eastAsia" w:ascii="黑体" w:hAnsi="黑体" w:eastAsia="黑体"/>
          <w:sz w:val="32"/>
          <w:szCs w:val="32"/>
        </w:rPr>
      </w:pPr>
      <w:r>
        <w:rPr>
          <w:rFonts w:hint="eastAsia" w:ascii="黑体" w:hAnsi="黑体" w:eastAsia="黑体"/>
          <w:sz w:val="32"/>
          <w:szCs w:val="32"/>
        </w:rPr>
        <w:t>七、其他需要说明的问题</w:t>
      </w: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sectPr>
      <w:headerReference r:id="rId3" w:type="default"/>
      <w:footerReference r:id="rId4" w:type="default"/>
      <w:footerReference r:id="rId5" w:type="even"/>
      <w:pgSz w:w="11906" w:h="16838"/>
      <w:pgMar w:top="2098" w:right="1531" w:bottom="1985"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rPr>
        <w:rStyle w:val="12"/>
        <w:rFonts w:ascii="宋体" w:hAnsi="宋体"/>
        <w:sz w:val="28"/>
        <w:szCs w:val="28"/>
      </w:rPr>
    </w:pP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rPr>
      <w:t>- 16 -</w:t>
    </w:r>
    <w:r>
      <w:rPr>
        <w:rFonts w:ascii="宋体" w:hAnsi="宋体"/>
        <w:sz w:val="28"/>
        <w:szCs w:val="2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Pr>
    </w:pPr>
    <w:r>
      <w:fldChar w:fldCharType="begin"/>
    </w:r>
    <w:r>
      <w:rPr>
        <w:rStyle w:val="12"/>
      </w:rPr>
      <w:instrText xml:space="preserve">PAGE  </w:instrText>
    </w:r>
    <w:r>
      <w:fldChar w:fldCharType="end"/>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0B2C"/>
    <w:multiLevelType w:val="singleLevel"/>
    <w:tmpl w:val="039D0B2C"/>
    <w:lvl w:ilvl="0" w:tentative="0">
      <w:start w:val="1"/>
      <w:numFmt w:val="decimal"/>
      <w:suff w:val="nothing"/>
      <w:lvlText w:val="%1、"/>
      <w:lvlJc w:val="left"/>
    </w:lvl>
  </w:abstractNum>
  <w:abstractNum w:abstractNumId="1">
    <w:nsid w:val="4725E53C"/>
    <w:multiLevelType w:val="singleLevel"/>
    <w:tmpl w:val="4725E53C"/>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NWZjMjY2YjgwNzBlZTBlZDAyYTQ3NmViNTFlNWMifQ=="/>
  </w:docVars>
  <w:rsids>
    <w:rsidRoot w:val="00000000"/>
    <w:rsid w:val="032166A9"/>
    <w:rsid w:val="0A123C09"/>
    <w:rsid w:val="1A04118E"/>
    <w:rsid w:val="1F851E77"/>
    <w:rsid w:val="21F506E7"/>
    <w:rsid w:val="23A91789"/>
    <w:rsid w:val="26BC7A25"/>
    <w:rsid w:val="29505718"/>
    <w:rsid w:val="2B55655E"/>
    <w:rsid w:val="2CB722E2"/>
    <w:rsid w:val="2E411E69"/>
    <w:rsid w:val="2F7E30D7"/>
    <w:rsid w:val="3A61086F"/>
    <w:rsid w:val="3C414930"/>
    <w:rsid w:val="40AA37A1"/>
    <w:rsid w:val="416D1E54"/>
    <w:rsid w:val="490D3B5A"/>
    <w:rsid w:val="50680152"/>
    <w:rsid w:val="52A617DF"/>
    <w:rsid w:val="5D8D066C"/>
    <w:rsid w:val="5E0D6806"/>
    <w:rsid w:val="5FB95A56"/>
    <w:rsid w:val="62CA39FC"/>
    <w:rsid w:val="66CA6806"/>
    <w:rsid w:val="674078D0"/>
    <w:rsid w:val="67823CCE"/>
    <w:rsid w:val="67B355E5"/>
    <w:rsid w:val="6BBB188A"/>
    <w:rsid w:val="6C7041BF"/>
    <w:rsid w:val="6E9C698B"/>
    <w:rsid w:val="710E4FFC"/>
    <w:rsid w:val="7E394A01"/>
    <w:rsid w:val="7FBD5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Lines="50" w:afterLines="50"/>
      <w:ind w:firstLine="0" w:firstLineChars="0"/>
      <w:jc w:val="left"/>
      <w:outlineLvl w:val="1"/>
    </w:pPr>
    <w:rPr>
      <w:rFonts w:ascii="仿宋" w:hAnsi="仿宋" w:eastAsia="黑体"/>
      <w:b/>
      <w:bCs/>
      <w:sz w:val="32"/>
      <w:szCs w:val="32"/>
    </w:rPr>
  </w:style>
  <w:style w:type="paragraph" w:styleId="4">
    <w:name w:val="heading 3"/>
    <w:basedOn w:val="1"/>
    <w:next w:val="1"/>
    <w:unhideWhenUsed/>
    <w:qFormat/>
    <w:uiPriority w:val="0"/>
    <w:pPr>
      <w:keepNext/>
      <w:keepLines/>
      <w:spacing w:before="120" w:after="120"/>
      <w:jc w:val="left"/>
      <w:outlineLvl w:val="2"/>
    </w:pPr>
    <w:rPr>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5">
    <w:name w:val="Body Text Indent"/>
    <w:basedOn w:val="1"/>
    <w:qFormat/>
    <w:uiPriority w:val="0"/>
    <w:pPr>
      <w:spacing w:line="580" w:lineRule="exact"/>
      <w:ind w:firstLine="600"/>
    </w:pPr>
    <w:rPr>
      <w:rFonts w:ascii="仿宋_GB2312" w:eastAsia="仿宋_GB2312"/>
      <w:sz w:val="30"/>
      <w:szCs w:val="3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szCs w:val="24"/>
    </w:rPr>
  </w:style>
  <w:style w:type="paragraph" w:styleId="9">
    <w:name w:val="Body Text First Indent 2"/>
    <w:basedOn w:val="1"/>
    <w:unhideWhenUsed/>
    <w:qFormat/>
    <w:uiPriority w:val="99"/>
    <w:pPr>
      <w:ind w:firstLine="420" w:firstLineChars="200"/>
    </w:pPr>
  </w:style>
  <w:style w:type="character" w:styleId="12">
    <w:name w:val="page number"/>
    <w:basedOn w:val="11"/>
    <w:qFormat/>
    <w:uiPriority w:val="0"/>
  </w:style>
  <w:style w:type="table" w:customStyle="1" w:styleId="13">
    <w:name w:val="网格型3"/>
    <w:basedOn w:val="10"/>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4">
    <w:name w:val="Body text|1"/>
    <w:basedOn w:val="1"/>
    <w:qFormat/>
    <w:uiPriority w:val="0"/>
    <w:pPr>
      <w:widowControl w:val="0"/>
      <w:shd w:val="clear" w:color="auto" w:fill="auto"/>
      <w:spacing w:line="480" w:lineRule="auto"/>
      <w:ind w:firstLine="400"/>
    </w:pPr>
    <w:rPr>
      <w:rFonts w:ascii="宋体" w:hAnsi="宋体" w:eastAsia="宋体" w:cs="宋体"/>
      <w:sz w:val="38"/>
      <w:szCs w:val="3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6767</Words>
  <Characters>7025</Characters>
  <Lines>0</Lines>
  <Paragraphs>0</Paragraphs>
  <TotalTime>188</TotalTime>
  <ScaleCrop>false</ScaleCrop>
  <LinksUpToDate>false</LinksUpToDate>
  <CharactersWithSpaces>7201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2022-03-17T12:26:00Z</dcterms:created>
  <dc:creator>hw</dc:creator>
  <cp:lastModifiedBy>dell</cp:lastModifiedBy>
  <dcterms:modified xsi:type="dcterms:W3CDTF">2023-03-27T03:22:07Z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82B8D0D69872491E8E9714CE235342F7</vt:lpwstr>
  </property>
</Properties>
</file>