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p>
    <w:p>
      <w:pPr>
        <w:jc w:val="center"/>
        <w:rPr>
          <w:rFonts w:ascii="楷体" w:hAnsi="楷体" w:eastAsia="楷体" w:cs="宋体"/>
          <w:sz w:val="30"/>
          <w:szCs w:val="30"/>
        </w:rPr>
      </w:pPr>
      <w:r>
        <w:rPr>
          <w:rFonts w:hint="eastAsia" w:asciiTheme="majorEastAsia" w:hAnsiTheme="majorEastAsia" w:eastAsiaTheme="majorEastAsia"/>
          <w:b/>
          <w:bCs/>
          <w:sz w:val="44"/>
          <w:szCs w:val="44"/>
        </w:rPr>
        <w:t>2021年度宜春直属机关工作委员会部门绩效自评总报告</w:t>
      </w:r>
    </w:p>
    <w:p>
      <w:pPr>
        <w:pStyle w:val="16"/>
        <w:numPr>
          <w:ilvl w:val="0"/>
          <w:numId w:val="1"/>
        </w:numPr>
        <w:ind w:firstLineChars="0"/>
        <w:jc w:val="left"/>
        <w:rPr>
          <w:rFonts w:ascii="黑体" w:hAnsi="黑体" w:eastAsia="黑体" w:cs="宋体"/>
          <w:b/>
          <w:bCs/>
          <w:sz w:val="30"/>
          <w:szCs w:val="30"/>
        </w:rPr>
      </w:pPr>
      <w:r>
        <w:rPr>
          <w:rFonts w:hint="eastAsia" w:ascii="黑体" w:hAnsi="黑体" w:eastAsia="黑体" w:cs="宋体"/>
          <w:b/>
          <w:bCs/>
          <w:sz w:val="30"/>
          <w:szCs w:val="30"/>
        </w:rPr>
        <w:t>部门（单位）概况</w:t>
      </w:r>
    </w:p>
    <w:p>
      <w:pPr>
        <w:jc w:val="left"/>
        <w:rPr>
          <w:rFonts w:ascii="黑体" w:hAnsi="黑体" w:eastAsia="黑体" w:cs="宋体"/>
          <w:b/>
          <w:bCs/>
          <w:sz w:val="30"/>
          <w:szCs w:val="30"/>
        </w:rPr>
      </w:pPr>
      <w:r>
        <w:rPr>
          <w:rFonts w:hint="eastAsia" w:ascii="仿宋" w:hAnsi="仿宋" w:eastAsia="仿宋" w:cs="宋体"/>
          <w:b/>
          <w:bCs/>
          <w:sz w:val="30"/>
          <w:szCs w:val="30"/>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textAlignment w:val="auto"/>
        <w:rPr>
          <w:rFonts w:ascii="仿宋" w:hAnsi="仿宋" w:eastAsia="仿宋"/>
          <w:color w:val="333333"/>
          <w:sz w:val="30"/>
          <w:szCs w:val="30"/>
          <w:lang w:val="en"/>
        </w:rPr>
      </w:pPr>
      <w:r>
        <w:rPr>
          <w:rFonts w:hint="eastAsia" w:ascii="仿宋" w:hAnsi="仿宋" w:eastAsia="仿宋"/>
          <w:color w:val="333333"/>
          <w:sz w:val="30"/>
          <w:szCs w:val="30"/>
          <w:lang w:val="en"/>
        </w:rPr>
        <w:t>本部门共用预算单位1个，</w:t>
      </w:r>
      <w:r>
        <w:rPr>
          <w:rFonts w:hint="eastAsia" w:ascii="仿宋" w:hAnsi="仿宋" w:eastAsia="仿宋"/>
          <w:color w:val="333333"/>
          <w:sz w:val="30"/>
          <w:szCs w:val="30"/>
          <w:lang w:val="en" w:eastAsia="zh-CN"/>
        </w:rPr>
        <w:t>2021</w:t>
      </w:r>
      <w:r>
        <w:rPr>
          <w:rFonts w:hint="eastAsia" w:ascii="仿宋" w:hAnsi="仿宋" w:eastAsia="仿宋"/>
          <w:color w:val="333333"/>
          <w:sz w:val="30"/>
          <w:szCs w:val="30"/>
          <w:lang w:val="en"/>
        </w:rPr>
        <w:t>年年末编制人数</w:t>
      </w:r>
      <w:r>
        <w:rPr>
          <w:rFonts w:ascii="仿宋" w:hAnsi="仿宋" w:eastAsia="仿宋"/>
          <w:color w:val="333333"/>
          <w:sz w:val="30"/>
          <w:szCs w:val="30"/>
          <w:lang w:val="en"/>
        </w:rPr>
        <w:t>1</w:t>
      </w:r>
      <w:r>
        <w:rPr>
          <w:rFonts w:hint="eastAsia" w:ascii="仿宋" w:hAnsi="仿宋" w:eastAsia="仿宋"/>
          <w:color w:val="333333"/>
          <w:sz w:val="30"/>
          <w:szCs w:val="30"/>
          <w:lang w:val="en-US" w:eastAsia="zh-CN"/>
        </w:rPr>
        <w:t>8</w:t>
      </w:r>
      <w:r>
        <w:rPr>
          <w:rFonts w:hint="eastAsia" w:ascii="仿宋" w:hAnsi="仿宋" w:eastAsia="仿宋"/>
          <w:color w:val="333333"/>
          <w:sz w:val="30"/>
          <w:szCs w:val="30"/>
          <w:lang w:val="en"/>
        </w:rPr>
        <w:t>人，其中行政编</w:t>
      </w:r>
      <w:r>
        <w:rPr>
          <w:rFonts w:ascii="仿宋" w:hAnsi="仿宋" w:eastAsia="仿宋"/>
          <w:color w:val="333333"/>
          <w:sz w:val="30"/>
          <w:szCs w:val="30"/>
          <w:lang w:val="en"/>
        </w:rPr>
        <w:t>13</w:t>
      </w:r>
      <w:r>
        <w:rPr>
          <w:rFonts w:hint="eastAsia" w:ascii="仿宋" w:hAnsi="仿宋" w:eastAsia="仿宋"/>
          <w:color w:val="333333"/>
          <w:sz w:val="30"/>
          <w:szCs w:val="30"/>
          <w:lang w:val="en"/>
        </w:rPr>
        <w:t>人，事业编制</w:t>
      </w:r>
      <w:r>
        <w:rPr>
          <w:rFonts w:hint="eastAsia" w:ascii="仿宋" w:hAnsi="仿宋" w:eastAsia="仿宋"/>
          <w:color w:val="333333"/>
          <w:sz w:val="30"/>
          <w:szCs w:val="30"/>
          <w:lang w:val="en-US" w:eastAsia="zh-CN"/>
        </w:rPr>
        <w:t>5</w:t>
      </w:r>
      <w:r>
        <w:rPr>
          <w:rFonts w:hint="eastAsia" w:ascii="仿宋" w:hAnsi="仿宋" w:eastAsia="仿宋"/>
          <w:color w:val="333333"/>
          <w:sz w:val="30"/>
          <w:szCs w:val="30"/>
          <w:lang w:val="en"/>
        </w:rPr>
        <w:t>人；年末实有人数</w:t>
      </w:r>
      <w:r>
        <w:rPr>
          <w:rFonts w:ascii="仿宋" w:hAnsi="仿宋" w:eastAsia="仿宋"/>
          <w:color w:val="333333"/>
          <w:sz w:val="30"/>
          <w:szCs w:val="30"/>
          <w:lang w:val="en"/>
        </w:rPr>
        <w:t>25</w:t>
      </w:r>
      <w:r>
        <w:rPr>
          <w:rFonts w:hint="eastAsia" w:ascii="仿宋" w:hAnsi="仿宋" w:eastAsia="仿宋"/>
          <w:color w:val="333333"/>
          <w:sz w:val="30"/>
          <w:szCs w:val="30"/>
          <w:lang w:val="en"/>
        </w:rPr>
        <w:t>人，其中在职人员17人，退休人员8人。</w:t>
      </w:r>
    </w:p>
    <w:p>
      <w:pPr>
        <w:keepNext w:val="0"/>
        <w:keepLines w:val="0"/>
        <w:pageBreakBefore w:val="0"/>
        <w:kinsoku/>
        <w:wordWrap/>
        <w:overflowPunct/>
        <w:topLinePunct w:val="0"/>
        <w:autoSpaceDE/>
        <w:autoSpaceDN/>
        <w:bidi w:val="0"/>
        <w:adjustRightInd/>
        <w:snapToGrid/>
        <w:ind w:left="600" w:hanging="602" w:hangingChars="200"/>
        <w:jc w:val="left"/>
        <w:textAlignment w:val="auto"/>
        <w:rPr>
          <w:rFonts w:ascii="仿宋" w:hAnsi="仿宋" w:eastAsia="仿宋" w:cs="宋体"/>
          <w:b/>
          <w:bCs/>
          <w:sz w:val="30"/>
          <w:szCs w:val="30"/>
        </w:rPr>
      </w:pPr>
      <w:r>
        <w:rPr>
          <w:rFonts w:hint="eastAsia" w:ascii="仿宋" w:hAnsi="仿宋" w:eastAsia="仿宋" w:cs="宋体"/>
          <w:b/>
          <w:bCs/>
          <w:sz w:val="30"/>
          <w:szCs w:val="30"/>
        </w:rPr>
        <w:t>（二）部门职能概述</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1.规划市直机关党的建设，分类指导市直各部门（单位）以及中央、省驻宜单位党的建设工作。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2.指导市直机关各级党组织抓好党的思想、组织、作风建设和党员的教育管理以及干部的理论培训。</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3.指导市直机关各级党组织实施对党员特别是党员领导干部的监督，及时向市委反映各部门（单位）领导班子和领导干部的情况。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4.负责综合指导市直机关精神文明建设工作，承担市直机关思想、道德、文化建设的工作。领导和加强企业党建工作。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5.指导市直机关党组织配合行政领导做好思想政治工作以及社会稳定工作。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6.负责市直各部门（单位）机关党委（党总支、党支部）书记、副书记的任免、考核、培训工作。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7.领导市直各部门（单位）机关党的纪律检查工作，审理、批准党员干部及党组织违反党纪的处理决定。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8.领导市直机关工会、妇联、青年团等群众组织的工作。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9.指导市直部门（单位）党委党员发展工作，审批、考察直属党总支、支部的接受党员工作。</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hint="eastAsia" w:ascii="仿宋" w:hAnsi="仿宋" w:eastAsia="仿宋"/>
          <w:color w:val="333333"/>
          <w:sz w:val="30"/>
          <w:szCs w:val="30"/>
          <w:lang w:val="en" w:eastAsia="zh-CN"/>
        </w:rPr>
      </w:pPr>
      <w:r>
        <w:rPr>
          <w:rFonts w:hint="eastAsia" w:ascii="仿宋" w:hAnsi="仿宋" w:eastAsia="仿宋"/>
          <w:color w:val="333333"/>
          <w:sz w:val="30"/>
          <w:szCs w:val="30"/>
          <w:lang w:val="en"/>
        </w:rPr>
        <w:t xml:space="preserve">10.对县市区机关工委进行业务指导。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tLeast"/>
        <w:ind w:left="0" w:firstLine="600" w:firstLineChars="200"/>
        <w:jc w:val="left"/>
        <w:textAlignment w:val="auto"/>
        <w:rPr>
          <w:rFonts w:ascii="仿宋" w:hAnsi="仿宋" w:eastAsia="仿宋"/>
          <w:color w:val="333333"/>
          <w:sz w:val="30"/>
          <w:szCs w:val="30"/>
          <w:lang w:val="en"/>
        </w:rPr>
      </w:pPr>
      <w:r>
        <w:rPr>
          <w:rFonts w:hint="eastAsia" w:ascii="仿宋" w:hAnsi="仿宋" w:eastAsia="仿宋"/>
          <w:color w:val="333333"/>
          <w:sz w:val="30"/>
          <w:szCs w:val="30"/>
          <w:lang w:val="en"/>
        </w:rPr>
        <w:t>11.承办市委、市政府交办的其他事项。</w:t>
      </w:r>
    </w:p>
    <w:p>
      <w:pPr>
        <w:pStyle w:val="16"/>
        <w:numPr>
          <w:ilvl w:val="0"/>
          <w:numId w:val="1"/>
        </w:numPr>
        <w:ind w:firstLineChars="0"/>
        <w:jc w:val="left"/>
        <w:rPr>
          <w:rFonts w:ascii="黑体" w:hAnsi="黑体" w:eastAsia="黑体" w:cs="宋体"/>
          <w:b/>
          <w:bCs/>
          <w:sz w:val="30"/>
          <w:szCs w:val="30"/>
        </w:rPr>
      </w:pPr>
      <w:r>
        <w:rPr>
          <w:rFonts w:hint="eastAsia" w:ascii="黑体" w:hAnsi="黑体" w:eastAsia="黑体" w:cs="宋体"/>
          <w:b/>
          <w:bCs/>
          <w:sz w:val="30"/>
          <w:szCs w:val="30"/>
        </w:rPr>
        <w:t>部门预算及绩效情况</w:t>
      </w:r>
    </w:p>
    <w:p>
      <w:pPr>
        <w:pStyle w:val="4"/>
        <w:keepNext w:val="0"/>
        <w:keepLines w:val="0"/>
        <w:pageBreakBefore w:val="0"/>
        <w:widowControl w:val="0"/>
        <w:kinsoku/>
        <w:wordWrap/>
        <w:overflowPunct/>
        <w:topLinePunct w:val="0"/>
        <w:autoSpaceDE/>
        <w:autoSpaceDN/>
        <w:bidi w:val="0"/>
        <w:snapToGrid w:val="0"/>
        <w:spacing w:line="540" w:lineRule="atLeast"/>
        <w:ind w:firstLine="602"/>
        <w:jc w:val="both"/>
        <w:textAlignment w:val="auto"/>
        <w:rPr>
          <w:rFonts w:ascii="楷体" w:hAnsi="楷体" w:eastAsia="楷体" w:cs="宋体"/>
          <w:b/>
          <w:sz w:val="30"/>
          <w:szCs w:val="30"/>
        </w:rPr>
      </w:pPr>
      <w:r>
        <w:rPr>
          <w:rFonts w:hint="eastAsia" w:ascii="仿宋" w:hAnsi="仿宋" w:eastAsia="仿宋" w:cs="宋体"/>
          <w:b/>
          <w:bCs/>
          <w:sz w:val="30"/>
          <w:szCs w:val="30"/>
        </w:rPr>
        <w:t>（一）</w:t>
      </w:r>
      <w:r>
        <w:rPr>
          <w:rFonts w:hint="eastAsia" w:ascii="仿宋" w:hAnsi="仿宋" w:eastAsia="仿宋" w:cs="宋体"/>
          <w:b/>
          <w:bCs/>
          <w:sz w:val="30"/>
          <w:szCs w:val="30"/>
          <w:lang w:eastAsia="zh-CN"/>
        </w:rPr>
        <w:t>2021</w:t>
      </w:r>
      <w:r>
        <w:rPr>
          <w:rFonts w:hint="eastAsia" w:ascii="仿宋" w:hAnsi="仿宋" w:eastAsia="仿宋" w:cs="宋体"/>
          <w:b/>
          <w:bCs/>
          <w:sz w:val="30"/>
          <w:szCs w:val="30"/>
        </w:rPr>
        <w:t>年</w:t>
      </w:r>
      <w:r>
        <w:rPr>
          <w:rFonts w:hint="eastAsia" w:ascii="楷体" w:hAnsi="楷体" w:eastAsia="楷体" w:cs="宋体"/>
          <w:b/>
          <w:sz w:val="30"/>
          <w:szCs w:val="30"/>
        </w:rPr>
        <w:t>部门整体支出管理及使用情况</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both"/>
        <w:textAlignment w:val="auto"/>
        <w:rPr>
          <w:rFonts w:ascii="仿宋" w:hAnsi="仿宋" w:eastAsia="仿宋"/>
          <w:sz w:val="30"/>
          <w:szCs w:val="30"/>
        </w:rPr>
      </w:pPr>
      <w:r>
        <w:rPr>
          <w:rFonts w:hint="eastAsia" w:ascii="仿宋" w:hAnsi="仿宋" w:eastAsia="仿宋"/>
          <w:sz w:val="30"/>
          <w:szCs w:val="30"/>
          <w:lang w:eastAsia="zh-CN"/>
        </w:rPr>
        <w:t>2021</w:t>
      </w:r>
      <w:r>
        <w:rPr>
          <w:rFonts w:ascii="仿宋" w:hAnsi="仿宋" w:eastAsia="仿宋"/>
          <w:sz w:val="30"/>
          <w:szCs w:val="30"/>
        </w:rPr>
        <w:t>年</w:t>
      </w:r>
      <w:r>
        <w:rPr>
          <w:rFonts w:hint="eastAsia" w:ascii="仿宋" w:hAnsi="仿宋" w:eastAsia="仿宋"/>
          <w:sz w:val="30"/>
          <w:szCs w:val="30"/>
        </w:rPr>
        <w:t>部门整体总</w:t>
      </w:r>
      <w:r>
        <w:rPr>
          <w:rFonts w:ascii="仿宋" w:hAnsi="仿宋" w:eastAsia="仿宋"/>
          <w:sz w:val="30"/>
          <w:szCs w:val="30"/>
        </w:rPr>
        <w:t>收入</w:t>
      </w:r>
      <w:r>
        <w:rPr>
          <w:rFonts w:hint="eastAsia" w:ascii="仿宋" w:hAnsi="仿宋" w:eastAsia="仿宋"/>
          <w:sz w:val="30"/>
          <w:szCs w:val="30"/>
          <w:lang w:val="en-US" w:eastAsia="zh-CN"/>
        </w:rPr>
        <w:t>464.28</w:t>
      </w:r>
      <w:r>
        <w:rPr>
          <w:rFonts w:ascii="仿宋" w:hAnsi="仿宋" w:eastAsia="仿宋"/>
          <w:sz w:val="30"/>
          <w:szCs w:val="30"/>
        </w:rPr>
        <w:t>万元，</w:t>
      </w:r>
      <w:r>
        <w:rPr>
          <w:rFonts w:hint="eastAsia" w:ascii="仿宋" w:hAnsi="仿宋" w:eastAsia="仿宋"/>
          <w:sz w:val="30"/>
          <w:szCs w:val="30"/>
        </w:rPr>
        <w:t>其中行政运行</w:t>
      </w:r>
      <w:r>
        <w:rPr>
          <w:rFonts w:hint="eastAsia" w:ascii="仿宋" w:hAnsi="仿宋" w:eastAsia="仿宋"/>
          <w:sz w:val="30"/>
          <w:szCs w:val="30"/>
          <w:lang w:val="en-US" w:eastAsia="zh-CN"/>
        </w:rPr>
        <w:t>259.40</w:t>
      </w:r>
      <w:r>
        <w:rPr>
          <w:rFonts w:hint="eastAsia" w:ascii="仿宋" w:hAnsi="仿宋" w:eastAsia="仿宋"/>
          <w:sz w:val="30"/>
          <w:szCs w:val="30"/>
        </w:rPr>
        <w:t>万元，占总收入的</w:t>
      </w:r>
      <w:r>
        <w:rPr>
          <w:rFonts w:hint="eastAsia" w:ascii="仿宋" w:hAnsi="仿宋" w:eastAsia="仿宋"/>
          <w:sz w:val="30"/>
          <w:szCs w:val="30"/>
          <w:lang w:val="en-US" w:eastAsia="zh-CN"/>
        </w:rPr>
        <w:t>55.87</w:t>
      </w:r>
      <w:r>
        <w:rPr>
          <w:rFonts w:hint="eastAsia" w:ascii="仿宋" w:hAnsi="仿宋" w:eastAsia="仿宋"/>
          <w:sz w:val="30"/>
          <w:szCs w:val="30"/>
        </w:rPr>
        <w:t>%；机关事业单位养老保险缴费支出</w:t>
      </w:r>
      <w:r>
        <w:rPr>
          <w:rFonts w:hint="eastAsia" w:ascii="仿宋" w:hAnsi="仿宋" w:eastAsia="仿宋"/>
          <w:sz w:val="30"/>
          <w:szCs w:val="30"/>
          <w:lang w:val="en-US" w:eastAsia="zh-CN"/>
        </w:rPr>
        <w:t>21.73</w:t>
      </w:r>
      <w:r>
        <w:rPr>
          <w:rFonts w:hint="eastAsia" w:ascii="仿宋" w:hAnsi="仿宋" w:eastAsia="仿宋"/>
          <w:sz w:val="30"/>
          <w:szCs w:val="30"/>
        </w:rPr>
        <w:t>万元，占总收入的</w:t>
      </w:r>
      <w:r>
        <w:rPr>
          <w:rFonts w:hint="eastAsia" w:ascii="仿宋" w:hAnsi="仿宋" w:eastAsia="仿宋"/>
          <w:sz w:val="30"/>
          <w:szCs w:val="30"/>
          <w:lang w:val="en-US" w:eastAsia="zh-CN"/>
        </w:rPr>
        <w:t>4.68</w:t>
      </w:r>
      <w:r>
        <w:rPr>
          <w:rFonts w:hint="eastAsia" w:ascii="仿宋" w:hAnsi="仿宋" w:eastAsia="仿宋"/>
          <w:sz w:val="30"/>
          <w:szCs w:val="30"/>
        </w:rPr>
        <w:t>%；其他社会保障和就业支出</w:t>
      </w:r>
      <w:r>
        <w:rPr>
          <w:rFonts w:hint="eastAsia" w:ascii="仿宋" w:hAnsi="仿宋" w:eastAsia="仿宋"/>
          <w:sz w:val="30"/>
          <w:szCs w:val="30"/>
          <w:lang w:val="en-US" w:eastAsia="zh-CN"/>
        </w:rPr>
        <w:t>18.66</w:t>
      </w:r>
      <w:r>
        <w:rPr>
          <w:rFonts w:hint="eastAsia" w:ascii="仿宋" w:hAnsi="仿宋" w:eastAsia="仿宋"/>
          <w:sz w:val="30"/>
          <w:szCs w:val="30"/>
        </w:rPr>
        <w:t>万元，占总收入的</w:t>
      </w:r>
      <w:r>
        <w:rPr>
          <w:rFonts w:hint="eastAsia" w:ascii="仿宋" w:hAnsi="仿宋" w:eastAsia="仿宋"/>
          <w:sz w:val="30"/>
          <w:szCs w:val="30"/>
          <w:lang w:val="en-US" w:eastAsia="zh-CN"/>
        </w:rPr>
        <w:t>4.02</w:t>
      </w:r>
      <w:r>
        <w:rPr>
          <w:rFonts w:hint="eastAsia" w:ascii="仿宋" w:hAnsi="仿宋" w:eastAsia="仿宋"/>
          <w:sz w:val="30"/>
          <w:szCs w:val="30"/>
        </w:rPr>
        <w:t>%；住房公积金</w:t>
      </w:r>
      <w:r>
        <w:rPr>
          <w:rFonts w:hint="eastAsia" w:ascii="仿宋" w:hAnsi="仿宋" w:eastAsia="仿宋"/>
          <w:sz w:val="30"/>
          <w:szCs w:val="30"/>
          <w:lang w:val="en-US" w:eastAsia="zh-CN"/>
        </w:rPr>
        <w:t>15.52</w:t>
      </w:r>
      <w:r>
        <w:rPr>
          <w:rFonts w:hint="eastAsia" w:ascii="仿宋" w:hAnsi="仿宋" w:eastAsia="仿宋"/>
          <w:sz w:val="30"/>
          <w:szCs w:val="30"/>
        </w:rPr>
        <w:t>万元，占总收入的</w:t>
      </w:r>
      <w:r>
        <w:rPr>
          <w:rFonts w:hint="eastAsia" w:ascii="仿宋" w:hAnsi="仿宋" w:eastAsia="仿宋"/>
          <w:sz w:val="30"/>
          <w:szCs w:val="30"/>
          <w:lang w:val="en-US" w:eastAsia="zh-CN"/>
        </w:rPr>
        <w:t>3.34</w:t>
      </w:r>
      <w:r>
        <w:rPr>
          <w:rFonts w:hint="eastAsia" w:ascii="仿宋" w:hAnsi="仿宋" w:eastAsia="仿宋"/>
          <w:sz w:val="30"/>
          <w:szCs w:val="30"/>
        </w:rPr>
        <w:t>%；行政单位离退休</w:t>
      </w:r>
      <w:r>
        <w:rPr>
          <w:rFonts w:hint="eastAsia" w:ascii="仿宋" w:hAnsi="仿宋" w:eastAsia="仿宋"/>
          <w:sz w:val="30"/>
          <w:szCs w:val="30"/>
          <w:lang w:val="en-US" w:eastAsia="zh-CN"/>
        </w:rPr>
        <w:t>15.63</w:t>
      </w:r>
      <w:r>
        <w:rPr>
          <w:rFonts w:hint="eastAsia" w:ascii="仿宋" w:hAnsi="仿宋" w:eastAsia="仿宋"/>
          <w:sz w:val="30"/>
          <w:szCs w:val="30"/>
        </w:rPr>
        <w:t>万元，占总收入的</w:t>
      </w:r>
      <w:r>
        <w:rPr>
          <w:rFonts w:hint="eastAsia" w:ascii="仿宋" w:hAnsi="仿宋" w:eastAsia="仿宋"/>
          <w:sz w:val="30"/>
          <w:szCs w:val="30"/>
          <w:lang w:val="en-US" w:eastAsia="zh-CN"/>
        </w:rPr>
        <w:t>3.37</w:t>
      </w:r>
      <w:r>
        <w:rPr>
          <w:rFonts w:hint="eastAsia" w:ascii="仿宋" w:hAnsi="仿宋" w:eastAsia="仿宋"/>
          <w:sz w:val="30"/>
          <w:szCs w:val="30"/>
        </w:rPr>
        <w:t>%；</w:t>
      </w:r>
      <w:r>
        <w:rPr>
          <w:rFonts w:hint="eastAsia" w:ascii="仿宋" w:hAnsi="仿宋" w:eastAsia="仿宋"/>
          <w:sz w:val="30"/>
          <w:szCs w:val="30"/>
          <w:lang w:val="en-US" w:eastAsia="zh-CN"/>
        </w:rPr>
        <w:t>纪检监察事务6.1</w:t>
      </w:r>
      <w:r>
        <w:rPr>
          <w:rFonts w:hint="eastAsia" w:ascii="仿宋" w:hAnsi="仿宋" w:eastAsia="仿宋"/>
          <w:sz w:val="30"/>
          <w:szCs w:val="30"/>
        </w:rPr>
        <w:t>万元，占总收入的</w:t>
      </w:r>
      <w:r>
        <w:rPr>
          <w:rFonts w:hint="eastAsia" w:ascii="仿宋" w:hAnsi="仿宋" w:eastAsia="仿宋"/>
          <w:sz w:val="30"/>
          <w:szCs w:val="30"/>
          <w:lang w:val="en-US" w:eastAsia="zh-CN"/>
        </w:rPr>
        <w:t>1.31</w:t>
      </w:r>
      <w:r>
        <w:rPr>
          <w:rFonts w:hint="eastAsia" w:ascii="仿宋" w:hAnsi="仿宋" w:eastAsia="仿宋"/>
          <w:sz w:val="30"/>
          <w:szCs w:val="30"/>
        </w:rPr>
        <w:t>%；项目经费一般行政管理事务</w:t>
      </w:r>
      <w:r>
        <w:rPr>
          <w:rFonts w:hint="eastAsia" w:ascii="仿宋" w:hAnsi="仿宋" w:eastAsia="仿宋"/>
          <w:sz w:val="30"/>
          <w:szCs w:val="30"/>
          <w:lang w:val="en-US" w:eastAsia="zh-CN"/>
        </w:rPr>
        <w:t>125.74</w:t>
      </w:r>
      <w:r>
        <w:rPr>
          <w:rFonts w:hint="eastAsia" w:ascii="仿宋" w:hAnsi="仿宋" w:eastAsia="仿宋"/>
          <w:sz w:val="30"/>
          <w:szCs w:val="30"/>
        </w:rPr>
        <w:t>万元，占总收入</w:t>
      </w:r>
      <w:r>
        <w:rPr>
          <w:rFonts w:hint="eastAsia" w:ascii="仿宋" w:hAnsi="仿宋" w:eastAsia="仿宋"/>
          <w:sz w:val="30"/>
          <w:szCs w:val="30"/>
          <w:lang w:val="en-US" w:eastAsia="zh-CN"/>
        </w:rPr>
        <w:t>27.08</w:t>
      </w:r>
      <w:r>
        <w:rPr>
          <w:rFonts w:hint="eastAsia" w:ascii="仿宋" w:hAnsi="仿宋" w:eastAsia="仿宋"/>
          <w:sz w:val="30"/>
          <w:szCs w:val="30"/>
        </w:rPr>
        <w:t>%；扶贫事务</w:t>
      </w:r>
      <w:r>
        <w:rPr>
          <w:rFonts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万元，占总收入的</w:t>
      </w:r>
      <w:r>
        <w:rPr>
          <w:rFonts w:ascii="仿宋" w:hAnsi="仿宋" w:eastAsia="仿宋"/>
          <w:sz w:val="30"/>
          <w:szCs w:val="30"/>
        </w:rPr>
        <w:t>0.</w:t>
      </w:r>
      <w:r>
        <w:rPr>
          <w:rFonts w:hint="eastAsia" w:ascii="仿宋" w:hAnsi="仿宋" w:eastAsia="仿宋"/>
          <w:sz w:val="30"/>
          <w:szCs w:val="30"/>
          <w:lang w:val="en-US" w:eastAsia="zh-CN"/>
        </w:rPr>
        <w:t>32</w:t>
      </w:r>
      <w:r>
        <w:rPr>
          <w:rFonts w:hint="eastAsia" w:ascii="仿宋" w:hAnsi="仿宋" w:eastAsia="仿宋"/>
          <w:sz w:val="30"/>
          <w:szCs w:val="30"/>
        </w:rPr>
        <w:t>%。</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详见下表：</w:t>
      </w:r>
    </w:p>
    <w:p>
      <w:pPr>
        <w:widowControl/>
        <w:spacing w:before="100" w:beforeAutospacing="1" w:after="100" w:afterAutospacing="1" w:line="420" w:lineRule="atLeast"/>
        <w:ind w:firstLine="480"/>
        <w:jc w:val="left"/>
        <w:rPr>
          <w:rFonts w:ascii="仿宋" w:hAnsi="仿宋" w:eastAsia="仿宋" w:cs="宋体"/>
          <w:color w:val="000A0E"/>
          <w:kern w:val="0"/>
          <w:sz w:val="30"/>
          <w:szCs w:val="30"/>
        </w:rPr>
      </w:pPr>
      <w:r>
        <w:rPr>
          <w:rFonts w:hint="eastAsia" w:ascii="仿宋" w:hAnsi="仿宋" w:eastAsia="仿宋" w:cs="宋体"/>
          <w:color w:val="000A0E"/>
          <w:kern w:val="0"/>
          <w:sz w:val="30"/>
          <w:szCs w:val="30"/>
        </w:rPr>
        <w:drawing>
          <wp:inline distT="0" distB="0" distL="0" distR="0">
            <wp:extent cx="5274310" cy="3076575"/>
            <wp:effectExtent l="5080" t="4445" r="1651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bl>
      <w:tblPr>
        <w:tblStyle w:val="9"/>
        <w:tblW w:w="14100" w:type="dxa"/>
        <w:jc w:val="center"/>
        <w:tblCellSpacing w:w="0" w:type="dxa"/>
        <w:shd w:val="clear" w:color="auto" w:fill="FFFFFF"/>
        <w:tblLayout w:type="autofit"/>
        <w:tblCellMar>
          <w:top w:w="0" w:type="dxa"/>
          <w:left w:w="0" w:type="dxa"/>
          <w:bottom w:w="0" w:type="dxa"/>
          <w:right w:w="0" w:type="dxa"/>
        </w:tblCellMar>
      </w:tblPr>
      <w:tblGrid>
        <w:gridCol w:w="141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36" w:lineRule="atLeast"/>
              <w:jc w:val="left"/>
              <w:rPr>
                <w:rFonts w:ascii="Verdana" w:hAnsi="Verdana" w:eastAsia="宋体" w:cs="宋体"/>
                <w:color w:val="333333"/>
                <w:kern w:val="0"/>
                <w:sz w:val="24"/>
                <w:szCs w:val="24"/>
              </w:rPr>
            </w:pPr>
            <w:r>
              <w:rPr>
                <w:rFonts w:hint="eastAsia" w:ascii="宋体" w:hAnsi="宋体" w:eastAsia="宋体" w:cs="宋体"/>
                <w:color w:val="000A0E"/>
                <w:kern w:val="0"/>
                <w:sz w:val="24"/>
                <w:szCs w:val="24"/>
              </w:rPr>
              <w:t> </w:t>
            </w:r>
          </w:p>
        </w:tc>
      </w:tr>
    </w:tbl>
    <w:p>
      <w:pPr>
        <w:snapToGrid w:val="0"/>
        <w:spacing w:line="520" w:lineRule="exact"/>
        <w:ind w:firstLine="600" w:firstLineChars="200"/>
        <w:rPr>
          <w:rFonts w:ascii="仿宋" w:hAnsi="仿宋" w:eastAsia="仿宋"/>
          <w:sz w:val="30"/>
          <w:szCs w:val="30"/>
        </w:rPr>
      </w:pPr>
      <w:r>
        <w:rPr>
          <w:rFonts w:hint="eastAsia" w:ascii="仿宋" w:hAnsi="仿宋" w:eastAsia="仿宋"/>
          <w:sz w:val="30"/>
          <w:szCs w:val="30"/>
          <w:lang w:eastAsia="zh-CN"/>
        </w:rPr>
        <w:t>2021</w:t>
      </w:r>
      <w:r>
        <w:rPr>
          <w:rFonts w:hint="eastAsia" w:ascii="仿宋" w:hAnsi="仿宋" w:eastAsia="仿宋"/>
          <w:sz w:val="30"/>
          <w:szCs w:val="30"/>
        </w:rPr>
        <w:t>年决算总支出</w:t>
      </w:r>
      <w:r>
        <w:rPr>
          <w:rFonts w:hint="eastAsia" w:ascii="仿宋" w:hAnsi="仿宋" w:eastAsia="仿宋"/>
          <w:sz w:val="30"/>
          <w:szCs w:val="30"/>
          <w:lang w:val="en-US" w:eastAsia="zh-CN"/>
        </w:rPr>
        <w:t>497.65</w:t>
      </w:r>
      <w:r>
        <w:rPr>
          <w:rFonts w:hint="eastAsia" w:ascii="仿宋" w:hAnsi="仿宋" w:eastAsia="仿宋"/>
          <w:sz w:val="30"/>
          <w:szCs w:val="30"/>
        </w:rPr>
        <w:t>万元，其中工资福利支出（人员经费）</w:t>
      </w:r>
      <w:r>
        <w:rPr>
          <w:rFonts w:hint="eastAsia" w:ascii="仿宋" w:hAnsi="仿宋" w:eastAsia="仿宋"/>
          <w:sz w:val="30"/>
          <w:szCs w:val="30"/>
          <w:lang w:val="en-US" w:eastAsia="zh-CN"/>
        </w:rPr>
        <w:t>344.72</w:t>
      </w:r>
      <w:r>
        <w:rPr>
          <w:rFonts w:hint="eastAsia" w:ascii="仿宋" w:hAnsi="仿宋" w:eastAsia="仿宋"/>
          <w:sz w:val="30"/>
          <w:szCs w:val="30"/>
        </w:rPr>
        <w:t>万元，占总支出的</w:t>
      </w:r>
      <w:r>
        <w:rPr>
          <w:rFonts w:hint="eastAsia" w:ascii="仿宋" w:hAnsi="仿宋" w:eastAsia="仿宋"/>
          <w:sz w:val="30"/>
          <w:szCs w:val="30"/>
          <w:lang w:val="en-US" w:eastAsia="zh-CN"/>
        </w:rPr>
        <w:t>69.27</w:t>
      </w:r>
      <w:r>
        <w:rPr>
          <w:rFonts w:hint="eastAsia" w:ascii="仿宋" w:hAnsi="仿宋" w:eastAsia="仿宋"/>
          <w:sz w:val="30"/>
          <w:szCs w:val="30"/>
        </w:rPr>
        <w:t>%；日常公用经费支出</w:t>
      </w:r>
      <w:r>
        <w:rPr>
          <w:rFonts w:hint="eastAsia" w:ascii="仿宋" w:hAnsi="仿宋" w:eastAsia="仿宋"/>
          <w:sz w:val="30"/>
          <w:szCs w:val="30"/>
          <w:lang w:val="en-US" w:eastAsia="zh-CN"/>
        </w:rPr>
        <w:t>28.21</w:t>
      </w:r>
      <w:r>
        <w:rPr>
          <w:rFonts w:hint="eastAsia" w:ascii="仿宋" w:hAnsi="仿宋" w:eastAsia="仿宋"/>
          <w:sz w:val="30"/>
          <w:szCs w:val="30"/>
        </w:rPr>
        <w:t>万元，占总支出的</w:t>
      </w:r>
      <w:r>
        <w:rPr>
          <w:rFonts w:hint="eastAsia" w:ascii="仿宋" w:hAnsi="仿宋" w:eastAsia="仿宋"/>
          <w:sz w:val="30"/>
          <w:szCs w:val="30"/>
          <w:lang w:val="en-US" w:eastAsia="zh-CN"/>
        </w:rPr>
        <w:t>5.67</w:t>
      </w:r>
      <w:r>
        <w:rPr>
          <w:rFonts w:hint="eastAsia" w:ascii="仿宋" w:hAnsi="仿宋" w:eastAsia="仿宋"/>
          <w:sz w:val="30"/>
          <w:szCs w:val="30"/>
        </w:rPr>
        <w:t>%；项目支出</w:t>
      </w:r>
      <w:r>
        <w:rPr>
          <w:rFonts w:hint="eastAsia" w:ascii="仿宋" w:hAnsi="仿宋" w:eastAsia="仿宋"/>
          <w:sz w:val="30"/>
          <w:szCs w:val="30"/>
          <w:lang w:val="en-US" w:eastAsia="zh-CN"/>
        </w:rPr>
        <w:t>124.72</w:t>
      </w:r>
      <w:r>
        <w:rPr>
          <w:rFonts w:hint="eastAsia" w:ascii="仿宋" w:hAnsi="仿宋" w:eastAsia="仿宋"/>
          <w:sz w:val="30"/>
          <w:szCs w:val="30"/>
        </w:rPr>
        <w:t>万元，占总支出的</w:t>
      </w:r>
      <w:r>
        <w:rPr>
          <w:rFonts w:hint="eastAsia" w:ascii="仿宋" w:hAnsi="仿宋" w:eastAsia="仿宋"/>
          <w:sz w:val="30"/>
          <w:szCs w:val="30"/>
          <w:lang w:val="en-US" w:eastAsia="zh-CN"/>
        </w:rPr>
        <w:t>25.06</w:t>
      </w:r>
      <w:r>
        <w:rPr>
          <w:rFonts w:hint="eastAsia" w:ascii="仿宋" w:hAnsi="仿宋" w:eastAsia="仿宋"/>
          <w:sz w:val="30"/>
          <w:szCs w:val="30"/>
        </w:rPr>
        <w:t>%。（包括一般行政管理事务1</w:t>
      </w:r>
      <w:r>
        <w:rPr>
          <w:rFonts w:ascii="仿宋" w:hAnsi="仿宋" w:eastAsia="仿宋"/>
          <w:sz w:val="30"/>
          <w:szCs w:val="30"/>
        </w:rPr>
        <w:t>37.99</w:t>
      </w:r>
      <w:r>
        <w:rPr>
          <w:rFonts w:hint="eastAsia" w:ascii="仿宋" w:hAnsi="仿宋" w:eastAsia="仿宋"/>
          <w:sz w:val="30"/>
          <w:szCs w:val="30"/>
        </w:rPr>
        <w:t>万元，</w:t>
      </w:r>
      <w:r>
        <w:rPr>
          <w:rFonts w:hint="eastAsia" w:ascii="仿宋" w:hAnsi="仿宋" w:eastAsia="仿宋"/>
          <w:sz w:val="30"/>
          <w:szCs w:val="30"/>
          <w:lang w:val="en-US" w:eastAsia="zh-CN"/>
        </w:rPr>
        <w:t>纪检监察6.10</w:t>
      </w:r>
      <w:r>
        <w:rPr>
          <w:rFonts w:hint="eastAsia" w:ascii="仿宋" w:hAnsi="仿宋" w:eastAsia="仿宋"/>
          <w:sz w:val="30"/>
          <w:szCs w:val="30"/>
        </w:rPr>
        <w:t>万元，扶贫支出</w:t>
      </w:r>
      <w:r>
        <w:rPr>
          <w:rFonts w:hint="eastAsia" w:ascii="仿宋" w:hAnsi="仿宋" w:eastAsia="仿宋"/>
          <w:sz w:val="30"/>
          <w:szCs w:val="30"/>
          <w:lang w:val="en-US" w:eastAsia="zh-CN"/>
        </w:rPr>
        <w:t>1.5</w:t>
      </w:r>
      <w:r>
        <w:rPr>
          <w:rFonts w:hint="eastAsia" w:ascii="仿宋" w:hAnsi="仿宋" w:eastAsia="仿宋"/>
          <w:sz w:val="30"/>
          <w:szCs w:val="30"/>
        </w:rPr>
        <w:t>万元等）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详见下表：</w:t>
      </w:r>
    </w:p>
    <w:p>
      <w:pPr>
        <w:ind w:firstLine="560" w:firstLineChars="200"/>
        <w:jc w:val="left"/>
        <w:rPr>
          <w:rFonts w:ascii="仿宋" w:hAnsi="仿宋" w:eastAsia="仿宋" w:cs="宋体"/>
          <w:b/>
          <w:bCs/>
          <w:sz w:val="30"/>
          <w:szCs w:val="30"/>
        </w:rPr>
      </w:pPr>
      <w:r>
        <w:rPr>
          <w:rFonts w:hint="eastAsia" w:ascii="仿宋_GB2312" w:hAnsi="宋体" w:eastAsia="仿宋_GB2312" w:cs="宋体"/>
          <w:kern w:val="0"/>
          <w:sz w:val="28"/>
          <w:szCs w:val="28"/>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仿宋" w:hAnsi="仿宋" w:eastAsia="仿宋" w:cs="宋体"/>
          <w:b/>
          <w:bCs/>
          <w:sz w:val="30"/>
          <w:szCs w:val="30"/>
        </w:rPr>
      </w:pPr>
    </w:p>
    <w:p>
      <w:pPr>
        <w:jc w:val="left"/>
        <w:rPr>
          <w:rFonts w:ascii="仿宋" w:hAnsi="仿宋" w:eastAsia="仿宋" w:cs="宋体"/>
          <w:b/>
          <w:bCs/>
          <w:sz w:val="30"/>
          <w:szCs w:val="30"/>
        </w:rPr>
      </w:pPr>
      <w:r>
        <w:rPr>
          <w:rFonts w:hint="eastAsia" w:ascii="仿宋" w:hAnsi="仿宋" w:eastAsia="仿宋" w:cs="宋体"/>
          <w:b/>
          <w:bCs/>
          <w:sz w:val="30"/>
          <w:szCs w:val="30"/>
        </w:rPr>
        <w:t>（二）部门总体绩效目标实现情况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一、2021年工作总结</w:t>
      </w:r>
    </w:p>
    <w:p>
      <w:pPr>
        <w:pStyle w:val="8"/>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2021年，市直机关工委在宜春市委的坚强领导下，按照年初工作部署，</w:t>
      </w:r>
      <w:r>
        <w:rPr>
          <w:rFonts w:hint="eastAsia" w:ascii="仿宋_GB2312" w:hAnsi="仿宋_GB2312" w:eastAsia="仿宋_GB2312" w:cs="仿宋_GB2312"/>
          <w:color w:val="000000"/>
          <w:kern w:val="2"/>
          <w:sz w:val="32"/>
          <w:szCs w:val="32"/>
          <w:lang w:val="en-US" w:eastAsia="zh-CN" w:bidi="ar-SA"/>
        </w:rPr>
        <w:t>突出政治建设，强化目标导向、问题导向，统筹推进市直机关党建各项工作。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围绕践行“两个维护”，政治机关意识不断强化。</w:t>
      </w:r>
      <w:r>
        <w:rPr>
          <w:rFonts w:hint="eastAsia" w:ascii="仿宋" w:hAnsi="仿宋" w:eastAsia="仿宋" w:cs="仿宋"/>
          <w:sz w:val="32"/>
          <w:szCs w:val="32"/>
          <w:lang w:val="en-US" w:eastAsia="zh-CN"/>
        </w:rPr>
        <w:t>把加强政治建设作为机关党建首要任务，坚持把习近平新时代中国特色社会主义思想作为“三会一课”、主题党日的第一议题和教育培训第一课。认真组织机关党员干部学习宣传贯彻党的十九届六中全会精神和省、市党代会精神。以党史学习教育、庆祝建党100周年为契机，开展党史知识竞赛、微党课比赛等系列活动，强化了党员干部政治素质训练。针对80后、90后党员干部这一群体成长特点，突出政治纪律和政治规矩教育。注重发挥意识形态主阵地作用，建好用好宜春机关党建网站和微信公众号，开设“党史学习教育”“党史微党课”“青年学四史”专栏，一年来共发文240余篇。</w:t>
      </w:r>
    </w:p>
    <w:p>
      <w:pPr>
        <w:pStyle w:val="8"/>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b/>
          <w:bCs/>
          <w:color w:val="000000"/>
          <w:kern w:val="2"/>
          <w:sz w:val="32"/>
          <w:szCs w:val="32"/>
          <w:lang w:val="en-US" w:eastAsia="zh-CN" w:bidi="ar-SA"/>
        </w:rPr>
        <w:t>注重抓基层打基础，推动基层党组织全面进步。</w:t>
      </w:r>
      <w:r>
        <w:rPr>
          <w:rFonts w:hint="eastAsia" w:ascii="仿宋" w:hAnsi="仿宋" w:eastAsia="仿宋" w:cs="仿宋"/>
          <w:kern w:val="2"/>
          <w:sz w:val="32"/>
          <w:szCs w:val="32"/>
          <w:lang w:val="en-US" w:eastAsia="zh-CN" w:bidi="ar-SA"/>
        </w:rPr>
        <w:t>持续巩固提升“三化”建设成效，专门制定下发了破解“两张皮”问题文件，打造融合发展新亮点。注重典型引领，85个基层党组织、198名党员和党务工作者获市级以上表彰，向649名老党员颁发了“光荣在党50年”纪念章，大力宣传党员“微故事”“</w:t>
      </w:r>
      <w:bookmarkStart w:id="0" w:name="_GoBack"/>
      <w:bookmarkEnd w:id="0"/>
      <w:r>
        <w:rPr>
          <w:rFonts w:hint="eastAsia" w:ascii="仿宋" w:hAnsi="仿宋" w:eastAsia="仿宋" w:cs="仿宋"/>
          <w:kern w:val="2"/>
          <w:sz w:val="32"/>
          <w:szCs w:val="32"/>
          <w:lang w:val="en-US" w:eastAsia="zh-CN" w:bidi="ar-SA"/>
        </w:rPr>
        <w:t>新时代赣鄱先锋”及典型经验、优秀案例，用身边典型激发党员队伍动力活力。严格落实双重组织生活备案、双述双评、四级书记讲党课等制度，修订下发了党组(党委)书记履行机关党建第一责任、机关党组织书记聚焦机关党建主责主业“两个责任清单”，推动党建责任落实落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围绕中心服务大局，党建保障作用更加有力。</w:t>
      </w:r>
      <w:r>
        <w:rPr>
          <w:rFonts w:hint="eastAsia" w:ascii="仿宋" w:hAnsi="仿宋" w:eastAsia="仿宋" w:cs="仿宋"/>
          <w:sz w:val="32"/>
          <w:szCs w:val="32"/>
          <w:lang w:val="en-US" w:eastAsia="zh-CN"/>
        </w:rPr>
        <w:t>组织精锐力量服务乡村振兴，跟踪做好市直机关130名第一书记、142名驻村工作队员的教育管理，在组织引领上持续用力。常态化开展“我为群众办实事”实践活动，以“双进双服务”活动为载体，865个党支部结对共建209个村（社区），为群众办实事2013件，发挥了机关党员服务能力强的特点。组织1.1万名党员干部参与全国文明城市创建、疫情防控、平安宜春建设等工作，切实发挥了示范推动作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持续正风肃纪，党风廉政建设不断加强。</w:t>
      </w:r>
      <w:r>
        <w:rPr>
          <w:rFonts w:hint="eastAsia" w:ascii="仿宋" w:hAnsi="仿宋" w:eastAsia="仿宋" w:cs="仿宋"/>
          <w:sz w:val="32"/>
          <w:szCs w:val="32"/>
          <w:lang w:val="en-US" w:eastAsia="zh-CN"/>
        </w:rPr>
        <w:t>高位推进清廉机关建设，联合市委组织部制定下发了《关于深入推进清廉机关建设的实施意见》，92个直属党组织全部开展“七个一”活动，1.2万名在职党员作出个人清廉建设公开承诺。强化警示教育，推动以案促改，突出节假日等重点时段加强教育提醒，筑牢党员干部廉洁自律思想防线。加大违纪问责力度，一年来共对58起60名党员干部和公职人员违纪违法案件进行了审理，并督促做好处分后续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二、2022年工作打算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以习近平新时代中国特色社会主义思想为指导，深入学习贯彻</w:t>
      </w:r>
      <w:r>
        <w:rPr>
          <w:rFonts w:hint="eastAsia" w:ascii="仿宋" w:hAnsi="仿宋" w:eastAsia="仿宋" w:cs="仿宋"/>
          <w:sz w:val="32"/>
          <w:szCs w:val="32"/>
          <w:lang w:val="en-US" w:eastAsia="zh-CN"/>
        </w:rPr>
        <w:t>党的十九届六中全会精神和</w:t>
      </w:r>
      <w:r>
        <w:rPr>
          <w:rFonts w:hint="eastAsia" w:ascii="仿宋" w:hAnsi="仿宋" w:eastAsia="仿宋" w:cs="仿宋"/>
          <w:sz w:val="32"/>
          <w:szCs w:val="32"/>
        </w:rPr>
        <w:t>习近平总书记“7.9”重要讲话精神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恪守</w:t>
      </w:r>
      <w:r>
        <w:rPr>
          <w:rFonts w:hint="eastAsia" w:ascii="仿宋" w:hAnsi="仿宋" w:eastAsia="仿宋" w:cs="仿宋"/>
          <w:sz w:val="32"/>
          <w:szCs w:val="32"/>
        </w:rPr>
        <w:t>“做示范、勇争先”</w:t>
      </w:r>
      <w:r>
        <w:rPr>
          <w:rFonts w:hint="eastAsia" w:ascii="仿宋" w:hAnsi="仿宋" w:eastAsia="仿宋" w:cs="仿宋"/>
          <w:sz w:val="32"/>
          <w:szCs w:val="32"/>
          <w:lang w:val="en-US" w:eastAsia="zh-CN"/>
        </w:rPr>
        <w:t>目标定位</w:t>
      </w:r>
      <w:r>
        <w:rPr>
          <w:rFonts w:hint="eastAsia" w:ascii="仿宋" w:hAnsi="仿宋" w:eastAsia="仿宋" w:cs="仿宋"/>
          <w:sz w:val="32"/>
          <w:szCs w:val="32"/>
        </w:rPr>
        <w:t>，以迎接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宣传、贯彻</w:t>
      </w:r>
      <w:r>
        <w:rPr>
          <w:rFonts w:hint="eastAsia" w:ascii="仿宋" w:hAnsi="仿宋" w:eastAsia="仿宋" w:cs="仿宋"/>
          <w:sz w:val="32"/>
          <w:szCs w:val="32"/>
        </w:rPr>
        <w:t>党的二十大为主线，</w:t>
      </w:r>
      <w:r>
        <w:rPr>
          <w:rFonts w:hint="eastAsia" w:ascii="仿宋" w:hAnsi="仿宋" w:eastAsia="仿宋" w:cs="仿宋"/>
          <w:sz w:val="32"/>
          <w:szCs w:val="32"/>
          <w:lang w:val="en-US" w:eastAsia="zh-CN"/>
        </w:rPr>
        <w:t>突出打造</w:t>
      </w:r>
      <w:r>
        <w:rPr>
          <w:rFonts w:hint="eastAsia" w:ascii="仿宋" w:hAnsi="仿宋" w:eastAsia="仿宋" w:cs="仿宋"/>
          <w:sz w:val="32"/>
          <w:szCs w:val="32"/>
        </w:rPr>
        <w:t>让党放心、让人民满意的模范机关</w:t>
      </w:r>
      <w:r>
        <w:rPr>
          <w:rFonts w:hint="eastAsia" w:ascii="仿宋" w:hAnsi="仿宋" w:eastAsia="仿宋" w:cs="仿宋"/>
          <w:sz w:val="32"/>
          <w:szCs w:val="32"/>
          <w:lang w:val="en-US" w:eastAsia="zh-CN"/>
        </w:rPr>
        <w:t>这个主题</w:t>
      </w:r>
      <w:r>
        <w:rPr>
          <w:rFonts w:hint="eastAsia" w:ascii="仿宋" w:hAnsi="仿宋" w:eastAsia="仿宋" w:cs="仿宋"/>
          <w:sz w:val="32"/>
          <w:szCs w:val="32"/>
        </w:rPr>
        <w:t>，创新工作载体，提升</w:t>
      </w:r>
      <w:r>
        <w:rPr>
          <w:rFonts w:hint="eastAsia" w:ascii="仿宋" w:hAnsi="仿宋" w:eastAsia="仿宋" w:cs="仿宋"/>
          <w:sz w:val="32"/>
          <w:szCs w:val="32"/>
          <w:lang w:val="en-US" w:eastAsia="zh-CN"/>
        </w:rPr>
        <w:t>整体</w:t>
      </w:r>
      <w:r>
        <w:rPr>
          <w:rFonts w:hint="eastAsia" w:ascii="仿宋" w:hAnsi="仿宋" w:eastAsia="仿宋" w:cs="仿宋"/>
          <w:sz w:val="32"/>
          <w:szCs w:val="32"/>
        </w:rPr>
        <w:t>功能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w:t>
      </w:r>
      <w:r>
        <w:rPr>
          <w:rFonts w:hint="eastAsia" w:ascii="仿宋" w:hAnsi="仿宋" w:eastAsia="仿宋" w:cs="仿宋"/>
          <w:sz w:val="32"/>
          <w:szCs w:val="32"/>
        </w:rPr>
        <w:t>建设江西综合实力强市和区域性中心城市</w:t>
      </w:r>
      <w:r>
        <w:rPr>
          <w:rFonts w:hint="eastAsia" w:ascii="仿宋" w:hAnsi="仿宋" w:eastAsia="仿宋" w:cs="仿宋"/>
          <w:sz w:val="32"/>
          <w:szCs w:val="32"/>
          <w:lang w:val="en-US" w:eastAsia="zh-CN"/>
        </w:rPr>
        <w:t>提供坚强保证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一是建立市直机关政治生活专题报告制度，推进机关政治建设。</w:t>
      </w:r>
      <w:r>
        <w:rPr>
          <w:rFonts w:hint="eastAsia" w:ascii="仿宋" w:hAnsi="仿宋" w:eastAsia="仿宋" w:cs="仿宋"/>
          <w:sz w:val="32"/>
          <w:szCs w:val="32"/>
          <w:lang w:val="en-US" w:eastAsia="zh-CN"/>
        </w:rPr>
        <w:t>巩固拓展党史学习教育成果，持续深入开展政治理论学习教育、对党忠诚教育。严肃党内政治生活，实行党内政治生活专题报告制度，坚决防止和纠正对党中央阳奉阴违做两面人、搞两面派、搞伪忠诚等“低级红高级黑”问题，增强党内政治生活的政治性、时代性、原则性、战斗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二是完善市直机关纪委工作规程，推进勤廉机关建设。</w:t>
      </w:r>
      <w:r>
        <w:rPr>
          <w:rFonts w:hint="eastAsia" w:ascii="仿宋" w:hAnsi="仿宋" w:eastAsia="仿宋" w:cs="仿宋"/>
          <w:sz w:val="32"/>
          <w:szCs w:val="32"/>
          <w:lang w:val="en-US" w:eastAsia="zh-CN"/>
        </w:rPr>
        <w:t>贯彻落实省委办公厅《关于加强省直机关纪委建设的实施意见》，制作简便、通俗、易懂的《市直机关纪委工作挂图》，明确和规范机关纪委工作职责、工作机制，理顺机关纪委与机关党委、机关纪检监察工委及派驻纪检监察组的工作关系，形成同频共振、同向发力的监督执纪工作格局。大力整治繁文缛节、陈规陋习、高高在上等形式主义、官僚主义问题，营造风清气正的政治生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三是建立机关年轻干部思想作风状况定期分析制度，推进机关作风建设。</w:t>
      </w:r>
      <w:r>
        <w:rPr>
          <w:rFonts w:hint="eastAsia" w:ascii="仿宋" w:hAnsi="仿宋" w:eastAsia="仿宋" w:cs="仿宋"/>
          <w:sz w:val="32"/>
          <w:szCs w:val="32"/>
          <w:lang w:val="en-US" w:eastAsia="zh-CN"/>
        </w:rPr>
        <w:t>及时掌握市直机关年轻干部的政治表现、思想困惑和作风现状，有针对性地分析研判、把握重点、创设载体，引导年轻干部站稳政治立场，分清是非界限，警惕消极心态侵蚀，破除满足现状、不愿奋斗、畏惧挑战的“躺平”思想，不断提高想干事、能干事、干成事的能力和水平，让他们牢牢扣好第一粒扣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四是建立抓党建促发展案例指导机制，推进机关党建与业务工作深度融合。</w:t>
      </w:r>
      <w:r>
        <w:rPr>
          <w:rFonts w:hint="eastAsia" w:ascii="仿宋" w:hAnsi="仿宋" w:eastAsia="仿宋" w:cs="仿宋"/>
          <w:sz w:val="32"/>
          <w:szCs w:val="32"/>
          <w:lang w:val="en-US" w:eastAsia="zh-CN"/>
        </w:rPr>
        <w:t>完善机关党建和业务工作一起谋划、一起部署、一起落实、一起检查的运行机制，进一步推进机关党建和业务工作深度融合。对服务新能源（锂电）首位产业和优化营商环境相关重点单位，组织开展党建与业务融合专项调研督导，推出可供学习借鉴的典型案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五是完善“双进双服务”机制，推进机关服务效能提升。</w:t>
      </w:r>
      <w:r>
        <w:rPr>
          <w:rFonts w:hint="eastAsia" w:ascii="仿宋" w:hAnsi="仿宋" w:eastAsia="仿宋" w:cs="仿宋"/>
          <w:sz w:val="32"/>
          <w:szCs w:val="32"/>
          <w:lang w:val="en-US" w:eastAsia="zh-CN"/>
        </w:rPr>
        <w:t>坚持以人民为中心的发展思想，树立到一线解决问题的导向，推进机关党组织进共建社区，在职党员进居住社区，服务社区、服务居民，解决群众急难愁盼问题，构建“社区吹哨、部门报到”工作格局。通过城市社区共治共建共享，使党的组织覆盖和工作覆盖有效扩大，基层党组织的政治功能和服务功能持续增强，党旗在基层一线高高飘扬。</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color w:val="000000"/>
          <w:kern w:val="2"/>
          <w:sz w:val="32"/>
          <w:szCs w:val="32"/>
          <w:lang w:val="en-US" w:eastAsia="zh-CN" w:bidi="ar-SA"/>
        </w:rPr>
        <w:t>六是探索建立机关党建联席会议制度，推进党建责任落实。</w:t>
      </w:r>
      <w:r>
        <w:rPr>
          <w:rFonts w:hint="eastAsia" w:ascii="仿宋" w:hAnsi="仿宋" w:eastAsia="仿宋" w:cs="仿宋"/>
          <w:sz w:val="32"/>
          <w:szCs w:val="32"/>
          <w:lang w:val="en-US" w:eastAsia="zh-CN"/>
        </w:rPr>
        <w:t>加强联席会议成员单位间的信息交流，组织开展调查研究、课题研讨、现场观摩，研究工作计划，策划组织活动，落实相关工作，总结工作经验，解决突出问题。改进机关党建考评方式，实行联动式考评，压实“三级五岗”责任，不断推进党建提质增效。</w:t>
      </w:r>
    </w:p>
    <w:p>
      <w:pPr>
        <w:pStyle w:val="3"/>
        <w:spacing w:line="580" w:lineRule="exact"/>
        <w:rPr>
          <w:rFonts w:hint="default" w:eastAsia="仿宋_GB2312"/>
        </w:rPr>
      </w:pPr>
    </w:p>
    <w:p>
      <w:pPr>
        <w:ind w:firstLine="600" w:firstLineChars="200"/>
        <w:rPr>
          <w:rFonts w:ascii="仿宋" w:hAnsi="仿宋" w:eastAsia="仿宋" w:cs="仿宋"/>
          <w:sz w:val="30"/>
          <w:szCs w:val="30"/>
        </w:rPr>
      </w:pPr>
    </w:p>
    <w:p>
      <w:pPr>
        <w:jc w:val="left"/>
        <w:rPr>
          <w:rFonts w:ascii="黑体" w:hAnsi="黑体" w:eastAsia="黑体" w:cs="宋体"/>
          <w:b/>
          <w:bCs/>
          <w:sz w:val="30"/>
          <w:szCs w:val="30"/>
        </w:rPr>
      </w:pPr>
      <w:r>
        <w:rPr>
          <w:rFonts w:hint="eastAsia" w:ascii="黑体" w:hAnsi="黑体" w:eastAsia="黑体" w:cs="宋体"/>
          <w:b/>
          <w:bCs/>
          <w:sz w:val="30"/>
          <w:szCs w:val="30"/>
        </w:rPr>
        <w:t>三、评价工作开展情况及评价结果</w:t>
      </w:r>
    </w:p>
    <w:p>
      <w:pPr>
        <w:pStyle w:val="4"/>
        <w:spacing w:line="540" w:lineRule="atLeast"/>
        <w:ind w:firstLine="301" w:firstLineChars="100"/>
        <w:rPr>
          <w:rFonts w:ascii="楷体" w:hAnsi="楷体" w:eastAsia="楷体" w:cs="宋体"/>
          <w:b/>
          <w:bCs/>
          <w:sz w:val="30"/>
          <w:szCs w:val="30"/>
        </w:rPr>
      </w:pPr>
      <w:r>
        <w:rPr>
          <w:rFonts w:hint="eastAsia" w:ascii="楷体" w:hAnsi="楷体" w:eastAsia="楷体" w:cs="宋体"/>
          <w:b/>
          <w:bCs/>
          <w:sz w:val="30"/>
          <w:szCs w:val="30"/>
        </w:rPr>
        <w:t>（一）绩效评价原则和依据、评价指标体系、评价方法</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1、绩效评价原则</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（1）科学规范原则。在绩效评价过程中严格执行规定的程序，按照科学可行的要求，采用定量与定性的分析相结合的方法。</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（2）公正公开原则。绩效评价应当符合真实、客观、公正的要求，依法公开并接受公众监督。</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（3）绩效相关原则。绩效评价应当针对具体支出及其产出绩效进行，评价结果应当清晰反映支出和产出绩效之间紧密对应关系。</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2、绩效评价依据</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本绩效评价依据：</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（1）《财政支出绩效评价管理暂行办法》及相关法律、法规和规章制度；</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（2）《宜春市财政局关于开展</w:t>
      </w:r>
      <w:r>
        <w:rPr>
          <w:rFonts w:hint="eastAsia" w:ascii="仿宋" w:hAnsi="仿宋" w:eastAsia="仿宋" w:cs="宋体"/>
          <w:sz w:val="30"/>
          <w:szCs w:val="30"/>
          <w:lang w:eastAsia="zh-CN"/>
        </w:rPr>
        <w:t>202</w:t>
      </w:r>
      <w:r>
        <w:rPr>
          <w:rFonts w:hint="eastAsia" w:ascii="仿宋" w:hAnsi="仿宋" w:eastAsia="仿宋" w:cs="宋体"/>
          <w:sz w:val="30"/>
          <w:szCs w:val="30"/>
        </w:rPr>
        <w:t>年度市级部门绩效评价的通知》（宜财绩〔202</w:t>
      </w:r>
      <w:r>
        <w:rPr>
          <w:rFonts w:hint="eastAsia" w:ascii="仿宋" w:hAnsi="仿宋" w:eastAsia="仿宋" w:cs="宋体"/>
          <w:sz w:val="30"/>
          <w:szCs w:val="30"/>
          <w:lang w:val="en-US" w:eastAsia="zh-CN"/>
        </w:rPr>
        <w:t>2</w:t>
      </w:r>
      <w:r>
        <w:rPr>
          <w:rFonts w:hint="eastAsia" w:ascii="仿宋" w:hAnsi="仿宋" w:eastAsia="仿宋" w:cs="宋体"/>
          <w:sz w:val="30"/>
          <w:szCs w:val="30"/>
        </w:rPr>
        <w:t>〕</w:t>
      </w:r>
      <w:r>
        <w:rPr>
          <w:rFonts w:hint="eastAsia" w:ascii="仿宋" w:hAnsi="仿宋" w:eastAsia="仿宋" w:cs="宋体"/>
          <w:sz w:val="30"/>
          <w:szCs w:val="30"/>
          <w:lang w:val="en-US" w:eastAsia="zh-CN"/>
        </w:rPr>
        <w:t>3</w:t>
      </w:r>
      <w:r>
        <w:rPr>
          <w:rFonts w:hint="eastAsia" w:ascii="仿宋" w:hAnsi="仿宋" w:eastAsia="仿宋" w:cs="宋体"/>
          <w:sz w:val="30"/>
          <w:szCs w:val="30"/>
        </w:rPr>
        <w:t>号）；</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（3）宜春市直属机关工作委员会</w:t>
      </w:r>
      <w:r>
        <w:rPr>
          <w:rFonts w:hint="eastAsia" w:ascii="仿宋" w:hAnsi="仿宋" w:eastAsia="仿宋" w:cs="宋体"/>
          <w:sz w:val="30"/>
          <w:szCs w:val="30"/>
          <w:lang w:eastAsia="zh-CN"/>
        </w:rPr>
        <w:t>2021</w:t>
      </w:r>
      <w:r>
        <w:rPr>
          <w:rFonts w:hint="eastAsia" w:ascii="仿宋" w:hAnsi="仿宋" w:eastAsia="仿宋" w:cs="宋体"/>
          <w:sz w:val="30"/>
          <w:szCs w:val="30"/>
        </w:rPr>
        <w:t>年度部门决算报表；</w:t>
      </w:r>
    </w:p>
    <w:p>
      <w:pPr>
        <w:pStyle w:val="4"/>
        <w:spacing w:line="540" w:lineRule="atLeast"/>
        <w:ind w:right="-101" w:rightChars="-48" w:firstLine="600"/>
        <w:rPr>
          <w:rFonts w:ascii="仿宋" w:hAnsi="仿宋" w:eastAsia="仿宋" w:cs="宋体"/>
          <w:sz w:val="30"/>
          <w:szCs w:val="30"/>
        </w:rPr>
      </w:pPr>
      <w:r>
        <w:rPr>
          <w:rFonts w:hint="eastAsia" w:ascii="仿宋" w:hAnsi="仿宋" w:eastAsia="仿宋" w:cs="宋体"/>
          <w:sz w:val="30"/>
          <w:szCs w:val="30"/>
        </w:rPr>
        <w:t>（4）其他相关资料。</w:t>
      </w:r>
    </w:p>
    <w:p>
      <w:pPr>
        <w:pStyle w:val="4"/>
        <w:spacing w:line="540" w:lineRule="atLeast"/>
        <w:ind w:firstLine="600"/>
        <w:rPr>
          <w:rFonts w:ascii="仿宋" w:hAnsi="仿宋" w:eastAsia="仿宋" w:cs="宋体"/>
          <w:sz w:val="30"/>
          <w:szCs w:val="30"/>
        </w:rPr>
      </w:pP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3、评价指标体系</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指标体系包括投入指标、过程指标和产出效益指标。</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详见附表：</w:t>
      </w:r>
    </w:p>
    <w:p>
      <w:pPr>
        <w:pStyle w:val="4"/>
        <w:spacing w:line="540" w:lineRule="atLeast"/>
        <w:ind w:firstLine="600"/>
        <w:rPr>
          <w:rFonts w:ascii="仿宋" w:hAnsi="仿宋" w:eastAsia="仿宋" w:cs="宋体"/>
          <w:sz w:val="30"/>
          <w:szCs w:val="30"/>
        </w:rPr>
      </w:pPr>
      <w:r>
        <w:drawing>
          <wp:inline distT="0" distB="0" distL="114300" distR="114300">
            <wp:extent cx="5273040" cy="7643495"/>
            <wp:effectExtent l="0" t="0" r="381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3040" cy="7643495"/>
                    </a:xfrm>
                    <a:prstGeom prst="rect">
                      <a:avLst/>
                    </a:prstGeom>
                    <a:noFill/>
                    <a:ln>
                      <a:noFill/>
                    </a:ln>
                  </pic:spPr>
                </pic:pic>
              </a:graphicData>
            </a:graphic>
          </wp:inline>
        </w:drawing>
      </w:r>
    </w:p>
    <w:p>
      <w:pPr>
        <w:pStyle w:val="4"/>
        <w:spacing w:line="540" w:lineRule="atLeast"/>
        <w:ind w:firstLine="600"/>
        <w:rPr>
          <w:rFonts w:ascii="仿宋" w:hAnsi="仿宋" w:eastAsia="仿宋" w:cs="宋体"/>
          <w:sz w:val="30"/>
          <w:szCs w:val="30"/>
        </w:rPr>
      </w:pP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4、评价方法</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本绩效评价主要采用成本效益比较法、成本效益分析法、公众评判法。</w:t>
      </w:r>
    </w:p>
    <w:p>
      <w:pPr>
        <w:pStyle w:val="4"/>
        <w:spacing w:line="540" w:lineRule="atLeast"/>
        <w:ind w:firstLine="0" w:firstLineChars="0"/>
        <w:rPr>
          <w:rFonts w:ascii="楷体" w:hAnsi="楷体" w:eastAsia="楷体" w:cs="宋体"/>
          <w:sz w:val="30"/>
          <w:szCs w:val="30"/>
        </w:rPr>
      </w:pPr>
    </w:p>
    <w:p>
      <w:pPr>
        <w:pStyle w:val="4"/>
        <w:spacing w:line="540" w:lineRule="atLeast"/>
        <w:ind w:firstLine="0" w:firstLineChars="0"/>
        <w:rPr>
          <w:rFonts w:ascii="仿宋" w:hAnsi="仿宋" w:eastAsia="仿宋" w:cs="宋体"/>
          <w:b/>
          <w:bCs/>
          <w:sz w:val="30"/>
          <w:szCs w:val="30"/>
        </w:rPr>
      </w:pPr>
      <w:r>
        <w:rPr>
          <w:rFonts w:hint="eastAsia" w:ascii="楷体" w:hAnsi="楷体" w:eastAsia="楷体" w:cs="宋体"/>
          <w:b/>
          <w:bCs/>
          <w:sz w:val="30"/>
          <w:szCs w:val="30"/>
        </w:rPr>
        <w:t>（二）绩效评价组织实施过程</w:t>
      </w:r>
    </w:p>
    <w:p>
      <w:pPr>
        <w:pStyle w:val="4"/>
        <w:spacing w:line="540" w:lineRule="atLeast"/>
        <w:ind w:firstLine="602"/>
        <w:rPr>
          <w:rFonts w:ascii="仿宋" w:hAnsi="仿宋" w:eastAsia="仿宋" w:cs="宋体"/>
          <w:b/>
          <w:bCs/>
          <w:sz w:val="30"/>
          <w:szCs w:val="30"/>
        </w:rPr>
      </w:pPr>
      <w:r>
        <w:rPr>
          <w:rFonts w:hint="eastAsia" w:ascii="仿宋" w:hAnsi="仿宋" w:eastAsia="仿宋" w:cs="宋体"/>
          <w:b/>
          <w:bCs/>
          <w:sz w:val="30"/>
          <w:szCs w:val="30"/>
        </w:rPr>
        <w:t>1、前期工作</w:t>
      </w:r>
    </w:p>
    <w:p>
      <w:pPr>
        <w:pStyle w:val="4"/>
        <w:spacing w:line="540" w:lineRule="atLeast"/>
        <w:ind w:firstLine="600"/>
        <w:rPr>
          <w:rFonts w:ascii="仿宋" w:hAnsi="仿宋" w:eastAsia="仿宋" w:cs="宋体"/>
          <w:sz w:val="30"/>
          <w:szCs w:val="30"/>
        </w:rPr>
      </w:pPr>
      <w:r>
        <w:rPr>
          <w:rFonts w:hint="eastAsia" w:ascii="仿宋" w:hAnsi="仿宋" w:eastAsia="仿宋" w:cs="宋体"/>
          <w:sz w:val="30"/>
          <w:szCs w:val="30"/>
        </w:rPr>
        <w:t>为做好</w:t>
      </w:r>
      <w:r>
        <w:rPr>
          <w:rFonts w:hint="eastAsia" w:ascii="仿宋" w:hAnsi="仿宋" w:eastAsia="仿宋" w:cs="宋体"/>
          <w:sz w:val="30"/>
          <w:szCs w:val="30"/>
          <w:lang w:eastAsia="zh-CN"/>
        </w:rPr>
        <w:t>2021</w:t>
      </w:r>
      <w:r>
        <w:rPr>
          <w:rFonts w:hint="eastAsia" w:ascii="仿宋" w:hAnsi="仿宋" w:eastAsia="仿宋" w:cs="宋体"/>
          <w:sz w:val="30"/>
          <w:szCs w:val="30"/>
        </w:rPr>
        <w:t>年度部门整体支出绩效评价工作，进行了充分的前期准备工作，备好了绩效评价所需的文件材料，组织成立了由书记徐青山同志为组长的绩效评价小组，确定了绩效评价工作人员,制订了宜春市直属机关工作委员会</w:t>
      </w:r>
      <w:r>
        <w:rPr>
          <w:rFonts w:hint="eastAsia" w:ascii="仿宋" w:hAnsi="仿宋" w:eastAsia="仿宋" w:cs="宋体"/>
          <w:sz w:val="30"/>
          <w:szCs w:val="30"/>
          <w:lang w:eastAsia="zh-CN"/>
        </w:rPr>
        <w:t>2021</w:t>
      </w:r>
      <w:r>
        <w:rPr>
          <w:rFonts w:hint="eastAsia" w:ascii="仿宋" w:hAnsi="仿宋" w:eastAsia="仿宋" w:cs="宋体"/>
          <w:sz w:val="30"/>
          <w:szCs w:val="30"/>
        </w:rPr>
        <w:t>年度部门整体支出绩效评价工作方案。</w:t>
      </w:r>
    </w:p>
    <w:p>
      <w:pPr>
        <w:pStyle w:val="4"/>
        <w:spacing w:line="540" w:lineRule="atLeast"/>
        <w:ind w:firstLine="600"/>
        <w:rPr>
          <w:rFonts w:ascii="仿宋" w:hAnsi="仿宋" w:eastAsia="仿宋" w:cs="宋体"/>
          <w:sz w:val="30"/>
          <w:szCs w:val="30"/>
        </w:rPr>
      </w:pPr>
    </w:p>
    <w:p>
      <w:pPr>
        <w:pStyle w:val="4"/>
        <w:spacing w:line="540" w:lineRule="exact"/>
        <w:ind w:firstLine="602"/>
        <w:rPr>
          <w:rFonts w:ascii="仿宋" w:hAnsi="仿宋" w:eastAsia="仿宋" w:cs="宋体"/>
          <w:b/>
          <w:bCs/>
          <w:sz w:val="30"/>
          <w:szCs w:val="30"/>
        </w:rPr>
      </w:pPr>
      <w:r>
        <w:rPr>
          <w:rFonts w:hint="eastAsia" w:ascii="仿宋" w:hAnsi="仿宋" w:eastAsia="仿宋" w:cs="宋体"/>
          <w:b/>
          <w:bCs/>
          <w:sz w:val="30"/>
          <w:szCs w:val="30"/>
        </w:rPr>
        <w:t>2、组织实施</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绩效评价工作人员本着科学、严谨的态度组织实施部门整体支出的绩效评价工作。</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（1）收集基础数据。对照绩效评价项目，对部门整体支出实施情况进行逐一核实。</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（2）确定绩效评价指标体系。在准备阶段初步拟定的绩效评价指标体系的基础上，确定项目绩效评价的指标体系。</w:t>
      </w:r>
    </w:p>
    <w:p>
      <w:pPr>
        <w:pStyle w:val="4"/>
        <w:spacing w:line="540" w:lineRule="exact"/>
        <w:ind w:firstLine="600"/>
        <w:rPr>
          <w:rFonts w:ascii="仿宋" w:hAnsi="仿宋" w:eastAsia="仿宋" w:cs="宋体"/>
          <w:sz w:val="30"/>
          <w:szCs w:val="30"/>
        </w:rPr>
      </w:pPr>
    </w:p>
    <w:p>
      <w:pPr>
        <w:pStyle w:val="4"/>
        <w:spacing w:line="540" w:lineRule="exact"/>
        <w:ind w:firstLine="602"/>
        <w:rPr>
          <w:rFonts w:ascii="仿宋" w:hAnsi="仿宋" w:eastAsia="仿宋" w:cs="宋体"/>
          <w:b/>
          <w:bCs/>
          <w:sz w:val="30"/>
          <w:szCs w:val="30"/>
        </w:rPr>
      </w:pPr>
      <w:r>
        <w:rPr>
          <w:rFonts w:hint="eastAsia" w:ascii="仿宋" w:hAnsi="仿宋" w:eastAsia="仿宋" w:cs="宋体"/>
          <w:b/>
          <w:bCs/>
          <w:sz w:val="30"/>
          <w:szCs w:val="30"/>
        </w:rPr>
        <w:t>3、分析评价</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对收集的资料进行审查核实，对项目执行前后的各项管理工作、项目投入与产出进行对比，分析项目执行后产生的经济、社会、生态效益和可持续影响等，总结项目经验，找出项目存在的问题，提出改进建议。</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（三）绩效评价整体结果概况</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评价小组通过收集单位数据和资料、实地核查、重点抽查及调查问卷等方式，对照评价方案的评价指标逐一进行评价、打分，评价总得分为9</w:t>
      </w:r>
      <w:r>
        <w:rPr>
          <w:rFonts w:hint="eastAsia" w:ascii="仿宋" w:hAnsi="仿宋" w:eastAsia="仿宋" w:cs="宋体"/>
          <w:sz w:val="30"/>
          <w:szCs w:val="30"/>
          <w:lang w:val="en-US" w:eastAsia="zh-CN"/>
        </w:rPr>
        <w:t>5.5</w:t>
      </w:r>
      <w:r>
        <w:rPr>
          <w:rFonts w:hint="eastAsia" w:ascii="仿宋" w:hAnsi="仿宋" w:eastAsia="仿宋" w:cs="宋体"/>
          <w:sz w:val="30"/>
          <w:szCs w:val="30"/>
        </w:rPr>
        <w:t>分，结论为“优秀”。</w:t>
      </w:r>
    </w:p>
    <w:p>
      <w:pPr>
        <w:pStyle w:val="4"/>
        <w:spacing w:line="540" w:lineRule="exact"/>
        <w:ind w:firstLine="0" w:firstLineChars="0"/>
        <w:rPr>
          <w:rFonts w:ascii="仿宋" w:hAnsi="仿宋" w:eastAsia="仿宋" w:cs="宋体"/>
          <w:sz w:val="30"/>
          <w:szCs w:val="30"/>
        </w:rPr>
      </w:pPr>
    </w:p>
    <w:p>
      <w:pPr>
        <w:pStyle w:val="4"/>
        <w:spacing w:line="540" w:lineRule="exact"/>
        <w:ind w:firstLine="0" w:firstLineChars="0"/>
        <w:rPr>
          <w:rFonts w:ascii="黑体" w:hAnsi="黑体" w:eastAsia="黑体" w:cs="宋体"/>
          <w:b/>
          <w:bCs/>
          <w:sz w:val="30"/>
          <w:szCs w:val="30"/>
        </w:rPr>
      </w:pPr>
      <w:r>
        <w:rPr>
          <w:rFonts w:hint="eastAsia" w:ascii="黑体" w:hAnsi="黑体" w:eastAsia="黑体" w:cs="宋体"/>
          <w:b/>
          <w:bCs/>
          <w:sz w:val="30"/>
          <w:szCs w:val="30"/>
        </w:rPr>
        <w:t>四、部门整体支出绩效评价分析</w:t>
      </w: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（一）投入情况分析</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绩效目标设定。符合“三定方案”赋予的职责，符合国家法律法规、宜春市委、市政府发展规划及本部门中长期实施规划和年度工作安排。绩效目标清晰明确，与年度部门预算相配备部门年度申报绩效目标项目资金额与部门项目预算资金总额的比率为100.00%。</w:t>
      </w:r>
    </w:p>
    <w:p>
      <w:pPr>
        <w:pStyle w:val="4"/>
        <w:spacing w:line="540" w:lineRule="exact"/>
        <w:ind w:firstLine="600"/>
        <w:rPr>
          <w:rFonts w:ascii="仿宋" w:hAnsi="仿宋" w:eastAsia="仿宋" w:cs="宋体"/>
          <w:sz w:val="30"/>
          <w:szCs w:val="30"/>
        </w:rPr>
      </w:pP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2、预算配置</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（1）在职人员控制率：核定编制</w:t>
      </w:r>
      <w:r>
        <w:rPr>
          <w:rFonts w:hint="eastAsia" w:ascii="仿宋" w:hAnsi="仿宋" w:eastAsia="仿宋" w:cs="宋体"/>
          <w:sz w:val="30"/>
          <w:szCs w:val="30"/>
          <w:lang w:val="en-US" w:eastAsia="zh-CN"/>
        </w:rPr>
        <w:t>18</w:t>
      </w:r>
      <w:r>
        <w:rPr>
          <w:rFonts w:hint="eastAsia" w:ascii="仿宋" w:hAnsi="仿宋" w:eastAsia="仿宋" w:cs="宋体"/>
          <w:sz w:val="30"/>
          <w:szCs w:val="30"/>
        </w:rPr>
        <w:t>人，年末在职在编人员</w:t>
      </w:r>
      <w:r>
        <w:rPr>
          <w:rFonts w:ascii="仿宋" w:hAnsi="仿宋" w:eastAsia="仿宋" w:cs="宋体"/>
          <w:sz w:val="30"/>
          <w:szCs w:val="30"/>
        </w:rPr>
        <w:t>17</w:t>
      </w:r>
      <w:r>
        <w:rPr>
          <w:rFonts w:hint="eastAsia" w:ascii="仿宋" w:hAnsi="仿宋" w:eastAsia="仿宋" w:cs="宋体"/>
          <w:sz w:val="30"/>
          <w:szCs w:val="30"/>
        </w:rPr>
        <w:t>人，在职人员控制率为</w:t>
      </w:r>
      <w:r>
        <w:rPr>
          <w:rFonts w:hint="eastAsia" w:ascii="仿宋" w:hAnsi="仿宋" w:eastAsia="仿宋" w:cs="宋体"/>
          <w:sz w:val="30"/>
          <w:szCs w:val="30"/>
          <w:lang w:val="en-US" w:eastAsia="zh-CN"/>
        </w:rPr>
        <w:t>94</w:t>
      </w:r>
      <w:r>
        <w:rPr>
          <w:rFonts w:hint="eastAsia" w:ascii="仿宋" w:hAnsi="仿宋" w:eastAsia="仿宋" w:cs="宋体"/>
          <w:sz w:val="30"/>
          <w:szCs w:val="30"/>
        </w:rPr>
        <w:t>%。</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（2）项目安排率:本年项目安排金额</w:t>
      </w:r>
      <w:r>
        <w:rPr>
          <w:rFonts w:hint="eastAsia" w:ascii="仿宋" w:hAnsi="仿宋" w:eastAsia="仿宋" w:cs="宋体"/>
          <w:sz w:val="30"/>
          <w:szCs w:val="30"/>
          <w:lang w:val="en-US" w:eastAsia="zh-CN"/>
        </w:rPr>
        <w:t>174.12</w:t>
      </w:r>
      <w:r>
        <w:rPr>
          <w:rFonts w:hint="eastAsia" w:ascii="仿宋" w:hAnsi="仿宋" w:eastAsia="仿宋" w:cs="宋体"/>
          <w:sz w:val="30"/>
          <w:szCs w:val="30"/>
        </w:rPr>
        <w:t>万元,部门预算总金额</w:t>
      </w:r>
      <w:r>
        <w:rPr>
          <w:rFonts w:hint="eastAsia" w:ascii="仿宋" w:hAnsi="仿宋" w:eastAsia="仿宋" w:cs="宋体"/>
          <w:sz w:val="30"/>
          <w:szCs w:val="30"/>
          <w:lang w:val="en-US" w:eastAsia="zh-CN"/>
        </w:rPr>
        <w:t>174.12</w:t>
      </w:r>
      <w:r>
        <w:rPr>
          <w:rFonts w:hint="eastAsia" w:ascii="仿宋" w:hAnsi="仿宋" w:eastAsia="仿宋" w:cs="宋体"/>
          <w:sz w:val="30"/>
          <w:szCs w:val="30"/>
        </w:rPr>
        <w:t>万元,重点支出安排率</w:t>
      </w:r>
      <w:r>
        <w:rPr>
          <w:rFonts w:ascii="仿宋" w:hAnsi="仿宋" w:eastAsia="仿宋" w:cs="宋体"/>
          <w:sz w:val="30"/>
          <w:szCs w:val="30"/>
        </w:rPr>
        <w:t>100</w:t>
      </w:r>
      <w:r>
        <w:rPr>
          <w:rFonts w:hint="eastAsia" w:ascii="仿宋" w:hAnsi="仿宋" w:eastAsia="仿宋" w:cs="宋体"/>
          <w:sz w:val="30"/>
          <w:szCs w:val="30"/>
        </w:rPr>
        <w:t>%。</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仿宋" w:hAnsi="仿宋" w:eastAsia="仿宋" w:cs="宋体"/>
          <w:b/>
          <w:bCs/>
          <w:sz w:val="30"/>
          <w:szCs w:val="30"/>
        </w:rPr>
      </w:pPr>
      <w:r>
        <w:rPr>
          <w:rFonts w:hint="eastAsia" w:ascii="仿宋" w:hAnsi="仿宋" w:eastAsia="仿宋" w:cs="宋体"/>
          <w:b/>
          <w:bCs/>
          <w:sz w:val="30"/>
          <w:szCs w:val="30"/>
        </w:rPr>
        <w:t>（二）预算执行情况分析</w:t>
      </w:r>
    </w:p>
    <w:p>
      <w:pPr>
        <w:pStyle w:val="4"/>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jc w:val="left"/>
        <w:textAlignment w:val="auto"/>
        <w:rPr>
          <w:rFonts w:ascii="仿宋" w:hAnsi="仿宋" w:eastAsia="仿宋" w:cs="宋体"/>
          <w:sz w:val="30"/>
          <w:szCs w:val="30"/>
        </w:rPr>
      </w:pPr>
      <w:r>
        <w:rPr>
          <w:rFonts w:hint="eastAsia" w:ascii="楷体" w:hAnsi="楷体" w:eastAsia="楷体" w:cs="宋体"/>
          <w:sz w:val="30"/>
          <w:szCs w:val="30"/>
        </w:rPr>
        <w:t>（</w:t>
      </w:r>
      <w:r>
        <w:rPr>
          <w:rFonts w:hint="eastAsia" w:ascii="仿宋" w:hAnsi="仿宋" w:eastAsia="仿宋" w:cs="宋体"/>
          <w:sz w:val="30"/>
          <w:szCs w:val="30"/>
        </w:rPr>
        <w:t>1）预算完成率：年初预算支出</w:t>
      </w:r>
      <w:r>
        <w:rPr>
          <w:rFonts w:hint="eastAsia" w:ascii="仿宋" w:hAnsi="仿宋" w:eastAsia="仿宋" w:cs="宋体"/>
          <w:sz w:val="30"/>
          <w:szCs w:val="30"/>
          <w:lang w:val="en-US" w:eastAsia="zh-CN"/>
        </w:rPr>
        <w:t>511.16</w:t>
      </w:r>
      <w:r>
        <w:rPr>
          <w:rFonts w:hint="eastAsia" w:ascii="仿宋" w:hAnsi="仿宋" w:eastAsia="仿宋" w:cs="宋体"/>
          <w:sz w:val="30"/>
          <w:szCs w:val="30"/>
        </w:rPr>
        <w:t>万元，调整后预算支出</w:t>
      </w:r>
      <w:r>
        <w:rPr>
          <w:rFonts w:hint="eastAsia" w:ascii="仿宋" w:hAnsi="仿宋" w:eastAsia="仿宋" w:cs="宋体"/>
          <w:sz w:val="30"/>
          <w:szCs w:val="30"/>
          <w:lang w:val="en-US" w:eastAsia="zh-CN"/>
        </w:rPr>
        <w:t>464.28</w:t>
      </w:r>
      <w:r>
        <w:rPr>
          <w:rFonts w:hint="eastAsia" w:ascii="仿宋" w:hAnsi="仿宋" w:eastAsia="仿宋" w:cs="宋体"/>
          <w:sz w:val="30"/>
          <w:szCs w:val="30"/>
        </w:rPr>
        <w:t>万元，实际执行</w:t>
      </w:r>
      <w:r>
        <w:rPr>
          <w:rFonts w:hint="eastAsia" w:ascii="仿宋" w:hAnsi="仿宋" w:eastAsia="仿宋" w:cs="宋体"/>
          <w:sz w:val="30"/>
          <w:szCs w:val="30"/>
          <w:lang w:val="en-US" w:eastAsia="zh-CN"/>
        </w:rPr>
        <w:t>464.28</w:t>
      </w:r>
      <w:r>
        <w:rPr>
          <w:rFonts w:hint="eastAsia" w:ascii="仿宋" w:hAnsi="仿宋" w:eastAsia="仿宋" w:cs="宋体"/>
          <w:sz w:val="30"/>
          <w:szCs w:val="30"/>
        </w:rPr>
        <w:t>万元，预算完成率为</w:t>
      </w:r>
      <w:r>
        <w:rPr>
          <w:rFonts w:hint="eastAsia" w:ascii="仿宋" w:hAnsi="仿宋" w:eastAsia="仿宋" w:cs="宋体"/>
          <w:sz w:val="30"/>
          <w:szCs w:val="30"/>
          <w:lang w:val="en-US" w:eastAsia="zh-CN"/>
        </w:rPr>
        <w:t>100</w:t>
      </w:r>
      <w:r>
        <w:rPr>
          <w:rFonts w:hint="eastAsia" w:ascii="仿宋" w:hAnsi="仿宋" w:eastAsia="仿宋" w:cs="宋体"/>
          <w:sz w:val="30"/>
          <w:szCs w:val="30"/>
        </w:rPr>
        <w:t>%。</w:t>
      </w:r>
    </w:p>
    <w:p>
      <w:pPr>
        <w:pStyle w:val="4"/>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预算调整率为(</w:t>
      </w:r>
      <w:r>
        <w:rPr>
          <w:rFonts w:hint="eastAsia" w:ascii="仿宋" w:hAnsi="仿宋" w:eastAsia="仿宋" w:cs="宋体"/>
          <w:sz w:val="30"/>
          <w:szCs w:val="30"/>
          <w:lang w:val="en-US" w:eastAsia="zh-CN"/>
        </w:rPr>
        <w:t>511.16</w:t>
      </w:r>
      <w:r>
        <w:rPr>
          <w:rFonts w:ascii="仿宋" w:hAnsi="仿宋" w:eastAsia="仿宋" w:cs="宋体"/>
          <w:sz w:val="30"/>
          <w:szCs w:val="30"/>
        </w:rPr>
        <w:t>-4</w:t>
      </w:r>
      <w:r>
        <w:rPr>
          <w:rFonts w:hint="eastAsia" w:ascii="仿宋" w:hAnsi="仿宋" w:eastAsia="仿宋" w:cs="宋体"/>
          <w:sz w:val="30"/>
          <w:szCs w:val="30"/>
          <w:lang w:val="en-US" w:eastAsia="zh-CN"/>
        </w:rPr>
        <w:t>64.28</w:t>
      </w:r>
      <w:r>
        <w:rPr>
          <w:rFonts w:hint="eastAsia" w:ascii="仿宋" w:hAnsi="仿宋" w:eastAsia="仿宋" w:cs="宋体"/>
          <w:sz w:val="30"/>
          <w:szCs w:val="30"/>
        </w:rPr>
        <w:t>)/</w:t>
      </w:r>
      <w:r>
        <w:rPr>
          <w:rFonts w:hint="eastAsia" w:ascii="仿宋" w:hAnsi="仿宋" w:eastAsia="仿宋" w:cs="宋体"/>
          <w:sz w:val="30"/>
          <w:szCs w:val="30"/>
          <w:lang w:val="en-US" w:eastAsia="zh-CN"/>
        </w:rPr>
        <w:t>464.28</w:t>
      </w:r>
      <w:r>
        <w:rPr>
          <w:rFonts w:hint="eastAsia" w:ascii="仿宋" w:hAnsi="仿宋" w:eastAsia="仿宋" w:cs="宋体"/>
          <w:sz w:val="30"/>
          <w:szCs w:val="30"/>
        </w:rPr>
        <w:t xml:space="preserve">×100%= </w:t>
      </w:r>
      <w:r>
        <w:rPr>
          <w:rFonts w:hint="eastAsia" w:ascii="仿宋" w:hAnsi="仿宋" w:eastAsia="仿宋" w:cs="宋体"/>
          <w:sz w:val="30"/>
          <w:szCs w:val="30"/>
          <w:lang w:val="en-US" w:eastAsia="zh-CN"/>
        </w:rPr>
        <w:t>10.09</w:t>
      </w:r>
      <w:r>
        <w:rPr>
          <w:rFonts w:ascii="仿宋" w:hAnsi="仿宋" w:eastAsia="仿宋" w:cs="宋体"/>
          <w:sz w:val="30"/>
          <w:szCs w:val="30"/>
        </w:rPr>
        <w:t>%</w:t>
      </w:r>
    </w:p>
    <w:p>
      <w:pPr>
        <w:pStyle w:val="4"/>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为加强预算管理，本部门制定了健全完整的资金管理办法、财务管理制度并基本得到了有效执行；资金的使用基本符合预算管理制度的规定；资产保存完整、使用合规；申报的绩效目标项目都纳入了绩效监控。</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楷体" w:hAnsi="楷体" w:eastAsia="楷体" w:cs="宋体"/>
          <w:b/>
          <w:bCs/>
          <w:sz w:val="30"/>
          <w:szCs w:val="30"/>
        </w:rPr>
      </w:pPr>
      <w:r>
        <w:rPr>
          <w:rFonts w:hint="eastAsia" w:ascii="楷体" w:hAnsi="楷体" w:eastAsia="楷体" w:cs="宋体"/>
          <w:b/>
          <w:bCs/>
          <w:sz w:val="30"/>
          <w:szCs w:val="30"/>
        </w:rPr>
        <w:t>（三）产出和效益情况分析</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（1）项目资金支出率：本年实际支出金额</w:t>
      </w:r>
      <w:r>
        <w:rPr>
          <w:rFonts w:hint="eastAsia" w:ascii="仿宋" w:hAnsi="仿宋" w:eastAsia="仿宋" w:cs="宋体"/>
          <w:sz w:val="30"/>
          <w:szCs w:val="30"/>
          <w:lang w:val="en-US" w:eastAsia="zh-CN"/>
        </w:rPr>
        <w:t>124.72</w:t>
      </w:r>
      <w:r>
        <w:rPr>
          <w:rFonts w:hint="eastAsia" w:ascii="仿宋" w:hAnsi="仿宋" w:eastAsia="仿宋" w:cs="宋体"/>
          <w:sz w:val="30"/>
          <w:szCs w:val="30"/>
        </w:rPr>
        <w:t>万元，年初预算支出</w:t>
      </w:r>
      <w:r>
        <w:rPr>
          <w:rFonts w:hint="eastAsia" w:ascii="仿宋" w:hAnsi="仿宋" w:eastAsia="仿宋" w:cs="宋体"/>
          <w:sz w:val="30"/>
          <w:szCs w:val="30"/>
          <w:lang w:val="en-US" w:eastAsia="zh-CN"/>
        </w:rPr>
        <w:t>174.12</w:t>
      </w:r>
      <w:r>
        <w:rPr>
          <w:rFonts w:hint="eastAsia" w:ascii="仿宋" w:hAnsi="仿宋" w:eastAsia="仿宋" w:cs="宋体"/>
          <w:sz w:val="30"/>
          <w:szCs w:val="30"/>
        </w:rPr>
        <w:t>万元，项目资金支出率为</w:t>
      </w:r>
      <w:r>
        <w:rPr>
          <w:rFonts w:hint="eastAsia" w:ascii="仿宋" w:hAnsi="仿宋" w:eastAsia="仿宋" w:cs="宋体"/>
          <w:sz w:val="30"/>
          <w:szCs w:val="30"/>
          <w:lang w:val="en-US" w:eastAsia="zh-CN"/>
        </w:rPr>
        <w:t>71.63</w:t>
      </w:r>
      <w:r>
        <w:rPr>
          <w:rFonts w:hint="eastAsia" w:ascii="仿宋" w:hAnsi="仿宋" w:eastAsia="仿宋" w:cs="宋体"/>
          <w:sz w:val="30"/>
          <w:szCs w:val="30"/>
        </w:rPr>
        <w:t>%。</w:t>
      </w:r>
    </w:p>
    <w:p>
      <w:pPr>
        <w:pStyle w:val="4"/>
        <w:spacing w:line="540" w:lineRule="exact"/>
        <w:ind w:firstLine="639" w:firstLineChars="213"/>
        <w:rPr>
          <w:rFonts w:ascii="仿宋" w:hAnsi="仿宋" w:eastAsia="仿宋" w:cs="宋体"/>
          <w:sz w:val="30"/>
          <w:szCs w:val="30"/>
        </w:rPr>
      </w:pPr>
      <w:r>
        <w:rPr>
          <w:rFonts w:hint="eastAsia" w:ascii="仿宋" w:hAnsi="仿宋" w:eastAsia="仿宋" w:cs="宋体"/>
          <w:sz w:val="30"/>
          <w:szCs w:val="30"/>
        </w:rPr>
        <w:t>（</w:t>
      </w:r>
      <w:r>
        <w:rPr>
          <w:rFonts w:ascii="仿宋" w:hAnsi="仿宋" w:eastAsia="仿宋" w:cs="宋体"/>
          <w:sz w:val="30"/>
          <w:szCs w:val="30"/>
        </w:rPr>
        <w:t>2</w:t>
      </w:r>
      <w:r>
        <w:rPr>
          <w:rFonts w:hint="eastAsia" w:ascii="仿宋" w:hAnsi="仿宋" w:eastAsia="仿宋" w:cs="宋体"/>
          <w:sz w:val="30"/>
          <w:szCs w:val="30"/>
        </w:rPr>
        <w:t>）效益指标：较好的完成了</w:t>
      </w:r>
      <w:r>
        <w:rPr>
          <w:rFonts w:hint="eastAsia" w:ascii="仿宋" w:hAnsi="仿宋" w:eastAsia="仿宋" w:cs="宋体"/>
          <w:sz w:val="30"/>
          <w:szCs w:val="30"/>
          <w:lang w:eastAsia="zh-CN"/>
        </w:rPr>
        <w:t>2021</w:t>
      </w:r>
      <w:r>
        <w:rPr>
          <w:rFonts w:hint="eastAsia" w:ascii="仿宋" w:hAnsi="仿宋" w:eastAsia="仿宋" w:cs="宋体"/>
          <w:sz w:val="30"/>
          <w:szCs w:val="30"/>
        </w:rPr>
        <w:t>年设立的绩效目标等。</w:t>
      </w:r>
    </w:p>
    <w:p>
      <w:pPr>
        <w:pStyle w:val="4"/>
        <w:spacing w:line="540" w:lineRule="exact"/>
        <w:ind w:firstLine="600"/>
        <w:rPr>
          <w:rFonts w:ascii="仿宋" w:hAnsi="仿宋" w:eastAsia="仿宋" w:cs="宋体"/>
          <w:sz w:val="30"/>
          <w:szCs w:val="30"/>
        </w:rPr>
      </w:pPr>
      <w:r>
        <w:rPr>
          <w:rFonts w:hint="eastAsia" w:ascii="仿宋" w:hAnsi="仿宋" w:eastAsia="仿宋" w:cs="宋体"/>
          <w:sz w:val="30"/>
          <w:szCs w:val="30"/>
        </w:rPr>
        <w:t>（</w:t>
      </w:r>
      <w:r>
        <w:rPr>
          <w:rFonts w:ascii="仿宋" w:hAnsi="仿宋" w:eastAsia="仿宋" w:cs="宋体"/>
          <w:sz w:val="30"/>
          <w:szCs w:val="30"/>
        </w:rPr>
        <w:t>3</w:t>
      </w:r>
      <w:r>
        <w:rPr>
          <w:rFonts w:hint="eastAsia" w:ascii="仿宋" w:hAnsi="仿宋" w:eastAsia="仿宋" w:cs="宋体"/>
          <w:sz w:val="30"/>
          <w:szCs w:val="30"/>
        </w:rPr>
        <w:t>）社会公众及服务满意度：</w:t>
      </w:r>
      <w:r>
        <w:rPr>
          <w:rFonts w:hint="eastAsia" w:ascii="仿宋" w:hAnsi="仿宋" w:eastAsia="仿宋" w:cs="宋体"/>
          <w:sz w:val="30"/>
          <w:szCs w:val="30"/>
          <w:lang w:eastAsia="zh-CN"/>
        </w:rPr>
        <w:t>2021</w:t>
      </w:r>
      <w:r>
        <w:rPr>
          <w:rFonts w:hint="eastAsia" w:ascii="仿宋" w:hAnsi="仿宋" w:eastAsia="仿宋" w:cs="宋体"/>
          <w:sz w:val="30"/>
          <w:szCs w:val="30"/>
        </w:rPr>
        <w:t>年度总体表现较好，经向服务对象和社会群众等问卷调查，满意度评价结果为优秀。</w:t>
      </w:r>
    </w:p>
    <w:p>
      <w:pPr>
        <w:pStyle w:val="4"/>
        <w:spacing w:line="540" w:lineRule="exact"/>
        <w:ind w:firstLine="600"/>
        <w:rPr>
          <w:rFonts w:ascii="仿宋" w:hAnsi="仿宋" w:eastAsia="仿宋" w:cs="宋体"/>
          <w:sz w:val="30"/>
          <w:szCs w:val="30"/>
        </w:rPr>
      </w:pPr>
    </w:p>
    <w:p>
      <w:pPr>
        <w:pStyle w:val="4"/>
        <w:spacing w:line="540" w:lineRule="exact"/>
        <w:ind w:firstLine="0" w:firstLineChars="0"/>
        <w:rPr>
          <w:rFonts w:ascii="黑体" w:hAnsi="黑体" w:eastAsia="黑体" w:cs="宋体"/>
          <w:b/>
          <w:bCs/>
          <w:sz w:val="30"/>
          <w:szCs w:val="30"/>
        </w:rPr>
      </w:pPr>
      <w:r>
        <w:rPr>
          <w:rFonts w:hint="eastAsia" w:ascii="黑体" w:hAnsi="黑体" w:eastAsia="黑体" w:cs="宋体"/>
          <w:b/>
          <w:bCs/>
          <w:color w:val="000000"/>
          <w:kern w:val="0"/>
          <w:sz w:val="30"/>
          <w:szCs w:val="30"/>
        </w:rPr>
        <w:t>五、</w:t>
      </w:r>
      <w:r>
        <w:rPr>
          <w:rFonts w:hint="eastAsia" w:ascii="黑体" w:hAnsi="黑体" w:eastAsia="黑体" w:cs="宋体"/>
          <w:b/>
          <w:bCs/>
          <w:sz w:val="30"/>
          <w:szCs w:val="30"/>
        </w:rPr>
        <w:t>部门（单位）整体支出绩效中存在问题及改进措施</w:t>
      </w: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（一）存在的问题</w:t>
      </w:r>
    </w:p>
    <w:p>
      <w:pPr>
        <w:ind w:firstLine="600" w:firstLineChars="200"/>
        <w:rPr>
          <w:rFonts w:ascii="仿宋" w:hAnsi="仿宋" w:eastAsia="仿宋"/>
          <w:sz w:val="30"/>
          <w:szCs w:val="30"/>
        </w:rPr>
      </w:pPr>
      <w:r>
        <w:rPr>
          <w:rFonts w:hint="eastAsia" w:ascii="仿宋" w:hAnsi="仿宋" w:eastAsia="仿宋"/>
          <w:sz w:val="30"/>
          <w:szCs w:val="30"/>
        </w:rPr>
        <w:t>项目前期规划和资金及时到位率不足，项目资金的使用未设定相应的预算指标，使得项目资金制度没有明确标准。</w:t>
      </w:r>
    </w:p>
    <w:p>
      <w:pPr>
        <w:ind w:firstLine="600" w:firstLineChars="200"/>
        <w:rPr>
          <w:rFonts w:ascii="仿宋" w:hAnsi="仿宋" w:eastAsia="仿宋"/>
          <w:sz w:val="30"/>
          <w:szCs w:val="30"/>
        </w:rPr>
      </w:pP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（二）、整改措施</w:t>
      </w:r>
    </w:p>
    <w:p>
      <w:pPr>
        <w:pStyle w:val="4"/>
        <w:spacing w:line="540" w:lineRule="exact"/>
        <w:ind w:firstLine="600"/>
        <w:rPr>
          <w:rFonts w:ascii="仿宋" w:hAnsi="仿宋" w:eastAsia="仿宋" w:cs="宋体"/>
          <w:color w:val="000000"/>
          <w:sz w:val="30"/>
          <w:szCs w:val="30"/>
        </w:rPr>
      </w:pPr>
      <w:r>
        <w:rPr>
          <w:rFonts w:hint="eastAsia" w:ascii="仿宋" w:hAnsi="仿宋" w:eastAsia="仿宋" w:cs="宋体"/>
          <w:color w:val="000000"/>
          <w:sz w:val="30"/>
          <w:szCs w:val="30"/>
        </w:rPr>
        <w:t>严格执行财经法规，规范会计核算行为。严格执行财务会计制度，进一步规范财务行为，加强单位内控制度的管理，并严格执行落实。</w:t>
      </w:r>
    </w:p>
    <w:p>
      <w:pPr>
        <w:ind w:firstLine="600" w:firstLineChars="200"/>
        <w:rPr>
          <w:rFonts w:ascii="仿宋" w:hAnsi="仿宋" w:eastAsia="仿宋"/>
          <w:sz w:val="30"/>
          <w:szCs w:val="30"/>
        </w:rPr>
      </w:pPr>
      <w:r>
        <w:rPr>
          <w:rFonts w:hint="eastAsia" w:ascii="仿宋" w:hAnsi="仿宋" w:eastAsia="仿宋"/>
          <w:sz w:val="30"/>
          <w:szCs w:val="30"/>
        </w:rPr>
        <w:t>通过本次绩效评价工作，补充和完善本中心绩效评价机制，进一步规范项目的管理和监督、资金的分配和使用，可以对今后其他项目以绩效评价的方式衡量项目的产出结果和效益目标起到积极作用，促进项目管理科学化。</w:t>
      </w:r>
    </w:p>
    <w:p>
      <w:pPr>
        <w:ind w:firstLine="600" w:firstLineChars="200"/>
        <w:rPr>
          <w:rFonts w:ascii="仿宋" w:hAnsi="仿宋" w:eastAsia="仿宋"/>
          <w:sz w:val="30"/>
          <w:szCs w:val="30"/>
        </w:rPr>
      </w:pPr>
      <w:r>
        <w:rPr>
          <w:rFonts w:ascii="仿宋" w:hAnsi="仿宋" w:eastAsia="仿宋"/>
          <w:sz w:val="30"/>
          <w:szCs w:val="30"/>
        </w:rPr>
        <w:t>绩效评价结果可作为财政部门每年安排部门预算的重要依据，为预算编制提供参考，同时也可作为业务管理部门每年安排该项工作的参考。</w:t>
      </w:r>
    </w:p>
    <w:p>
      <w:pPr>
        <w:ind w:firstLine="600" w:firstLineChars="200"/>
        <w:rPr>
          <w:rFonts w:ascii="仿宋" w:hAnsi="仿宋" w:eastAsia="仿宋"/>
          <w:sz w:val="30"/>
          <w:szCs w:val="30"/>
        </w:rPr>
      </w:pPr>
      <w:r>
        <w:rPr>
          <w:rFonts w:ascii="仿宋" w:hAnsi="仿宋" w:eastAsia="仿宋"/>
          <w:sz w:val="30"/>
          <w:szCs w:val="30"/>
        </w:rPr>
        <w:t xml:space="preserve">通过绩效评价结果了解单位财政资金使用状况，分析诊断单位内部管理问题，促进单位树立绩效意识、管理意识和责任意识。 </w:t>
      </w:r>
    </w:p>
    <w:p>
      <w:pPr>
        <w:ind w:firstLine="600" w:firstLineChars="200"/>
        <w:rPr>
          <w:rFonts w:ascii="仿宋" w:hAnsi="仿宋" w:eastAsia="仿宋"/>
          <w:sz w:val="30"/>
          <w:szCs w:val="30"/>
        </w:rPr>
      </w:pPr>
    </w:p>
    <w:p>
      <w:pPr>
        <w:adjustRightInd w:val="0"/>
        <w:snapToGrid w:val="0"/>
        <w:spacing w:line="540" w:lineRule="exact"/>
        <w:ind w:firstLine="301" w:firstLineChars="100"/>
        <w:rPr>
          <w:rFonts w:ascii="楷体" w:hAnsi="楷体" w:eastAsia="楷体" w:cs="宋体"/>
          <w:b/>
          <w:bCs/>
          <w:color w:val="000000"/>
          <w:kern w:val="0"/>
          <w:sz w:val="30"/>
          <w:szCs w:val="30"/>
        </w:rPr>
      </w:pPr>
      <w:r>
        <w:rPr>
          <w:rFonts w:hint="eastAsia" w:ascii="楷体" w:hAnsi="楷体" w:eastAsia="楷体" w:cs="宋体"/>
          <w:b/>
          <w:bCs/>
          <w:color w:val="000000"/>
          <w:kern w:val="0"/>
          <w:sz w:val="30"/>
          <w:szCs w:val="30"/>
        </w:rPr>
        <w:t>（三）、其他需要说明的问题</w:t>
      </w:r>
    </w:p>
    <w:p>
      <w:pPr>
        <w:adjustRightInd w:val="0"/>
        <w:snapToGrid w:val="0"/>
        <w:spacing w:line="540" w:lineRule="exact"/>
        <w:ind w:firstLine="301" w:firstLineChars="100"/>
        <w:rPr>
          <w:rFonts w:hint="eastAsia" w:ascii="仿宋" w:hAnsi="仿宋" w:eastAsia="仿宋"/>
          <w:sz w:val="30"/>
          <w:szCs w:val="30"/>
        </w:rPr>
      </w:pPr>
      <w:r>
        <w:rPr>
          <w:rFonts w:hint="eastAsia" w:ascii="楷体" w:hAnsi="楷体" w:eastAsia="楷体" w:cs="宋体"/>
          <w:b/>
          <w:bCs/>
          <w:color w:val="000000"/>
          <w:kern w:val="0"/>
          <w:sz w:val="30"/>
          <w:szCs w:val="30"/>
        </w:rPr>
        <w:t xml:space="preserve"> </w:t>
      </w:r>
      <w:r>
        <w:rPr>
          <w:rFonts w:ascii="楷体" w:hAnsi="楷体" w:eastAsia="楷体" w:cs="宋体"/>
          <w:b/>
          <w:bCs/>
          <w:color w:val="000000"/>
          <w:kern w:val="0"/>
          <w:sz w:val="30"/>
          <w:szCs w:val="30"/>
        </w:rPr>
        <w:t xml:space="preserve">   </w:t>
      </w:r>
      <w:r>
        <w:rPr>
          <w:rFonts w:hint="eastAsia" w:ascii="仿宋" w:hAnsi="仿宋" w:eastAsia="仿宋"/>
          <w:sz w:val="30"/>
          <w:szCs w:val="30"/>
        </w:rPr>
        <w:t>无。</w:t>
      </w:r>
    </w:p>
    <w:p>
      <w:pPr>
        <w:pStyle w:val="2"/>
      </w:pPr>
    </w:p>
    <w:p>
      <w:pPr>
        <w:pStyle w:val="4"/>
        <w:spacing w:line="540" w:lineRule="exact"/>
        <w:ind w:firstLine="0" w:firstLineChars="0"/>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六、绩效自评结果拟应用和公开情况</w:t>
      </w:r>
    </w:p>
    <w:p>
      <w:pPr>
        <w:pBdr>
          <w:bottom w:val="single" w:color="FFFFFF" w:sz="4" w:space="31"/>
        </w:pBdr>
        <w:autoSpaceDE w:val="0"/>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本绩效评价完成后，绩效自评结果将在本部门网站上进行信息公开，接受社会监督。</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601" w:firstLineChars="0"/>
        <w:textAlignment w:val="auto"/>
        <w:rPr>
          <w:rFonts w:hint="default" w:ascii="仿宋" w:hAnsi="仿宋" w:eastAsia="仿宋" w:cs="宋体"/>
          <w:color w:val="000000"/>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4D22"/>
    <w:multiLevelType w:val="multilevel"/>
    <w:tmpl w:val="5E164D2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3"/>
    <w:rsid w:val="00007628"/>
    <w:rsid w:val="00046EC7"/>
    <w:rsid w:val="00062AA3"/>
    <w:rsid w:val="000B07B1"/>
    <w:rsid w:val="00147B8B"/>
    <w:rsid w:val="001F4D98"/>
    <w:rsid w:val="00272A14"/>
    <w:rsid w:val="00286FDE"/>
    <w:rsid w:val="00290B95"/>
    <w:rsid w:val="002F73E9"/>
    <w:rsid w:val="00345165"/>
    <w:rsid w:val="0036133A"/>
    <w:rsid w:val="003827F7"/>
    <w:rsid w:val="003C1449"/>
    <w:rsid w:val="003D57EC"/>
    <w:rsid w:val="00432C54"/>
    <w:rsid w:val="00464FA9"/>
    <w:rsid w:val="004E3BE1"/>
    <w:rsid w:val="00521882"/>
    <w:rsid w:val="00534A39"/>
    <w:rsid w:val="005A7B03"/>
    <w:rsid w:val="005D3F12"/>
    <w:rsid w:val="005D753D"/>
    <w:rsid w:val="005E2CA7"/>
    <w:rsid w:val="006A1C6A"/>
    <w:rsid w:val="006B0C39"/>
    <w:rsid w:val="006D0FAD"/>
    <w:rsid w:val="00731179"/>
    <w:rsid w:val="007336C6"/>
    <w:rsid w:val="00782F8C"/>
    <w:rsid w:val="007921FC"/>
    <w:rsid w:val="00793580"/>
    <w:rsid w:val="007A5E45"/>
    <w:rsid w:val="007F28D7"/>
    <w:rsid w:val="007F6E12"/>
    <w:rsid w:val="00872170"/>
    <w:rsid w:val="008F20DF"/>
    <w:rsid w:val="00947C9A"/>
    <w:rsid w:val="00965A9F"/>
    <w:rsid w:val="00984EF2"/>
    <w:rsid w:val="00A10136"/>
    <w:rsid w:val="00A1216D"/>
    <w:rsid w:val="00A14350"/>
    <w:rsid w:val="00A43FB8"/>
    <w:rsid w:val="00A45AD3"/>
    <w:rsid w:val="00AA2DBC"/>
    <w:rsid w:val="00B33EEB"/>
    <w:rsid w:val="00B53E40"/>
    <w:rsid w:val="00B670F3"/>
    <w:rsid w:val="00B7026A"/>
    <w:rsid w:val="00B82D1E"/>
    <w:rsid w:val="00C42B53"/>
    <w:rsid w:val="00CD1E4B"/>
    <w:rsid w:val="00CE1ACB"/>
    <w:rsid w:val="00D01B3B"/>
    <w:rsid w:val="00D105AB"/>
    <w:rsid w:val="00D24553"/>
    <w:rsid w:val="00D8318C"/>
    <w:rsid w:val="00E230E5"/>
    <w:rsid w:val="00E73DD3"/>
    <w:rsid w:val="00E82ADC"/>
    <w:rsid w:val="00E906BB"/>
    <w:rsid w:val="00ED15B1"/>
    <w:rsid w:val="00F47D85"/>
    <w:rsid w:val="02593DBA"/>
    <w:rsid w:val="28F60FCD"/>
    <w:rsid w:val="31CF4AB1"/>
    <w:rsid w:val="31EC1329"/>
    <w:rsid w:val="4F407B2D"/>
    <w:rsid w:val="5D6F56A5"/>
    <w:rsid w:val="6A0B55D0"/>
    <w:rsid w:val="716167CC"/>
    <w:rsid w:val="73DB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style>
  <w:style w:type="paragraph" w:styleId="3">
    <w:name w:val="Body Text"/>
    <w:basedOn w:val="1"/>
    <w:link w:val="17"/>
    <w:unhideWhenUsed/>
    <w:qFormat/>
    <w:uiPriority w:val="99"/>
    <w:pPr>
      <w:spacing w:after="120"/>
    </w:pPr>
    <w:rPr>
      <w:rFonts w:hint="eastAsia" w:ascii="Calibri" w:hAnsi="Calibri" w:eastAsia="宋体" w:cs="Times New Roman"/>
      <w:szCs w:val="24"/>
    </w:rPr>
  </w:style>
  <w:style w:type="paragraph" w:styleId="4">
    <w:name w:val="Body Text Indent"/>
    <w:basedOn w:val="1"/>
    <w:link w:val="14"/>
    <w:uiPriority w:val="0"/>
    <w:pPr>
      <w:adjustRightInd w:val="0"/>
      <w:snapToGrid w:val="0"/>
      <w:spacing w:line="560" w:lineRule="atLeast"/>
      <w:ind w:firstLine="640" w:firstLineChars="200"/>
    </w:pPr>
    <w:rPr>
      <w:rFonts w:ascii="仿宋_GB2312" w:eastAsia="仿宋_GB2312"/>
      <w:sz w:val="32"/>
      <w:szCs w:val="2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1"/>
    <w:next w:val="1"/>
    <w:unhideWhenUsed/>
    <w:qFormat/>
    <w:uiPriority w:val="99"/>
    <w:pPr>
      <w:ind w:firstLine="420" w:firstLineChars="200"/>
    </w:pPr>
    <w:rPr>
      <w:rFonts w:hint="eastAsia"/>
      <w:sz w:val="21"/>
    </w:rPr>
  </w:style>
  <w:style w:type="character" w:styleId="11">
    <w:name w:val="Strong"/>
    <w:basedOn w:val="10"/>
    <w:qFormat/>
    <w:uiPriority w:val="0"/>
    <w:rPr>
      <w:b/>
    </w:rPr>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正文文本缩进 字符1"/>
    <w:link w:val="4"/>
    <w:qFormat/>
    <w:locked/>
    <w:uiPriority w:val="0"/>
    <w:rPr>
      <w:rFonts w:ascii="仿宋_GB2312" w:eastAsia="仿宋_GB2312"/>
      <w:sz w:val="32"/>
      <w:szCs w:val="28"/>
    </w:rPr>
  </w:style>
  <w:style w:type="character" w:customStyle="1" w:styleId="15">
    <w:name w:val="正文文本缩进 字符"/>
    <w:basedOn w:val="10"/>
    <w:semiHidden/>
    <w:qFormat/>
    <w:uiPriority w:val="99"/>
  </w:style>
  <w:style w:type="paragraph" w:styleId="16">
    <w:name w:val="List Paragraph"/>
    <w:basedOn w:val="1"/>
    <w:qFormat/>
    <w:uiPriority w:val="34"/>
    <w:pPr>
      <w:ind w:firstLine="420" w:firstLineChars="200"/>
    </w:pPr>
  </w:style>
  <w:style w:type="character" w:customStyle="1" w:styleId="17">
    <w:name w:val="正文文本 字符"/>
    <w:basedOn w:val="10"/>
    <w:link w:val="3"/>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a:t>部门整体收入情况</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spPr>
          </c:dPt>
          <c:dLbls>
            <c:dLbl>
              <c:idx val="0"/>
              <c:layout>
                <c:manualLayout>
                  <c:x val="-0.103411704337072"/>
                  <c:y val="-0.10087602786425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248785300373547"/>
                  <c:y val="-0.01079780143521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1212040926875"/>
                  <c:y val="0.029583339329880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19018915154958"/>
                  <c:y val="0.02303681073271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263742555898307"/>
                  <c:y val="0.016592477023963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310569790660157"/>
                  <c:y val="-0.007145778901201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89558255013457"/>
                  <c:y val="-0.05923112552107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40281882272917"/>
                  <c:y val="0.003346298127789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行政运行</c:v>
                </c:pt>
                <c:pt idx="1">
                  <c:v>养老</c:v>
                </c:pt>
                <c:pt idx="2">
                  <c:v>社保</c:v>
                </c:pt>
                <c:pt idx="3">
                  <c:v>公积金</c:v>
                </c:pt>
                <c:pt idx="4">
                  <c:v>离退休</c:v>
                </c:pt>
                <c:pt idx="5">
                  <c:v>纪检监察</c:v>
                </c:pt>
                <c:pt idx="6">
                  <c:v>扶贫事务</c:v>
                </c:pt>
                <c:pt idx="7">
                  <c:v>行政事务</c:v>
                </c:pt>
              </c:strCache>
            </c:strRef>
          </c:cat>
          <c:val>
            <c:numRef>
              <c:f>Sheet1!$B$2:$B$9</c:f>
              <c:numCache>
                <c:formatCode>General</c:formatCode>
                <c:ptCount val="8"/>
                <c:pt idx="0">
                  <c:v>256.05</c:v>
                </c:pt>
                <c:pt idx="1">
                  <c:v>21.73</c:v>
                </c:pt>
                <c:pt idx="2">
                  <c:v>18.66</c:v>
                </c:pt>
                <c:pt idx="3">
                  <c:v>15.52</c:v>
                </c:pt>
                <c:pt idx="4">
                  <c:v>15.63</c:v>
                </c:pt>
                <c:pt idx="5" c:formatCode="0.00_ ">
                  <c:v>6.1</c:v>
                </c:pt>
                <c:pt idx="6" c:formatCode="0.00_ ">
                  <c:v>1.5</c:v>
                </c:pt>
                <c:pt idx="7">
                  <c:v>125.74</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部门整体支出</a:t>
            </a:r>
            <a:endParaRPr lang="zh-CN"/>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工资福利支出</c:v>
                </c:pt>
                <c:pt idx="1">
                  <c:v>日常公用经费</c:v>
                </c:pt>
                <c:pt idx="2">
                  <c:v>项目支出</c:v>
                </c:pt>
              </c:strCache>
            </c:strRef>
          </c:cat>
          <c:val>
            <c:numRef>
              <c:f>Sheet1!$B$2:$B$4</c:f>
              <c:numCache>
                <c:formatCode>General</c:formatCode>
                <c:ptCount val="3"/>
                <c:pt idx="0">
                  <c:v>241.68</c:v>
                </c:pt>
                <c:pt idx="1">
                  <c:v>344.72</c:v>
                </c:pt>
                <c:pt idx="2">
                  <c:v>124.72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90BB-4F8E-49A4-8E3F-0BF5BB52437B}">
  <ds:schemaRefs/>
</ds:datastoreItem>
</file>

<file path=docProps/app.xml><?xml version="1.0" encoding="utf-8"?>
<Properties xmlns="http://schemas.openxmlformats.org/officeDocument/2006/extended-properties" xmlns:vt="http://schemas.openxmlformats.org/officeDocument/2006/docPropsVTypes">
  <Template>Normal</Template>
  <Pages>23</Pages>
  <Words>1571</Words>
  <Characters>8956</Characters>
  <Lines>74</Lines>
  <Paragraphs>21</Paragraphs>
  <TotalTime>1</TotalTime>
  <ScaleCrop>false</ScaleCrop>
  <LinksUpToDate>false</LinksUpToDate>
  <CharactersWithSpaces>10506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2021-03-09T03:12:00Z</dcterms:created>
  <dc:creator>宜春市直属机关工作委员会</dc:creator>
  <cp:lastModifiedBy>good luck</cp:lastModifiedBy>
  <dcterms:modified xsi:type="dcterms:W3CDTF">2022-08-31T13:24:32Z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41D3984E3ACB4E8D917094912E330264</vt:lpwstr>
  </property>
</Properties>
</file>