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129</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207" w:leftChars="17" w:hanging="171" w:hangingChars="39"/>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江西九岭硅业有限公司年产100万吨硅材料</w:t>
      </w:r>
    </w:p>
    <w:p>
      <w:pPr>
        <w:keepNext w:val="0"/>
        <w:keepLines w:val="0"/>
        <w:pageBreakBefore w:val="0"/>
        <w:widowControl w:val="0"/>
        <w:kinsoku/>
        <w:wordWrap/>
        <w:overflowPunct/>
        <w:topLinePunct w:val="0"/>
        <w:autoSpaceDE/>
        <w:autoSpaceDN/>
        <w:bidi w:val="0"/>
        <w:adjustRightInd/>
        <w:snapToGrid/>
        <w:spacing w:line="600" w:lineRule="exact"/>
        <w:ind w:left="207" w:leftChars="17" w:hanging="171" w:hangingChars="39"/>
        <w:jc w:val="center"/>
        <w:textAlignment w:val="auto"/>
        <w:rPr>
          <w:rFonts w:ascii="方正小标宋简体" w:hAnsi="宋体" w:eastAsia="方正小标宋简体"/>
          <w:w w:val="95"/>
          <w:sz w:val="44"/>
          <w:szCs w:val="44"/>
        </w:rPr>
      </w:pPr>
      <w:r>
        <w:rPr>
          <w:rFonts w:hint="eastAsia" w:ascii="方正小标宋简体" w:hAnsi="方正小标宋简体" w:eastAsia="方正小标宋简体" w:cs="方正小标宋简体"/>
          <w:bCs/>
          <w:color w:val="000000"/>
          <w:sz w:val="44"/>
          <w:szCs w:val="44"/>
        </w:rPr>
        <w:t>项目环境影响报告书</w:t>
      </w:r>
      <w:r>
        <w:rPr>
          <w:rFonts w:hint="eastAsia" w:ascii="方正小标宋简体" w:hAnsi="宋体" w:eastAsia="方正小标宋简体"/>
          <w:w w:val="95"/>
          <w:sz w:val="44"/>
          <w:szCs w:val="44"/>
        </w:rPr>
        <w:t>的批复</w:t>
      </w:r>
    </w:p>
    <w:p>
      <w:pPr>
        <w:autoSpaceDE w:val="0"/>
        <w:spacing w:line="600" w:lineRule="exact"/>
        <w:jc w:val="lef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spacing w:line="56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江西九岭硅业有限公司：</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你公司《关于请求审批〈江西九岭硅业有限公司年产100万吨硅材料项目环境影响报告书〉的请示》以及相关资料收悉，经研究，批复如下：</w:t>
      </w:r>
    </w:p>
    <w:p>
      <w:pPr>
        <w:keepNext w:val="0"/>
        <w:keepLines w:val="0"/>
        <w:pageBreakBefore w:val="0"/>
        <w:widowControl w:val="0"/>
        <w:kinsoku/>
        <w:wordWrap/>
        <w:overflowPunct/>
        <w:topLinePunct w:val="0"/>
        <w:autoSpaceDN/>
        <w:bidi w:val="0"/>
        <w:spacing w:line="56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一、项目建设内容及批复意见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color w:val="0000FF"/>
          <w:sz w:val="32"/>
          <w:szCs w:val="32"/>
          <w:lang w:eastAsia="zh-CN"/>
        </w:rPr>
      </w:pPr>
      <w:r>
        <w:rPr>
          <w:rFonts w:hint="eastAsia" w:ascii="仿宋_GB2312" w:hAnsi="仿宋_GB2312" w:eastAsia="仿宋_GB2312" w:cs="仿宋_GB2312"/>
          <w:bCs/>
          <w:color w:val="000000"/>
          <w:sz w:val="32"/>
          <w:szCs w:val="32"/>
        </w:rPr>
        <w:t>江西九岭硅业有限公司年产100万吨硅材料项目位于江西省宜春市奉新县工业园区富达路677号</w:t>
      </w:r>
      <w:r>
        <w:rPr>
          <w:rFonts w:hint="eastAsia" w:ascii="仿宋_GB2312" w:hAnsi="仿宋_GB2312" w:eastAsia="仿宋_GB2312" w:cs="仿宋_GB2312"/>
          <w:bCs/>
          <w:color w:val="000000"/>
          <w:sz w:val="32"/>
          <w:szCs w:val="32"/>
          <w:lang w:val="zh-CN"/>
        </w:rPr>
        <w:t>，</w:t>
      </w:r>
      <w:r>
        <w:rPr>
          <w:rFonts w:hint="eastAsia" w:ascii="仿宋_GB2312" w:hAnsi="仿宋_GB2312" w:eastAsia="仿宋_GB2312" w:cs="仿宋_GB2312"/>
          <w:bCs/>
          <w:color w:val="000000"/>
          <w:sz w:val="32"/>
          <w:szCs w:val="32"/>
        </w:rPr>
        <w:t>厂区中心地理坐标为E115°25′45.039″，N28°40′1.985″。项目北侧为富达路，隔路为江西华特晟新材料有限公司、西面为江西锦润纺织印染公司，南面为农田，东侧为江西锦华泰环保机械有限公司。项目占地为工业用地，项目总用地面积73628m</w:t>
      </w:r>
      <w:r>
        <w:rPr>
          <w:rFonts w:hint="eastAsia" w:ascii="仿宋_GB2312" w:hAnsi="仿宋_GB2312" w:eastAsia="仿宋_GB2312" w:cs="仿宋_GB2312"/>
          <w:bCs/>
          <w:color w:val="000000"/>
          <w:sz w:val="32"/>
          <w:szCs w:val="32"/>
          <w:vertAlign w:val="superscript"/>
        </w:rPr>
        <w:t>2</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本项目为新建工程。主要以原矿筛选后的长石粉经筛分、磁选、浮选、脱水等工序后，得到最终产品。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56" w:firstLineChars="200"/>
        <w:textAlignment w:val="auto"/>
        <w:rPr>
          <w:rFonts w:hint="eastAsia" w:ascii="仿宋_GB2312" w:hAnsi="仿宋_GB2312" w:eastAsia="仿宋_GB2312" w:cs="仿宋_GB2312"/>
          <w:bCs/>
          <w:color w:val="auto"/>
          <w:spacing w:val="4"/>
          <w:kern w:val="24"/>
          <w:sz w:val="32"/>
          <w:szCs w:val="32"/>
          <w:lang w:val="zh-CN"/>
        </w:rPr>
      </w:pPr>
      <w:r>
        <w:rPr>
          <w:rFonts w:hint="eastAsia" w:ascii="仿宋_GB2312" w:hAnsi="仿宋_GB2312" w:eastAsia="仿宋_GB2312" w:cs="仿宋_GB2312"/>
          <w:bCs/>
          <w:color w:val="auto"/>
          <w:spacing w:val="4"/>
          <w:kern w:val="24"/>
          <w:sz w:val="32"/>
          <w:szCs w:val="32"/>
          <w:lang w:val="zh-CN"/>
        </w:rPr>
        <w:t>主要建设内容：</w:t>
      </w:r>
      <w:r>
        <w:rPr>
          <w:rFonts w:hint="eastAsia" w:ascii="仿宋_GB2312" w:hAnsi="仿宋_GB2312" w:eastAsia="仿宋_GB2312" w:cs="仿宋_GB2312"/>
          <w:bCs/>
          <w:color w:val="auto"/>
          <w:spacing w:val="4"/>
          <w:kern w:val="24"/>
          <w:sz w:val="32"/>
          <w:szCs w:val="32"/>
          <w:lang w:val="en-US" w:eastAsia="zh-CN"/>
        </w:rPr>
        <w:t>项目</w:t>
      </w:r>
      <w:r>
        <w:rPr>
          <w:rFonts w:hint="eastAsia" w:ascii="仿宋_GB2312" w:hAnsi="仿宋_GB2312" w:eastAsia="仿宋_GB2312" w:cs="仿宋_GB2312"/>
          <w:bCs/>
          <w:color w:val="auto"/>
          <w:spacing w:val="4"/>
          <w:kern w:val="24"/>
          <w:sz w:val="32"/>
          <w:szCs w:val="32"/>
          <w:lang w:val="zh-CN"/>
        </w:rPr>
        <w:t>主体工程包括</w:t>
      </w:r>
      <w:r>
        <w:rPr>
          <w:rFonts w:hint="eastAsia" w:ascii="仿宋_GB2312" w:hAnsi="仿宋_GB2312" w:eastAsia="仿宋_GB2312" w:cs="仿宋_GB2312"/>
          <w:bCs/>
          <w:color w:val="auto"/>
          <w:spacing w:val="4"/>
          <w:kern w:val="24"/>
          <w:sz w:val="32"/>
          <w:szCs w:val="32"/>
          <w:lang w:val="en-US" w:eastAsia="zh-CN"/>
        </w:rPr>
        <w:t>依托原有改建1#、2#厂房，新建浮选车间、选矿车间、电子材料车间、电磁浆料车间</w:t>
      </w:r>
      <w:r>
        <w:rPr>
          <w:rFonts w:hint="eastAsia" w:ascii="仿宋_GB2312" w:hAnsi="仿宋_GB2312" w:eastAsia="仿宋_GB2312" w:cs="仿宋_GB2312"/>
          <w:bCs/>
          <w:color w:val="auto"/>
          <w:spacing w:val="4"/>
          <w:kern w:val="24"/>
          <w:sz w:val="32"/>
          <w:szCs w:val="32"/>
          <w:lang w:val="zh-CN"/>
        </w:rPr>
        <w:t>；</w:t>
      </w:r>
      <w:r>
        <w:rPr>
          <w:rFonts w:hint="eastAsia" w:ascii="仿宋_GB2312" w:hAnsi="仿宋_GB2312" w:eastAsia="仿宋_GB2312" w:cs="仿宋_GB2312"/>
          <w:bCs/>
          <w:color w:val="auto"/>
          <w:spacing w:val="4"/>
          <w:kern w:val="24"/>
          <w:sz w:val="32"/>
          <w:szCs w:val="32"/>
          <w:lang w:val="zh-CN" w:eastAsia="zh-CN"/>
        </w:rPr>
        <w:t>贮</w:t>
      </w:r>
      <w:r>
        <w:rPr>
          <w:rFonts w:hint="eastAsia" w:ascii="仿宋_GB2312" w:hAnsi="仿宋_GB2312" w:eastAsia="仿宋_GB2312" w:cs="仿宋_GB2312"/>
          <w:bCs/>
          <w:color w:val="auto"/>
          <w:spacing w:val="4"/>
          <w:kern w:val="24"/>
          <w:sz w:val="32"/>
          <w:szCs w:val="32"/>
          <w:lang w:val="zh-CN"/>
        </w:rPr>
        <w:t>运工程包括</w:t>
      </w:r>
      <w:r>
        <w:rPr>
          <w:rFonts w:hint="eastAsia" w:ascii="仿宋_GB2312" w:hAnsi="仿宋_GB2312" w:eastAsia="仿宋_GB2312" w:cs="仿宋_GB2312"/>
          <w:bCs/>
          <w:color w:val="auto"/>
          <w:spacing w:val="4"/>
          <w:kern w:val="24"/>
          <w:sz w:val="32"/>
          <w:szCs w:val="32"/>
          <w:lang w:val="en-US" w:eastAsia="zh-CN"/>
        </w:rPr>
        <w:t>原料仓库、成品仓库</w:t>
      </w:r>
      <w:r>
        <w:rPr>
          <w:rFonts w:hint="eastAsia" w:ascii="仿宋_GB2312" w:hAnsi="仿宋_GB2312" w:eastAsia="仿宋_GB2312" w:cs="仿宋_GB2312"/>
          <w:bCs/>
          <w:color w:val="auto"/>
          <w:spacing w:val="4"/>
          <w:kern w:val="24"/>
          <w:sz w:val="32"/>
          <w:szCs w:val="32"/>
          <w:lang w:val="zh-CN" w:eastAsia="zh-CN"/>
        </w:rPr>
        <w:t>等</w:t>
      </w:r>
      <w:r>
        <w:rPr>
          <w:rFonts w:hint="eastAsia" w:ascii="仿宋_GB2312" w:hAnsi="仿宋_GB2312" w:eastAsia="仿宋_GB2312" w:cs="仿宋_GB2312"/>
          <w:bCs/>
          <w:color w:val="auto"/>
          <w:spacing w:val="4"/>
          <w:kern w:val="24"/>
          <w:sz w:val="32"/>
          <w:szCs w:val="32"/>
          <w:lang w:val="zh-CN"/>
        </w:rPr>
        <w:t>；辅助工程包括</w:t>
      </w:r>
      <w:r>
        <w:rPr>
          <w:rFonts w:hint="eastAsia" w:ascii="仿宋_GB2312" w:hAnsi="仿宋_GB2312" w:eastAsia="仿宋_GB2312" w:cs="仿宋_GB2312"/>
          <w:bCs/>
          <w:color w:val="auto"/>
          <w:spacing w:val="4"/>
          <w:kern w:val="24"/>
          <w:sz w:val="32"/>
          <w:szCs w:val="32"/>
          <w:lang w:val="zh-CN" w:eastAsia="zh-CN"/>
        </w:rPr>
        <w:t>新建综合楼、门卫、机修机电房、变电房、1＃浓缩池、2＃浓缩池、3＃浓缩池、筛分循环水池、碱性循环水池、酸性循环水池等；</w:t>
      </w:r>
      <w:r>
        <w:rPr>
          <w:rFonts w:hint="eastAsia" w:ascii="仿宋_GB2312" w:hAnsi="仿宋_GB2312" w:eastAsia="仿宋_GB2312" w:cs="仿宋_GB2312"/>
          <w:bCs/>
          <w:color w:val="auto"/>
          <w:spacing w:val="4"/>
          <w:kern w:val="24"/>
          <w:sz w:val="32"/>
          <w:szCs w:val="32"/>
          <w:lang w:val="zh-CN"/>
        </w:rPr>
        <w:t>环保工程包括</w:t>
      </w:r>
      <w:r>
        <w:rPr>
          <w:rFonts w:hint="eastAsia" w:ascii="仿宋_GB2312" w:hAnsi="仿宋_GB2312" w:eastAsia="仿宋_GB2312" w:cs="仿宋_GB2312"/>
          <w:bCs/>
          <w:color w:val="auto"/>
          <w:spacing w:val="4"/>
          <w:kern w:val="24"/>
          <w:sz w:val="32"/>
          <w:szCs w:val="32"/>
          <w:lang w:val="zh-CN" w:eastAsia="zh-CN"/>
        </w:rPr>
        <w:t>新建</w:t>
      </w:r>
      <w:r>
        <w:rPr>
          <w:rFonts w:hint="eastAsia" w:ascii="仿宋_GB2312" w:hAnsi="仿宋_GB2312" w:eastAsia="仿宋_GB2312" w:cs="仿宋_GB2312"/>
          <w:bCs/>
          <w:color w:val="auto"/>
          <w:spacing w:val="4"/>
          <w:kern w:val="24"/>
          <w:sz w:val="32"/>
          <w:szCs w:val="32"/>
          <w:lang w:val="zh-CN"/>
        </w:rPr>
        <w:t>初期雨水池</w:t>
      </w:r>
      <w:r>
        <w:rPr>
          <w:rFonts w:hint="eastAsia" w:ascii="仿宋_GB2312" w:hAnsi="仿宋_GB2312" w:eastAsia="仿宋_GB2312" w:cs="仿宋_GB2312"/>
          <w:bCs/>
          <w:color w:val="auto"/>
          <w:spacing w:val="4"/>
          <w:kern w:val="24"/>
          <w:sz w:val="32"/>
          <w:szCs w:val="32"/>
          <w:lang w:val="en-US" w:eastAsia="zh-CN"/>
        </w:rPr>
        <w:t>1座、</w:t>
      </w:r>
      <w:r>
        <w:rPr>
          <w:rFonts w:hint="eastAsia" w:ascii="仿宋_GB2312" w:hAnsi="仿宋_GB2312" w:eastAsia="仿宋_GB2312" w:cs="仿宋_GB2312"/>
          <w:bCs/>
          <w:color w:val="auto"/>
          <w:spacing w:val="4"/>
          <w:kern w:val="24"/>
          <w:sz w:val="32"/>
          <w:szCs w:val="32"/>
          <w:lang w:val="zh-CN"/>
        </w:rPr>
        <w:t>事故应急池</w:t>
      </w:r>
      <w:r>
        <w:rPr>
          <w:rFonts w:hint="eastAsia" w:ascii="仿宋_GB2312" w:hAnsi="仿宋_GB2312" w:eastAsia="仿宋_GB2312" w:cs="仿宋_GB2312"/>
          <w:bCs/>
          <w:color w:val="auto"/>
          <w:spacing w:val="4"/>
          <w:kern w:val="24"/>
          <w:sz w:val="32"/>
          <w:szCs w:val="32"/>
          <w:lang w:val="en-US" w:eastAsia="zh-CN"/>
        </w:rPr>
        <w:t>1座</w:t>
      </w:r>
      <w:r>
        <w:rPr>
          <w:rFonts w:hint="eastAsia" w:ascii="仿宋_GB2312" w:hAnsi="仿宋_GB2312" w:eastAsia="仿宋_GB2312" w:cs="仿宋_GB2312"/>
          <w:bCs/>
          <w:color w:val="auto"/>
          <w:spacing w:val="4"/>
          <w:kern w:val="24"/>
          <w:sz w:val="32"/>
          <w:szCs w:val="32"/>
          <w:lang w:val="zh-CN" w:eastAsia="zh-CN"/>
        </w:rPr>
        <w:t>、</w:t>
      </w:r>
      <w:r>
        <w:rPr>
          <w:rFonts w:hint="eastAsia" w:ascii="仿宋_GB2312" w:hAnsi="仿宋_GB2312" w:eastAsia="仿宋_GB2312" w:cs="仿宋_GB2312"/>
          <w:bCs/>
          <w:color w:val="auto"/>
          <w:spacing w:val="4"/>
          <w:kern w:val="24"/>
          <w:sz w:val="32"/>
          <w:szCs w:val="32"/>
          <w:lang w:val="en-US" w:eastAsia="zh-CN"/>
        </w:rPr>
        <w:t>1</w:t>
      </w:r>
      <w:r>
        <w:rPr>
          <w:rFonts w:hint="eastAsia" w:ascii="仿宋_GB2312" w:hAnsi="仿宋_GB2312" w:eastAsia="仿宋_GB2312" w:cs="仿宋_GB2312"/>
          <w:bCs/>
          <w:color w:val="auto"/>
          <w:spacing w:val="4"/>
          <w:kern w:val="24"/>
          <w:sz w:val="32"/>
          <w:szCs w:val="32"/>
          <w:lang w:val="zh-CN" w:eastAsia="zh-CN"/>
        </w:rPr>
        <w:t>座固废暂存间，1座危废暂存间</w:t>
      </w:r>
      <w:r>
        <w:rPr>
          <w:rFonts w:hint="eastAsia" w:ascii="仿宋_GB2312" w:hAnsi="仿宋_GB2312" w:eastAsia="仿宋_GB2312" w:cs="仿宋_GB2312"/>
          <w:bCs/>
          <w:color w:val="auto"/>
          <w:spacing w:val="4"/>
          <w:kern w:val="24"/>
          <w:sz w:val="32"/>
          <w:szCs w:val="32"/>
          <w:lang w:val="zh-CN"/>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本项目产品方案：</w:t>
      </w:r>
      <w:r>
        <w:rPr>
          <w:rFonts w:hint="eastAsia" w:ascii="仿宋_GB2312" w:hAnsi="仿宋_GB2312" w:eastAsia="仿宋_GB2312" w:cs="仿宋_GB2312"/>
          <w:bCs/>
          <w:color w:val="auto"/>
          <w:sz w:val="32"/>
          <w:szCs w:val="32"/>
          <w:lang w:val="en-US" w:eastAsia="zh-CN"/>
        </w:rPr>
        <w:t>磁选砂1.9万吨、长石97.55万吨，电子玻璃砂3.7万吨和光伏石英砂34.72万吨。</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napToGrid w:val="0"/>
          <w:color w:val="auto"/>
          <w:sz w:val="32"/>
          <w:szCs w:val="32"/>
        </w:rPr>
      </w:pPr>
      <w:r>
        <w:rPr>
          <w:rFonts w:hint="eastAsia" w:ascii="仿宋_GB2312" w:hAnsi="仿宋_GB2312" w:eastAsia="仿宋_GB2312" w:cs="仿宋_GB2312"/>
          <w:bCs/>
          <w:snapToGrid w:val="0"/>
          <w:color w:val="auto"/>
          <w:sz w:val="32"/>
          <w:szCs w:val="32"/>
        </w:rPr>
        <w:t>本项目计划总投资50383.22万元，计划用于环境保护设施项目的投资共计625万元，工程环保投资占总投资比例为1.2%。</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eastAsia="仿宋_GB2312"/>
          <w:kern w:val="0"/>
          <w:sz w:val="32"/>
          <w:szCs w:val="32"/>
        </w:rPr>
      </w:pPr>
      <w:r>
        <w:rPr>
          <w:rFonts w:hint="eastAsia" w:ascii="仿宋_GB2312" w:hAnsi="仿宋_GB2312" w:eastAsia="仿宋_GB2312" w:cs="仿宋_GB2312"/>
          <w:bCs/>
          <w:sz w:val="32"/>
          <w:szCs w:val="32"/>
        </w:rPr>
        <w:t>你公司应全面落实《</w:t>
      </w:r>
      <w:r>
        <w:rPr>
          <w:rFonts w:hint="eastAsia" w:ascii="仿宋_GB2312" w:hAnsi="仿宋_GB2312" w:eastAsia="仿宋_GB2312" w:cs="仿宋_GB2312"/>
          <w:bCs/>
          <w:color w:val="000000"/>
          <w:kern w:val="0"/>
          <w:sz w:val="32"/>
          <w:szCs w:val="32"/>
        </w:rPr>
        <w:t>江西九岭硅业有限公司年产100万吨硅材料项目环境影响报告书</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（以下简称《报告书》）、《</w:t>
      </w:r>
      <w:r>
        <w:rPr>
          <w:rFonts w:hint="eastAsia" w:ascii="仿宋_GB2312" w:hAnsi="仿宋_GB2312" w:eastAsia="仿宋_GB2312" w:cs="仿宋_GB2312"/>
          <w:bCs/>
          <w:color w:val="000000"/>
          <w:kern w:val="0"/>
          <w:sz w:val="32"/>
          <w:szCs w:val="32"/>
        </w:rPr>
        <w:t>江西九岭硅业有限公司年产100万吨硅材料项目环境影响报告书</w:t>
      </w:r>
      <w:r>
        <w:rPr>
          <w:rFonts w:hint="eastAsia" w:ascii="仿宋_GB2312" w:eastAsia="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提出的各项污染防治措施以及环境风险防范措施和有关承诺要求，缓解和控制不利环境影响。</w:t>
      </w:r>
      <w:r>
        <w:rPr>
          <w:rFonts w:hint="eastAsia" w:ascii="仿宋_GB2312" w:eastAsia="仿宋_GB2312"/>
          <w:kern w:val="0"/>
          <w:sz w:val="32"/>
          <w:szCs w:val="32"/>
        </w:rPr>
        <w:t>我局原则同意</w:t>
      </w:r>
      <w:r>
        <w:rPr>
          <w:rFonts w:hint="eastAsia" w:ascii="仿宋_GB2312" w:eastAsia="仿宋_GB2312"/>
          <w:sz w:val="32"/>
          <w:szCs w:val="32"/>
        </w:rPr>
        <w:t>《报告书》</w:t>
      </w:r>
      <w:r>
        <w:rPr>
          <w:rFonts w:hint="eastAsia" w:ascii="仿宋_GB2312" w:eastAsia="仿宋_GB2312"/>
          <w:kern w:val="0"/>
          <w:sz w:val="32"/>
          <w:szCs w:val="32"/>
        </w:rPr>
        <w:t>中所列工程性质、规模、地点、环境保护对策措施。</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黑体" w:hAnsi="黑体" w:eastAsia="黑体" w:cs="仿宋_GB2312"/>
          <w:bCs/>
          <w:kern w:val="0"/>
          <w:sz w:val="32"/>
          <w:szCs w:val="32"/>
        </w:rPr>
      </w:pPr>
      <w:r>
        <w:rPr>
          <w:rFonts w:hint="eastAsia" w:ascii="黑体" w:hAnsi="黑体" w:eastAsia="黑体" w:cs="仿宋_GB2312"/>
          <w:bCs/>
          <w:kern w:val="0"/>
          <w:sz w:val="32"/>
          <w:szCs w:val="32"/>
        </w:rPr>
        <w:t>二、污染防治措施及要求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项目在工程设计、建设和生产过程中必须认真落实</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lang w:val="en-US" w:eastAsia="zh-CN"/>
          <w14:textFill>
            <w14:solidFill>
              <w14:schemeClr w14:val="tx1"/>
            </w14:solidFill>
          </w14:textFill>
        </w:rPr>
        <w:t>报告书</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提出的各项环保要求，严格执行宜春市生态环境保护工作领导小组办公室下发的《宜春市瓷土加工生产企业污染专项整治工作方案》</w:t>
      </w:r>
      <w:r>
        <w:rPr>
          <w:rFonts w:hint="eastAsia" w:ascii="仿宋_GB2312" w:hAnsi="仿宋" w:eastAsia="仿宋_GB2312" w:cs="仿宋"/>
          <w:color w:val="000000" w:themeColor="text1"/>
          <w:sz w:val="32"/>
          <w:szCs w:val="32"/>
          <w:lang w:val="en-US" w:eastAsia="zh-CN"/>
          <w14:textFill>
            <w14:solidFill>
              <w14:schemeClr w14:val="tx1"/>
            </w14:solidFill>
          </w14:textFill>
        </w:rPr>
        <w:t>和宜春市生态环境保护委员会办公室印发的《宜春市涉锂电主要行业生态环境监管标准（试行）》的</w:t>
      </w:r>
      <w:r>
        <w:rPr>
          <w:rFonts w:hint="eastAsia" w:ascii="仿宋_GB2312" w:hAnsi="仿宋" w:eastAsia="仿宋_GB2312" w:cs="仿宋"/>
          <w:color w:val="000000" w:themeColor="text1"/>
          <w:sz w:val="32"/>
          <w:szCs w:val="32"/>
          <w14:textFill>
            <w14:solidFill>
              <w14:schemeClr w14:val="tx1"/>
            </w14:solidFill>
          </w14:textFill>
        </w:rPr>
        <w:t>要求进行建设，并重点做好以下几项工作：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 w:eastAsia="仿宋_GB2312" w:cs="仿宋"/>
          <w:sz w:val="32"/>
          <w:szCs w:val="32"/>
        </w:rPr>
      </w:pP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严格落实水污染防治措施。</w:t>
      </w:r>
      <w:r>
        <w:rPr>
          <w:rFonts w:hint="eastAsia" w:ascii="仿宋_GB2312" w:hAnsi="仿宋" w:eastAsia="仿宋_GB2312" w:cs="仿宋"/>
          <w:sz w:val="32"/>
          <w:szCs w:val="32"/>
        </w:rPr>
        <w:t>（一）按“清污分流、雨污分流、分质处理、一水多用”原则，合理制定废水收集、处理方案。全厂废水主要包括生产废水、车辆及地面清洗废水、生活污水及初期雨水。</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 w:eastAsia="仿宋_GB2312" w:cs="仿宋"/>
          <w:sz w:val="32"/>
          <w:szCs w:val="32"/>
        </w:rPr>
        <w:t>本项目工艺废水：</w:t>
      </w:r>
      <w:r>
        <w:rPr>
          <w:rFonts w:hint="eastAsia" w:ascii="仿宋_GB2312" w:hAnsi="仿宋_GB2312" w:eastAsia="仿宋_GB2312" w:cs="仿宋_GB2312"/>
          <w:bCs/>
          <w:color w:val="auto"/>
          <w:kern w:val="0"/>
          <w:sz w:val="32"/>
          <w:szCs w:val="32"/>
          <w:lang w:eastAsia="zh-CN"/>
        </w:rPr>
        <w:t>碱性调浆废水、酸性调浆废水（含破损的浮选剂包装桶清洗废水）、酸雾处理塔废水分别在各自循环水池内循环使用，不</w:t>
      </w:r>
      <w:r>
        <w:rPr>
          <w:rFonts w:hint="eastAsia" w:ascii="仿宋_GB2312" w:hAnsi="仿宋_GB2312" w:eastAsia="仿宋_GB2312" w:cs="仿宋_GB2312"/>
          <w:bCs/>
          <w:color w:val="auto"/>
          <w:kern w:val="0"/>
          <w:sz w:val="32"/>
          <w:szCs w:val="32"/>
          <w:lang w:val="en-US" w:eastAsia="zh-CN"/>
        </w:rPr>
        <w:t>得</w:t>
      </w:r>
      <w:r>
        <w:rPr>
          <w:rFonts w:hint="eastAsia" w:ascii="仿宋_GB2312" w:hAnsi="仿宋_GB2312" w:eastAsia="仿宋_GB2312" w:cs="仿宋_GB2312"/>
          <w:bCs/>
          <w:color w:val="auto"/>
          <w:kern w:val="0"/>
          <w:sz w:val="32"/>
          <w:szCs w:val="32"/>
          <w:lang w:eastAsia="zh-CN"/>
        </w:rPr>
        <w:t>外排；蒸汽冷凝水收集后回用于筛分工序，不</w:t>
      </w:r>
      <w:r>
        <w:rPr>
          <w:rFonts w:hint="eastAsia" w:ascii="仿宋_GB2312" w:hAnsi="仿宋_GB2312" w:eastAsia="仿宋_GB2312" w:cs="仿宋_GB2312"/>
          <w:bCs/>
          <w:color w:val="auto"/>
          <w:kern w:val="0"/>
          <w:sz w:val="32"/>
          <w:szCs w:val="32"/>
          <w:lang w:val="en-US" w:eastAsia="zh-CN"/>
        </w:rPr>
        <w:t>得</w:t>
      </w:r>
      <w:r>
        <w:rPr>
          <w:rFonts w:hint="eastAsia" w:ascii="仿宋_GB2312" w:hAnsi="仿宋_GB2312" w:eastAsia="仿宋_GB2312" w:cs="仿宋_GB2312"/>
          <w:bCs/>
          <w:color w:val="auto"/>
          <w:kern w:val="0"/>
          <w:sz w:val="32"/>
          <w:szCs w:val="32"/>
          <w:lang w:eastAsia="zh-CN"/>
        </w:rPr>
        <w:t>外排；车辆冲洗废水经沉淀池沉淀后回用于车辆冲洗，不</w:t>
      </w:r>
      <w:r>
        <w:rPr>
          <w:rFonts w:hint="eastAsia" w:ascii="仿宋_GB2312" w:hAnsi="仿宋_GB2312" w:eastAsia="仿宋_GB2312" w:cs="仿宋_GB2312"/>
          <w:bCs/>
          <w:color w:val="auto"/>
          <w:kern w:val="0"/>
          <w:sz w:val="32"/>
          <w:szCs w:val="32"/>
          <w:lang w:val="en-US" w:eastAsia="zh-CN"/>
        </w:rPr>
        <w:t>得</w:t>
      </w:r>
      <w:r>
        <w:rPr>
          <w:rFonts w:hint="eastAsia" w:ascii="仿宋_GB2312" w:hAnsi="仿宋_GB2312" w:eastAsia="仿宋_GB2312" w:cs="仿宋_GB2312"/>
          <w:bCs/>
          <w:color w:val="auto"/>
          <w:kern w:val="0"/>
          <w:sz w:val="32"/>
          <w:szCs w:val="32"/>
          <w:lang w:eastAsia="zh-CN"/>
        </w:rPr>
        <w:t>外排。筛分废水经沉淀后循环使用，定期外排部分循环水，外排的部分筛分废水及初期雨水经</w:t>
      </w:r>
      <w:r>
        <w:rPr>
          <w:rFonts w:hint="eastAsia" w:ascii="仿宋_GB2312" w:hAnsi="仿宋_GB2312" w:eastAsia="仿宋_GB2312" w:cs="仿宋_GB2312"/>
          <w:bCs/>
          <w:color w:val="auto"/>
          <w:kern w:val="0"/>
          <w:sz w:val="32"/>
          <w:szCs w:val="32"/>
        </w:rPr>
        <w:t>一体化除铊除氟污水处理设施</w:t>
      </w:r>
      <w:r>
        <w:rPr>
          <w:rFonts w:hint="eastAsia" w:ascii="仿宋_GB2312" w:hAnsi="仿宋_GB2312" w:eastAsia="仿宋_GB2312" w:cs="仿宋_GB2312"/>
          <w:bCs/>
          <w:color w:val="auto"/>
          <w:kern w:val="0"/>
          <w:sz w:val="32"/>
          <w:szCs w:val="32"/>
          <w:lang w:eastAsia="zh-CN"/>
        </w:rPr>
        <w:t>处理，与经“隔油池</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eastAsia="zh-CN"/>
        </w:rPr>
        <w:t>化粪池”处理后的生活污水</w:t>
      </w:r>
      <w:r>
        <w:rPr>
          <w:rFonts w:hint="eastAsia" w:ascii="仿宋_GB2312" w:hAnsi="仿宋_GB2312" w:eastAsia="仿宋_GB2312" w:cs="仿宋_GB2312"/>
          <w:bCs/>
          <w:snapToGrid w:val="0"/>
          <w:color w:val="auto"/>
          <w:sz w:val="32"/>
          <w:szCs w:val="32"/>
          <w:lang w:val="en-US" w:eastAsia="zh-CN"/>
        </w:rPr>
        <w:t>满足</w:t>
      </w:r>
      <w:r>
        <w:rPr>
          <w:rFonts w:hint="eastAsia" w:ascii="仿宋_GB2312" w:hAnsi="仿宋_GB2312" w:eastAsia="仿宋_GB2312" w:cs="仿宋_GB2312"/>
          <w:bCs/>
          <w:color w:val="auto"/>
          <w:kern w:val="0"/>
          <w:sz w:val="32"/>
          <w:szCs w:val="32"/>
          <w:lang w:eastAsia="zh-CN"/>
        </w:rPr>
        <w:t>园区污水处理厂接管标准后，排入</w:t>
      </w:r>
      <w:r>
        <w:rPr>
          <w:rFonts w:hint="eastAsia" w:ascii="仿宋_GB2312" w:hAnsi="仿宋" w:eastAsia="仿宋_GB2312" w:cs="仿宋"/>
          <w:sz w:val="32"/>
          <w:szCs w:val="32"/>
        </w:rPr>
        <w:t>奉新县高新技术产业园工业污水处理厂</w:t>
      </w:r>
      <w:r>
        <w:rPr>
          <w:rFonts w:hint="eastAsia" w:ascii="仿宋_GB2312" w:hAnsi="仿宋_GB2312" w:eastAsia="仿宋_GB2312" w:cs="仿宋_GB2312"/>
          <w:bCs/>
          <w:color w:val="auto"/>
          <w:kern w:val="0"/>
          <w:sz w:val="32"/>
          <w:szCs w:val="32"/>
          <w:lang w:eastAsia="zh-CN"/>
        </w:rPr>
        <w:t>进一步</w:t>
      </w:r>
      <w:r>
        <w:rPr>
          <w:rFonts w:hint="eastAsia" w:ascii="仿宋_GB2312" w:hAnsi="仿宋_GB2312" w:eastAsia="仿宋_GB2312" w:cs="仿宋_GB2312"/>
          <w:bCs/>
          <w:color w:val="auto"/>
          <w:kern w:val="0"/>
          <w:sz w:val="32"/>
          <w:szCs w:val="32"/>
        </w:rPr>
        <w:t>处理</w:t>
      </w:r>
      <w:r>
        <w:rPr>
          <w:rFonts w:hint="eastAsia" w:ascii="仿宋_GB2312" w:hAnsi="仿宋" w:eastAsia="仿宋_GB2312" w:cs="仿宋"/>
          <w:sz w:val="32"/>
          <w:szCs w:val="32"/>
          <w:lang w:val="en-US" w:eastAsia="zh-CN"/>
        </w:rPr>
        <w:t>后</w:t>
      </w:r>
      <w:r>
        <w:rPr>
          <w:rFonts w:hint="eastAsia" w:ascii="仿宋_GB2312" w:hAnsi="仿宋" w:eastAsia="仿宋_GB2312" w:cs="仿宋"/>
          <w:sz w:val="32"/>
          <w:szCs w:val="32"/>
        </w:rPr>
        <w:t>排入南潦河</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color w:val="auto"/>
          <w:sz w:val="32"/>
          <w:szCs w:val="32"/>
          <w:lang w:val="en-US" w:eastAsia="zh-CN" w:bidi="en-US"/>
        </w:rPr>
        <w:t>主要污染物厂区排口排放量分别为≤CODcr 6.02t/a、氨氮 0.731t/a。主要污染物排入外环境的量分别为CODcr≤ 1.505t/a、氨氮≤ 0.151t/a。</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napToGrid w:val="0"/>
          <w:color w:val="auto"/>
          <w:sz w:val="32"/>
          <w:szCs w:val="32"/>
        </w:rPr>
      </w:pPr>
      <w:r>
        <w:rPr>
          <w:rFonts w:hint="eastAsia" w:ascii="楷体" w:hAnsi="楷体" w:eastAsia="楷体" w:cs="楷体"/>
          <w:color w:val="000000"/>
          <w:sz w:val="32"/>
          <w:szCs w:val="32"/>
        </w:rPr>
        <w:t>（二）严格落实大气污染防治措施。</w:t>
      </w:r>
      <w:r>
        <w:rPr>
          <w:rFonts w:hint="eastAsia" w:ascii="仿宋_GB2312" w:hAnsi="仿宋_GB2312" w:eastAsia="仿宋_GB2312" w:cs="仿宋_GB2312"/>
          <w:bCs/>
          <w:color w:val="auto"/>
          <w:kern w:val="0"/>
          <w:sz w:val="32"/>
          <w:szCs w:val="32"/>
        </w:rPr>
        <w:t>本项目废气主要为投料废气、调浆废气、</w:t>
      </w:r>
      <w:r>
        <w:rPr>
          <w:rFonts w:hint="eastAsia" w:ascii="仿宋_GB2312" w:hAnsi="仿宋_GB2312" w:eastAsia="仿宋_GB2312" w:cs="仿宋_GB2312"/>
          <w:bCs/>
          <w:color w:val="auto"/>
          <w:kern w:val="0"/>
          <w:sz w:val="32"/>
          <w:szCs w:val="32"/>
          <w:lang w:eastAsia="zh-CN"/>
        </w:rPr>
        <w:t>烘干废气、出料粉尘、</w:t>
      </w:r>
      <w:r>
        <w:rPr>
          <w:rFonts w:hint="eastAsia" w:ascii="仿宋_GB2312" w:hAnsi="仿宋_GB2312" w:eastAsia="仿宋_GB2312" w:cs="仿宋_GB2312"/>
          <w:bCs/>
          <w:color w:val="auto"/>
          <w:kern w:val="0"/>
          <w:sz w:val="32"/>
          <w:szCs w:val="32"/>
        </w:rPr>
        <w:t>装卸及堆场扬尘及道路运输扬尘。</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Cs/>
          <w:snapToGrid w:val="0"/>
          <w:color w:val="auto"/>
          <w:sz w:val="32"/>
          <w:szCs w:val="32"/>
        </w:rPr>
      </w:pPr>
      <w:r>
        <w:rPr>
          <w:rFonts w:hint="eastAsia" w:ascii="仿宋_GB2312" w:hAnsi="仿宋_GB2312" w:eastAsia="仿宋_GB2312" w:cs="仿宋_GB2312"/>
          <w:bCs/>
          <w:snapToGrid w:val="0"/>
          <w:color w:val="auto"/>
          <w:sz w:val="32"/>
          <w:szCs w:val="32"/>
        </w:rPr>
        <w:t>项目调浆工序硫酸雾经搅拌桶上方管道密闭收集后进入废气处理装置酸雾洗涤塔处理后</w:t>
      </w:r>
      <w:r>
        <w:rPr>
          <w:rFonts w:hint="eastAsia" w:ascii="仿宋_GB2312" w:hAnsi="仿宋_GB2312" w:eastAsia="仿宋_GB2312" w:cs="仿宋_GB2312"/>
          <w:bCs/>
          <w:color w:val="auto"/>
          <w:kern w:val="0"/>
          <w:sz w:val="32"/>
          <w:szCs w:val="32"/>
          <w:lang w:val="en-US" w:eastAsia="zh-CN"/>
        </w:rPr>
        <w:t>，满足</w:t>
      </w:r>
      <w:r>
        <w:rPr>
          <w:rFonts w:hint="eastAsia" w:ascii="仿宋_GB2312" w:hAnsi="仿宋_GB2312" w:eastAsia="仿宋_GB2312" w:cs="仿宋_GB2312"/>
          <w:bCs/>
          <w:color w:val="auto"/>
          <w:kern w:val="0"/>
          <w:sz w:val="32"/>
          <w:szCs w:val="32"/>
        </w:rPr>
        <w:t>《大气污染物综合排放标准》（GB16297-1996）</w:t>
      </w:r>
      <w:r>
        <w:rPr>
          <w:rFonts w:hint="eastAsia" w:ascii="仿宋_GB2312" w:hAnsi="仿宋_GB2312" w:eastAsia="仿宋_GB2312" w:cs="仿宋_GB2312"/>
          <w:bCs/>
          <w:color w:val="auto"/>
          <w:kern w:val="0"/>
          <w:sz w:val="32"/>
          <w:szCs w:val="32"/>
          <w:lang w:eastAsia="zh-CN"/>
        </w:rPr>
        <w:t>表</w:t>
      </w:r>
      <w:r>
        <w:rPr>
          <w:rFonts w:hint="eastAsia" w:ascii="仿宋_GB2312" w:hAnsi="仿宋_GB2312" w:eastAsia="仿宋_GB2312" w:cs="仿宋_GB2312"/>
          <w:bCs/>
          <w:color w:val="auto"/>
          <w:kern w:val="0"/>
          <w:sz w:val="32"/>
          <w:szCs w:val="32"/>
          <w:lang w:val="en-US" w:eastAsia="zh-CN"/>
        </w:rPr>
        <w:t>2二级标准后</w:t>
      </w:r>
      <w:r>
        <w:rPr>
          <w:rFonts w:hint="eastAsia" w:ascii="仿宋_GB2312" w:hAnsi="仿宋_GB2312" w:eastAsia="仿宋_GB2312" w:cs="仿宋_GB2312"/>
          <w:bCs/>
          <w:color w:val="auto"/>
          <w:kern w:val="0"/>
          <w:sz w:val="32"/>
          <w:szCs w:val="32"/>
          <w:lang w:eastAsia="zh-CN"/>
        </w:rPr>
        <w:t>经</w:t>
      </w:r>
      <w:r>
        <w:rPr>
          <w:rFonts w:hint="eastAsia" w:ascii="仿宋_GB2312" w:hAnsi="仿宋_GB2312" w:eastAsia="仿宋_GB2312" w:cs="仿宋_GB2312"/>
          <w:bCs/>
          <w:color w:val="auto"/>
          <w:kern w:val="0"/>
          <w:sz w:val="32"/>
          <w:szCs w:val="32"/>
        </w:rPr>
        <w:t>15m</w:t>
      </w:r>
      <w:r>
        <w:rPr>
          <w:rFonts w:hint="eastAsia" w:ascii="仿宋_GB2312" w:hAnsi="仿宋_GB2312" w:eastAsia="仿宋_GB2312" w:cs="仿宋_GB2312"/>
          <w:bCs/>
          <w:color w:val="auto"/>
          <w:kern w:val="0"/>
          <w:sz w:val="32"/>
          <w:szCs w:val="32"/>
          <w:lang w:eastAsia="zh-CN"/>
        </w:rPr>
        <w:t>高</w:t>
      </w:r>
      <w:r>
        <w:rPr>
          <w:rFonts w:hint="eastAsia" w:ascii="仿宋_GB2312" w:hAnsi="仿宋_GB2312" w:eastAsia="仿宋_GB2312" w:cs="仿宋_GB2312"/>
          <w:bCs/>
          <w:color w:val="auto"/>
          <w:kern w:val="0"/>
          <w:sz w:val="32"/>
          <w:szCs w:val="32"/>
        </w:rPr>
        <w:t>排气筒排放</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snapToGrid w:val="0"/>
          <w:color w:val="auto"/>
          <w:sz w:val="32"/>
          <w:szCs w:val="32"/>
        </w:rPr>
        <w:t>电子玻璃砂及二段浮选长石烘干</w:t>
      </w:r>
      <w:r>
        <w:rPr>
          <w:rFonts w:hint="eastAsia" w:ascii="仿宋_GB2312" w:hAnsi="仿宋_GB2312" w:eastAsia="仿宋_GB2312" w:cs="仿宋_GB2312"/>
          <w:bCs/>
          <w:snapToGrid w:val="0"/>
          <w:color w:val="auto"/>
          <w:sz w:val="32"/>
          <w:szCs w:val="32"/>
          <w:lang w:val="en-US" w:eastAsia="zh-CN"/>
        </w:rPr>
        <w:t>废气经</w:t>
      </w:r>
      <w:r>
        <w:rPr>
          <w:rFonts w:hint="eastAsia" w:ascii="仿宋_GB2312" w:hAnsi="仿宋_GB2312" w:eastAsia="仿宋_GB2312" w:cs="仿宋_GB2312"/>
          <w:bCs/>
          <w:snapToGrid w:val="0"/>
          <w:color w:val="auto"/>
          <w:sz w:val="32"/>
          <w:szCs w:val="32"/>
        </w:rPr>
        <w:t>布袋除尘器处理后</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lang w:val="en-US" w:eastAsia="zh-CN"/>
        </w:rPr>
        <w:t>颗粒物满足</w:t>
      </w:r>
      <w:r>
        <w:rPr>
          <w:rFonts w:hint="eastAsia" w:ascii="仿宋_GB2312" w:hAnsi="仿宋_GB2312" w:eastAsia="仿宋_GB2312" w:cs="仿宋_GB2312"/>
          <w:bCs/>
          <w:color w:val="auto"/>
          <w:kern w:val="0"/>
          <w:sz w:val="32"/>
          <w:szCs w:val="32"/>
        </w:rPr>
        <w:t>《大气污染物综合排放标准》（GB16297-1996）</w:t>
      </w:r>
      <w:r>
        <w:rPr>
          <w:rFonts w:hint="eastAsia" w:ascii="仿宋_GB2312" w:hAnsi="仿宋_GB2312" w:eastAsia="仿宋_GB2312" w:cs="仿宋_GB2312"/>
          <w:bCs/>
          <w:color w:val="auto"/>
          <w:kern w:val="0"/>
          <w:sz w:val="32"/>
          <w:szCs w:val="32"/>
          <w:lang w:val="en-US" w:eastAsia="zh-CN"/>
        </w:rPr>
        <w:t>后，</w:t>
      </w:r>
      <w:r>
        <w:rPr>
          <w:rFonts w:hint="eastAsia" w:ascii="仿宋_GB2312" w:hAnsi="仿宋_GB2312" w:eastAsia="仿宋_GB2312" w:cs="仿宋_GB2312"/>
          <w:bCs/>
          <w:snapToGrid w:val="0"/>
          <w:color w:val="auto"/>
          <w:sz w:val="32"/>
          <w:szCs w:val="32"/>
          <w:lang w:val="en-US" w:eastAsia="zh-CN"/>
        </w:rPr>
        <w:t>通过</w:t>
      </w:r>
      <w:r>
        <w:rPr>
          <w:rFonts w:hint="eastAsia" w:ascii="仿宋_GB2312" w:hAnsi="仿宋_GB2312" w:eastAsia="仿宋_GB2312" w:cs="仿宋_GB2312"/>
          <w:bCs/>
          <w:snapToGrid w:val="0"/>
          <w:color w:val="auto"/>
          <w:sz w:val="32"/>
          <w:szCs w:val="32"/>
        </w:rPr>
        <w:t>排气筒排放</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颗粒物无组织排</w:t>
      </w:r>
      <w:r>
        <w:rPr>
          <w:rFonts w:hint="eastAsia" w:ascii="仿宋_GB2312" w:hAnsi="仿宋_GB2312" w:eastAsia="仿宋_GB2312" w:cs="仿宋_GB2312"/>
          <w:bCs/>
          <w:snapToGrid w:val="0"/>
          <w:color w:val="auto"/>
          <w:sz w:val="32"/>
          <w:szCs w:val="32"/>
          <w:lang w:val="en-US" w:eastAsia="zh-CN"/>
        </w:rPr>
        <w:t>执行</w:t>
      </w:r>
      <w:r>
        <w:rPr>
          <w:rFonts w:hint="eastAsia" w:ascii="仿宋_GB2312" w:hAnsi="仿宋_GB2312" w:eastAsia="仿宋_GB2312" w:cs="仿宋_GB2312"/>
          <w:bCs/>
          <w:snapToGrid w:val="0"/>
          <w:color w:val="auto"/>
          <w:sz w:val="32"/>
          <w:szCs w:val="32"/>
        </w:rPr>
        <w:t>《大气污染物综合排放标准》（GB16297-1996）中无组织排放标准要求。食堂油烟采用油烟净化设施处理</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lang w:val="en-US" w:eastAsia="zh-CN"/>
        </w:rPr>
        <w:t>满足</w:t>
      </w:r>
      <w:r>
        <w:rPr>
          <w:rFonts w:hint="eastAsia" w:ascii="仿宋_GB2312" w:hAnsi="仿宋_GB2312" w:eastAsia="仿宋_GB2312" w:cs="仿宋_GB2312"/>
          <w:bCs/>
          <w:snapToGrid w:val="0"/>
          <w:color w:val="auto"/>
          <w:sz w:val="32"/>
          <w:szCs w:val="32"/>
        </w:rPr>
        <w:t>《饮食业油烟排放标准（试行）》（GB18483-2001）小型灶型油烟最高允许排放浓度要求</w:t>
      </w:r>
      <w:r>
        <w:rPr>
          <w:rFonts w:hint="eastAsia" w:ascii="仿宋_GB2312" w:hAnsi="仿宋_GB2312" w:eastAsia="仿宋_GB2312" w:cs="仿宋_GB2312"/>
          <w:bCs/>
          <w:snapToGrid w:val="0"/>
          <w:color w:val="auto"/>
          <w:sz w:val="32"/>
          <w:szCs w:val="32"/>
          <w:lang w:val="en-US" w:eastAsia="zh-CN"/>
        </w:rPr>
        <w:t>后排放</w:t>
      </w:r>
      <w:r>
        <w:rPr>
          <w:rFonts w:hint="eastAsia" w:ascii="仿宋_GB2312" w:hAnsi="仿宋_GB2312" w:eastAsia="仿宋_GB2312" w:cs="仿宋_GB2312"/>
          <w:bCs/>
          <w:snapToGrid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pPr>
      <w:r>
        <w:rPr>
          <w:rFonts w:hint="eastAsia" w:ascii="楷体" w:hAnsi="楷体" w:eastAsia="楷体" w:cs="楷体"/>
          <w:color w:val="000000"/>
          <w:sz w:val="32"/>
          <w:szCs w:val="32"/>
        </w:rPr>
        <w:t>（三）严格落实土壤和地下水污染防治措施。</w:t>
      </w:r>
      <w:r>
        <w:rPr>
          <w:rFonts w:hint="eastAsia" w:ascii="仿宋_GB2312" w:hAnsi="仿宋_GB2312" w:eastAsia="仿宋_GB2312" w:cs="仿宋_GB2312"/>
          <w:color w:val="000000"/>
          <w:sz w:val="32"/>
          <w:szCs w:val="32"/>
        </w:rPr>
        <w:t>按“源头控制、分区防治、污染监控、应急响应”相结合的原则做好土壤和地下水污染防治工作，从污染物的产生、入渗、扩散、应急响应全阶段进行控制，严格做好分区防渗措施。</w:t>
      </w:r>
      <w:r>
        <w:rPr>
          <w:rFonts w:hint="eastAsia" w:ascii="仿宋_GB2312" w:hAnsi="仿宋" w:eastAsia="仿宋_GB2312"/>
          <w:color w:val="000000"/>
          <w:kern w:val="0"/>
          <w:sz w:val="32"/>
          <w:szCs w:val="32"/>
        </w:rPr>
        <w:t>按照《报告书》</w:t>
      </w:r>
      <w:r>
        <w:rPr>
          <w:rFonts w:ascii="仿宋_GB2312" w:hAnsi="仿宋" w:eastAsia="仿宋_GB2312"/>
          <w:color w:val="000000"/>
          <w:kern w:val="0"/>
          <w:sz w:val="32"/>
          <w:szCs w:val="32"/>
        </w:rPr>
        <w:t>和《评估意见》</w:t>
      </w:r>
      <w:r>
        <w:rPr>
          <w:rFonts w:hint="eastAsia" w:ascii="仿宋_GB2312" w:hAnsi="仿宋" w:eastAsia="仿宋_GB2312"/>
          <w:color w:val="000000"/>
          <w:kern w:val="0"/>
          <w:sz w:val="32"/>
          <w:szCs w:val="32"/>
        </w:rPr>
        <w:t>中要求合理设置地下水及土壤监测布点，制定环境监测计划，加强厂区和周边区域地下水及土壤环境质量监控，一旦发现污染情况，必须立即采取措施，防止污染扩散</w:t>
      </w:r>
      <w:r>
        <w:rPr>
          <w:rFonts w:hint="eastAsia" w:ascii="仿宋_GB2312" w:hAnsi="仿宋" w:eastAsia="仿宋_GB2312" w:cs="仿宋"/>
          <w:color w:val="000000"/>
          <w:sz w:val="32"/>
          <w:szCs w:val="32"/>
        </w:rPr>
        <w:t>。</w:t>
      </w:r>
    </w:p>
    <w:p>
      <w:pPr>
        <w:pStyle w:val="11"/>
        <w:keepNext w:val="0"/>
        <w:keepLines w:val="0"/>
        <w:pageBreakBefore w:val="0"/>
        <w:widowControl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楷体" w:hAnsi="楷体" w:eastAsia="楷体" w:cs="楷体"/>
          <w:color w:val="000000"/>
          <w:sz w:val="32"/>
          <w:szCs w:val="32"/>
        </w:rPr>
        <w:t>（四）严格落实固体废物分类处置和综合利用措施</w:t>
      </w:r>
      <w:r>
        <w:rPr>
          <w:rFonts w:hint="eastAsia" w:ascii="仿宋_GB2312" w:hAnsi="仿宋" w:eastAsia="仿宋_GB2312" w:cs="Times New Roman"/>
          <w:color w:val="000000"/>
          <w:kern w:val="0"/>
          <w:sz w:val="32"/>
          <w:szCs w:val="32"/>
        </w:rPr>
        <w:t>。应按</w:t>
      </w:r>
      <w:r>
        <w:rPr>
          <w:rFonts w:hint="eastAsia" w:ascii="仿宋_GB2312" w:hAnsi="仿宋_GB2312" w:eastAsia="仿宋_GB2312" w:cs="仿宋_GB2312"/>
          <w:color w:val="000000"/>
          <w:kern w:val="0"/>
          <w:sz w:val="32"/>
          <w:szCs w:val="32"/>
        </w:rPr>
        <w:t>“资源化、减量化、无害化”处置原则，认真落实固废分类收集、处置和综合利用措施。危险废物应及时委托有资质单位进行综合利用或处置，转移应办理相关环保手续。厂区内应设置足够容积的一般工业固体废物暂存库和危险废物暂存库。危险废物暂存库设计、建设和运行必须满足</w:t>
      </w:r>
      <w:r>
        <w:rPr>
          <w:rFonts w:hint="eastAsia" w:ascii="仿宋_GB2312" w:hAnsi="仿宋_GB2312" w:eastAsia="仿宋_GB2312" w:cs="仿宋_GB2312"/>
          <w:b w:val="0"/>
          <w:color w:val="000000"/>
          <w:kern w:val="2"/>
          <w:sz w:val="32"/>
          <w:szCs w:val="32"/>
        </w:rPr>
        <w:t>危险废物贮存污染控制标准》（GB 18597-20</w:t>
      </w:r>
      <w:r>
        <w:rPr>
          <w:rFonts w:hint="eastAsia" w:ascii="仿宋_GB2312" w:hAnsi="仿宋_GB2312" w:eastAsia="仿宋_GB2312" w:cs="仿宋_GB2312"/>
          <w:b w:val="0"/>
          <w:color w:val="000000"/>
          <w:kern w:val="2"/>
          <w:sz w:val="32"/>
          <w:szCs w:val="32"/>
          <w:lang w:val="en-US" w:eastAsia="zh-CN"/>
        </w:rPr>
        <w:t>23</w:t>
      </w:r>
      <w:r>
        <w:rPr>
          <w:rFonts w:hint="eastAsia" w:ascii="仿宋_GB2312" w:hAnsi="仿宋_GB2312" w:eastAsia="仿宋_GB2312" w:cs="仿宋_GB2312"/>
          <w:b w:val="0"/>
          <w:color w:val="000000"/>
          <w:kern w:val="2"/>
          <w:sz w:val="32"/>
          <w:szCs w:val="32"/>
        </w:rPr>
        <w:t>）</w:t>
      </w:r>
      <w:r>
        <w:rPr>
          <w:rFonts w:hint="eastAsia" w:ascii="仿宋_GB2312" w:hAnsi="仿宋_GB2312" w:eastAsia="仿宋_GB2312" w:cs="仿宋_GB2312"/>
          <w:color w:val="000000"/>
          <w:kern w:val="0"/>
          <w:sz w:val="32"/>
          <w:szCs w:val="32"/>
        </w:rPr>
        <w:t>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_GB2312" w:hAnsi="仿宋" w:eastAsia="仿宋_GB2312" w:cs="仿宋"/>
          <w:color w:val="000000"/>
          <w:sz w:val="32"/>
          <w:szCs w:val="32"/>
        </w:rPr>
      </w:pPr>
      <w:r>
        <w:rPr>
          <w:rFonts w:hint="eastAsia" w:ascii="楷体" w:hAnsi="楷体" w:eastAsia="楷体" w:cs="楷体"/>
          <w:color w:val="000000"/>
          <w:sz w:val="32"/>
          <w:szCs w:val="32"/>
        </w:rPr>
        <w:t>（五）严格落实噪声污染防治措施。</w:t>
      </w:r>
      <w:r>
        <w:rPr>
          <w:rFonts w:hint="eastAsia" w:ascii="仿宋_GB2312" w:hAnsi="仿宋_GB2312" w:eastAsia="仿宋_GB2312" w:cs="仿宋_GB2312"/>
          <w:sz w:val="32"/>
          <w:szCs w:val="32"/>
        </w:rPr>
        <w:t>应选用低噪声设备，采用减震、隔声、吸声、消声措施，同时加强设备的维护和管理，合理规划平面布置，加强厂区绿化，厂界噪声需满足《工业企业厂界环境噪声排放标准》（GB 12348-2008）中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类标准要求。</w:t>
      </w:r>
    </w:p>
    <w:p>
      <w:pPr>
        <w:keepNext w:val="0"/>
        <w:keepLines w:val="0"/>
        <w:pageBreakBefore w:val="0"/>
        <w:widowControl w:val="0"/>
        <w:kinsoku/>
        <w:wordWrap/>
        <w:overflowPunct/>
        <w:topLinePunct w:val="0"/>
        <w:autoSpaceDE w:val="0"/>
        <w:autoSpaceDN/>
        <w:bidi w:val="0"/>
        <w:spacing w:line="560" w:lineRule="exact"/>
        <w:ind w:firstLine="640" w:firstLineChars="200"/>
        <w:jc w:val="left"/>
        <w:textAlignment w:val="auto"/>
        <w:rPr>
          <w:rFonts w:ascii="仿宋_GB2312" w:hAnsi="仿宋" w:eastAsia="仿宋_GB2312" w:cs="仿宋"/>
          <w:sz w:val="32"/>
          <w:szCs w:val="32"/>
        </w:rPr>
      </w:pPr>
      <w:r>
        <w:rPr>
          <w:rFonts w:hint="eastAsia" w:ascii="楷体" w:hAnsi="楷体" w:eastAsia="楷体" w:cs="楷体"/>
          <w:color w:val="000000"/>
          <w:sz w:val="32"/>
          <w:szCs w:val="32"/>
        </w:rPr>
        <w:t>（六）严格落实环境风险防范措施。</w:t>
      </w:r>
      <w:r>
        <w:rPr>
          <w:rFonts w:hint="eastAsia" w:ascii="仿宋_GB2312" w:hAnsi="仿宋_GB2312" w:eastAsia="仿宋_GB2312" w:cs="仿宋_GB2312"/>
          <w:color w:val="000000"/>
          <w:sz w:val="32"/>
          <w:szCs w:val="32"/>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000000"/>
          <w:sz w:val="32"/>
          <w:szCs w:val="32"/>
        </w:rPr>
        <w:t>（七）落实规范排污口</w:t>
      </w:r>
      <w:r>
        <w:rPr>
          <w:rFonts w:hint="eastAsia" w:ascii="楷体" w:hAnsi="楷体" w:eastAsia="楷体" w:cs="楷体"/>
          <w:color w:val="000000"/>
          <w:sz w:val="32"/>
          <w:szCs w:val="32"/>
          <w:lang w:val="en-US" w:eastAsia="zh-CN"/>
        </w:rPr>
        <w:t>和环境监测</w:t>
      </w:r>
      <w:r>
        <w:rPr>
          <w:rFonts w:hint="eastAsia" w:ascii="楷体" w:hAnsi="楷体" w:eastAsia="楷体" w:cs="楷体"/>
          <w:color w:val="000000"/>
          <w:sz w:val="32"/>
          <w:szCs w:val="32"/>
        </w:rPr>
        <w:t>要求。</w:t>
      </w:r>
      <w:r>
        <w:rPr>
          <w:rFonts w:hint="eastAsia" w:ascii="仿宋_GB2312" w:hAnsi="宋体" w:eastAsia="仿宋_GB2312" w:cs="宋体"/>
          <w:kern w:val="0"/>
          <w:sz w:val="32"/>
          <w:szCs w:val="32"/>
        </w:rPr>
        <w:t>按国家和省、市排污口规范化要求设置各类排污口和标识并建档。</w:t>
      </w:r>
      <w:r>
        <w:rPr>
          <w:rFonts w:hint="eastAsia" w:ascii="仿宋_GB2312" w:hAnsi="仿宋" w:eastAsia="仿宋_GB2312" w:cs="仿宋"/>
          <w:sz w:val="32"/>
          <w:szCs w:val="32"/>
          <w:lang w:val="en-US" w:eastAsia="zh-CN"/>
        </w:rPr>
        <w:t>你公司应严格按照《</w:t>
      </w:r>
      <w:r>
        <w:rPr>
          <w:rFonts w:hint="eastAsia" w:ascii="仿宋_GB2312" w:hAnsi="仿宋" w:eastAsia="仿宋_GB2312" w:cs="仿宋"/>
          <w:sz w:val="32"/>
          <w:szCs w:val="32"/>
          <w:lang w:eastAsia="zh-CN"/>
        </w:rPr>
        <w:t>宜春市生态环境保护委员会办公室</w:t>
      </w:r>
      <w:r>
        <w:rPr>
          <w:rFonts w:hint="eastAsia" w:ascii="仿宋_GB2312" w:hAnsi="仿宋" w:eastAsia="仿宋_GB2312" w:cs="仿宋"/>
          <w:sz w:val="32"/>
          <w:szCs w:val="32"/>
        </w:rPr>
        <w:t>关于印发</w:t>
      </w:r>
      <w:r>
        <w:rPr>
          <w:rFonts w:hint="eastAsia" w:ascii="仿宋_GB2312" w:hAnsi="仿宋" w:eastAsia="仿宋_GB2312" w:cs="仿宋"/>
          <w:sz w:val="32"/>
          <w:szCs w:val="32"/>
          <w:lang w:val="en-US" w:eastAsia="zh-CN"/>
        </w:rPr>
        <w:t>&lt;</w:t>
      </w:r>
      <w:r>
        <w:rPr>
          <w:rFonts w:hint="eastAsia" w:ascii="仿宋_GB2312" w:hAnsi="仿宋" w:eastAsia="仿宋_GB2312" w:cs="仿宋"/>
          <w:sz w:val="32"/>
          <w:szCs w:val="32"/>
        </w:rPr>
        <w:t>宜春市涉锂电主要行业生态环境监管标准（试行）</w:t>
      </w:r>
      <w:r>
        <w:rPr>
          <w:rFonts w:hint="eastAsia" w:ascii="仿宋_GB2312" w:hAnsi="仿宋" w:eastAsia="仿宋_GB2312" w:cs="仿宋"/>
          <w:sz w:val="32"/>
          <w:szCs w:val="32"/>
          <w:lang w:val="en-US" w:eastAsia="zh-CN"/>
        </w:rPr>
        <w:t>&gt;</w:t>
      </w:r>
      <w:r>
        <w:rPr>
          <w:rFonts w:hint="eastAsia" w:ascii="仿宋_GB2312" w:hAnsi="仿宋" w:eastAsia="仿宋_GB2312" w:cs="仿宋"/>
          <w:sz w:val="32"/>
          <w:szCs w:val="32"/>
        </w:rPr>
        <w:t>的通知</w:t>
      </w:r>
      <w:r>
        <w:rPr>
          <w:rFonts w:hint="eastAsia" w:ascii="仿宋_GB2312" w:hAnsi="仿宋" w:eastAsia="仿宋_GB2312" w:cs="仿宋"/>
          <w:sz w:val="32"/>
          <w:szCs w:val="32"/>
          <w:lang w:val="en-US" w:eastAsia="zh-CN"/>
        </w:rPr>
        <w:t>》相关标准要求进行建设，投产后按照通知要求对相关</w:t>
      </w:r>
      <w:r>
        <w:rPr>
          <w:rFonts w:hint="eastAsia" w:ascii="仿宋_GB2312" w:hAnsi="仿宋_GB2312" w:eastAsia="仿宋_GB2312" w:cs="仿宋_GB2312"/>
          <w:color w:val="auto"/>
          <w:kern w:val="2"/>
          <w:sz w:val="32"/>
          <w:szCs w:val="32"/>
          <w:lang w:val="en-US" w:eastAsia="zh-CN" w:bidi="ar-SA"/>
        </w:rPr>
        <w:t xml:space="preserve">特征污染物进行监测。 </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 w:eastAsia="仿宋_GB2312" w:cs="仿宋"/>
          <w:color w:val="000000"/>
          <w:sz w:val="32"/>
          <w:szCs w:val="32"/>
        </w:rPr>
      </w:pPr>
      <w:r>
        <w:rPr>
          <w:rFonts w:hint="eastAsia" w:ascii="楷体" w:hAnsi="楷体" w:eastAsia="楷体" w:cs="楷体"/>
          <w:color w:val="000000"/>
          <w:sz w:val="32"/>
          <w:szCs w:val="32"/>
        </w:rPr>
        <w:t>（八）项目周围规划控制要求。</w:t>
      </w:r>
      <w:r>
        <w:rPr>
          <w:rFonts w:hint="eastAsia" w:ascii="仿宋_GB2312" w:hAnsi="宋体" w:eastAsia="仿宋_GB2312" w:cs="宋体"/>
          <w:kern w:val="0"/>
          <w:sz w:val="32"/>
          <w:szCs w:val="32"/>
        </w:rPr>
        <w:t>根据《报告书》和《评估意见》结论</w:t>
      </w:r>
      <w:r>
        <w:rPr>
          <w:rFonts w:hint="eastAsia" w:ascii="仿宋_GB2312" w:hAnsi="仿宋_GB2312" w:eastAsia="仿宋_GB2312" w:cs="仿宋_GB2312"/>
          <w:bCs/>
          <w:sz w:val="32"/>
          <w:szCs w:val="32"/>
        </w:rPr>
        <w:t>，</w:t>
      </w:r>
      <w:r>
        <w:rPr>
          <w:rFonts w:hint="eastAsia" w:ascii="仿宋_GB2312" w:hAnsi="宋体" w:eastAsia="仿宋_GB2312" w:cs="宋体"/>
          <w:kern w:val="0"/>
          <w:sz w:val="32"/>
          <w:szCs w:val="32"/>
        </w:rPr>
        <w:t>确定本项目的</w:t>
      </w:r>
      <w:r>
        <w:rPr>
          <w:rFonts w:hint="eastAsia" w:ascii="Times New Roman" w:hAnsi="Times New Roman" w:eastAsia="仿宋_GB2312"/>
          <w:sz w:val="32"/>
          <w:szCs w:val="32"/>
          <w:lang w:val="en-US" w:eastAsia="zh-CN"/>
        </w:rPr>
        <w:t>生产区</w:t>
      </w:r>
      <w:r>
        <w:rPr>
          <w:rFonts w:hint="eastAsia" w:ascii="Times New Roman" w:hAnsi="Times New Roman" w:eastAsia="仿宋_GB2312"/>
          <w:sz w:val="32"/>
          <w:szCs w:val="32"/>
        </w:rPr>
        <w:t>边界</w:t>
      </w:r>
      <w:r>
        <w:rPr>
          <w:rFonts w:hint="eastAsia" w:ascii="仿宋_GB2312" w:hAnsi="宋体" w:eastAsia="仿宋_GB2312" w:cs="宋体"/>
          <w:kern w:val="0"/>
          <w:sz w:val="32"/>
          <w:szCs w:val="32"/>
        </w:rPr>
        <w:t>等设置50米的卫生防护距离</w:t>
      </w:r>
      <w:r>
        <w:rPr>
          <w:rFonts w:hint="eastAsia" w:ascii="仿宋_GB2312" w:hAnsi="仿宋" w:eastAsia="仿宋_GB2312" w:cs="仿宋"/>
          <w:color w:val="000000"/>
          <w:sz w:val="32"/>
          <w:szCs w:val="32"/>
        </w:rPr>
        <w:t>。公司应配合规划部门，严格控制好本项目周边规划，项目卫生防护距离范围内不得新建居民住宅、学校及医院等环境敏感建筑。</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九</w:t>
      </w:r>
      <w:r>
        <w:rPr>
          <w:rFonts w:hint="eastAsia" w:ascii="楷体" w:hAnsi="楷体" w:eastAsia="楷体" w:cs="楷体"/>
          <w:color w:val="000000"/>
          <w:sz w:val="32"/>
          <w:szCs w:val="32"/>
        </w:rPr>
        <w:t>）信息公开要求。</w:t>
      </w:r>
      <w:r>
        <w:rPr>
          <w:rFonts w:hint="eastAsia" w:ascii="仿宋_GB2312" w:hAnsi="仿宋" w:eastAsia="仿宋_GB2312" w:cs="仿宋"/>
          <w:sz w:val="32"/>
          <w:szCs w:val="32"/>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spacing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eastAsia="仿宋_GB2312"/>
          <w:color w:val="000000"/>
          <w:sz w:val="32"/>
          <w:szCs w:val="32"/>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请宜春市生态环境保护综合执法支队和宜春市</w:t>
      </w:r>
      <w:r>
        <w:rPr>
          <w:rFonts w:hint="eastAsia" w:ascii="仿宋_GB2312" w:eastAsia="仿宋_GB2312"/>
          <w:color w:val="000000"/>
          <w:sz w:val="32"/>
          <w:szCs w:val="32"/>
          <w:lang w:val="en-US" w:eastAsia="zh-CN"/>
        </w:rPr>
        <w:t>奉新县</w:t>
      </w:r>
      <w:r>
        <w:rPr>
          <w:rFonts w:hint="eastAsia" w:ascii="仿宋_GB2312" w:eastAsia="仿宋_GB2312"/>
          <w:color w:val="000000"/>
          <w:sz w:val="32"/>
          <w:szCs w:val="32"/>
        </w:rPr>
        <w:t>生态环境局加强对该项目的环境监管，你公司应在收到本批复后20个工作日内，将批准后的《报告书》送至宜春市</w:t>
      </w:r>
      <w:r>
        <w:rPr>
          <w:rFonts w:hint="eastAsia" w:ascii="仿宋_GB2312" w:eastAsia="仿宋_GB2312"/>
          <w:color w:val="000000"/>
          <w:sz w:val="32"/>
          <w:szCs w:val="32"/>
          <w:lang w:val="en-US" w:eastAsia="zh-CN"/>
        </w:rPr>
        <w:t>奉新县</w:t>
      </w:r>
      <w:r>
        <w:rPr>
          <w:rFonts w:hint="eastAsia" w:ascii="仿宋_GB2312" w:eastAsia="仿宋_GB2312"/>
          <w:color w:val="000000"/>
          <w:sz w:val="32"/>
          <w:szCs w:val="32"/>
        </w:rPr>
        <w:t>生态环境局并按规定接受各级生态环境主管部门的监督检查。</w:t>
      </w:r>
    </w:p>
    <w:p>
      <w:pPr>
        <w:pStyle w:val="11"/>
        <w:keepNext w:val="0"/>
        <w:keepLines w:val="0"/>
        <w:pageBreakBefore w:val="0"/>
        <w:widowControl w:val="0"/>
        <w:kinsoku/>
        <w:wordWrap/>
        <w:overflowPunct/>
        <w:topLinePunct w:val="0"/>
        <w:autoSpaceDN/>
        <w:bidi w:val="0"/>
        <w:spacing w:line="560" w:lineRule="exact"/>
        <w:ind w:firstLine="640" w:firstLineChars="200"/>
        <w:textAlignment w:val="auto"/>
        <w:rPr>
          <w:rFonts w:eastAsia="仿宋_GB2312"/>
        </w:rPr>
      </w:pPr>
      <w:r>
        <w:rPr>
          <w:rFonts w:hint="eastAsia" w:ascii="楷体" w:hAnsi="楷体" w:eastAsia="楷体" w:cs="楷体"/>
          <w:color w:val="000000"/>
          <w:sz w:val="32"/>
          <w:szCs w:val="32"/>
        </w:rPr>
        <w:t>（四）其他管理要求</w:t>
      </w:r>
      <w:r>
        <w:rPr>
          <w:rFonts w:hint="eastAsia" w:ascii="仿宋_GB2312" w:hAnsi="仿宋_GB2312" w:eastAsia="仿宋_GB2312" w:cs="仿宋_GB2312"/>
          <w:bCs/>
          <w:color w:val="000000"/>
          <w:sz w:val="32"/>
          <w:szCs w:val="32"/>
        </w:rPr>
        <w:t>。</w:t>
      </w:r>
      <w:r>
        <w:rPr>
          <w:rFonts w:hint="eastAsia" w:ascii="仿宋_GB2312" w:hAnsi="仿宋" w:eastAsia="仿宋_GB2312" w:cs="Times New Roman"/>
          <w:color w:val="000000"/>
          <w:kern w:val="0"/>
          <w:sz w:val="32"/>
          <w:szCs w:val="32"/>
        </w:rPr>
        <w:t>项目产品长石粉应有明确可行的下游销售渠道。如暂时无法外售，应参照一般工业固体废物管理要求进行收集、贮存、处置，落实防雨、防渗、单独区域储存等措施，并建立专门台账，不得随意倾倒，污染环境。</w:t>
      </w:r>
    </w:p>
    <w:p>
      <w:pPr>
        <w:keepNext w:val="0"/>
        <w:keepLines w:val="0"/>
        <w:pageBreakBefore w:val="0"/>
        <w:widowControl w:val="0"/>
        <w:kinsoku/>
        <w:wordWrap/>
        <w:overflowPunct/>
        <w:topLinePunct w:val="0"/>
        <w:autoSpaceDE/>
        <w:autoSpaceDN/>
        <w:bidi w:val="0"/>
        <w:spacing w:line="560" w:lineRule="exact"/>
        <w:ind w:right="1077"/>
        <w:jc w:val="right"/>
        <w:textAlignment w:val="auto"/>
        <w:rPr>
          <w:rFonts w:ascii="仿宋_GB2312" w:hAnsi="华文仿宋" w:eastAsia="仿宋_GB2312"/>
          <w:sz w:val="32"/>
          <w:szCs w:val="32"/>
        </w:rPr>
      </w:pPr>
    </w:p>
    <w:p>
      <w:pPr>
        <w:pStyle w:val="2"/>
        <w:keepNext w:val="0"/>
        <w:keepLines w:val="0"/>
        <w:pageBreakBefore w:val="0"/>
        <w:widowControl w:val="0"/>
        <w:kinsoku/>
        <w:wordWrap/>
        <w:overflowPunct/>
        <w:topLinePunct w:val="0"/>
        <w:autoSpaceDE/>
        <w:autoSpaceDN/>
        <w:bidi w:val="0"/>
        <w:spacing w:line="560" w:lineRule="exact"/>
        <w:textAlignment w:val="auto"/>
      </w:pPr>
      <w:bookmarkStart w:id="0" w:name="_GoBack"/>
      <w:bookmarkEnd w:id="0"/>
    </w:p>
    <w:p>
      <w:pPr>
        <w:keepNext w:val="0"/>
        <w:keepLines w:val="0"/>
        <w:pageBreakBefore w:val="0"/>
        <w:widowControl w:val="0"/>
        <w:kinsoku/>
        <w:wordWrap/>
        <w:overflowPunct/>
        <w:topLinePunct w:val="0"/>
        <w:autoSpaceDE/>
        <w:autoSpaceDN/>
        <w:bidi w:val="0"/>
        <w:spacing w:line="560" w:lineRule="exact"/>
        <w:ind w:right="1077"/>
        <w:textAlignment w:val="auto"/>
        <w:rPr>
          <w:rFonts w:ascii="仿宋_GB2312" w:hAnsi="华文仿宋" w:eastAsia="仿宋_GB2312"/>
          <w:sz w:val="32"/>
          <w:szCs w:val="32"/>
        </w:rPr>
      </w:pPr>
    </w:p>
    <w:p>
      <w:pPr>
        <w:spacing w:line="52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20" w:lineRule="exact"/>
        <w:ind w:firstLine="80" w:firstLineChars="25"/>
        <w:rPr>
          <w:rFonts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11</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13</w:t>
      </w:r>
      <w:r>
        <w:rPr>
          <w:rFonts w:hint="eastAsia" w:ascii="仿宋_GB2312" w:hAnsi="华文仿宋" w:eastAsia="仿宋_GB2312"/>
          <w:sz w:val="32"/>
          <w:szCs w:val="32"/>
        </w:rPr>
        <w:t>日</w:t>
      </w:r>
    </w:p>
    <w:p>
      <w:pPr>
        <w:pStyle w:val="2"/>
        <w:rPr>
          <w:sz w:val="32"/>
          <w:szCs w:val="32"/>
        </w:rPr>
      </w:pPr>
    </w:p>
    <w:p>
      <w:pPr>
        <w:pStyle w:val="15"/>
        <w:widowControl/>
        <w:spacing w:line="560" w:lineRule="exact"/>
        <w:ind w:right="840" w:rightChars="400" w:firstLine="640" w:firstLineChars="200"/>
        <w:rPr>
          <w:rFonts w:ascii="仿宋_GB2312" w:hAnsi="仿宋" w:eastAsia="仿宋_GB2312" w:cs="仿宋"/>
          <w:color w:val="000000"/>
          <w:sz w:val="32"/>
          <w:szCs w:val="32"/>
          <w:u w:val="single"/>
        </w:rPr>
      </w:pPr>
      <w:r>
        <w:rPr>
          <w:rFonts w:hint="eastAsia" w:ascii="仿宋_GB2312" w:hAnsi="仿宋" w:eastAsia="仿宋_GB2312"/>
          <w:sz w:val="32"/>
          <w:szCs w:val="32"/>
        </w:rPr>
        <w:t>（此件主动公开）</w:t>
      </w: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pStyle w:val="2"/>
        <w:rPr>
          <w:rFonts w:ascii="仿宋_GB2312" w:hAnsi="仿宋" w:eastAsia="仿宋_GB2312" w:cs="仿宋"/>
          <w:color w:val="000000"/>
          <w:sz w:val="30"/>
          <w:szCs w:val="30"/>
          <w:u w:val="single"/>
        </w:rPr>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910" w:leftChars="100" w:right="210" w:rightChars="100" w:hanging="700" w:hangingChars="250"/>
        <w:textAlignment w:val="auto"/>
        <w:rPr>
          <w:rFonts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奉新县</w:t>
      </w:r>
      <w:r>
        <w:rPr>
          <w:rFonts w:hint="eastAsia" w:ascii="仿宋_GB2312" w:hAnsi="宋体" w:eastAsia="仿宋_GB2312"/>
          <w:sz w:val="28"/>
          <w:szCs w:val="28"/>
        </w:rPr>
        <w:t>人民政府</w:t>
      </w:r>
      <w:r>
        <w:rPr>
          <w:rFonts w:hint="eastAsia" w:ascii="仿宋_GB2312" w:hAnsi="宋体" w:eastAsia="仿宋_GB2312"/>
          <w:sz w:val="28"/>
          <w:szCs w:val="28"/>
          <w:lang w:eastAsia="zh-CN"/>
        </w:rPr>
        <w:t>，</w:t>
      </w:r>
      <w:r>
        <w:rPr>
          <w:rFonts w:hint="eastAsia" w:ascii="仿宋_GB2312" w:hAnsi="华文仿宋" w:eastAsia="仿宋_GB2312"/>
          <w:spacing w:val="-6"/>
          <w:sz w:val="28"/>
          <w:szCs w:val="32"/>
        </w:rPr>
        <w:t>宜春市奉新县生态</w:t>
      </w:r>
      <w:r>
        <w:rPr>
          <w:rFonts w:hint="eastAsia" w:ascii="仿宋_GB2312" w:eastAsia="仿宋_GB2312"/>
          <w:sz w:val="28"/>
          <w:szCs w:val="32"/>
        </w:rPr>
        <w:t>环境局</w:t>
      </w:r>
      <w:r>
        <w:rPr>
          <w:rFonts w:hint="eastAsia" w:ascii="仿宋_GB2312" w:eastAsia="仿宋_GB2312"/>
          <w:sz w:val="28"/>
          <w:szCs w:val="32"/>
          <w:lang w:eastAsia="zh-CN"/>
        </w:rPr>
        <w:t>，</w:t>
      </w:r>
      <w:r>
        <w:rPr>
          <w:rFonts w:hint="eastAsia" w:ascii="仿宋_GB2312" w:eastAsia="仿宋_GB2312"/>
          <w:sz w:val="28"/>
          <w:szCs w:val="32"/>
        </w:rPr>
        <w:t>局相关科室，局直属相关单位，</w:t>
      </w:r>
      <w:r>
        <w:rPr>
          <w:rFonts w:hint="eastAsia" w:ascii="仿宋_GB2312" w:eastAsia="仿宋_GB2312"/>
          <w:sz w:val="28"/>
          <w:szCs w:val="32"/>
          <w:lang w:eastAsia="zh-CN"/>
        </w:rPr>
        <w:t>江西龙翔安全环保技术咨询有限公司</w:t>
      </w:r>
      <w:r>
        <w:rPr>
          <w:rFonts w:hint="eastAsia" w:ascii="仿宋_GB2312" w:eastAsia="仿宋_GB2312"/>
          <w:spacing w:val="-6"/>
          <w:sz w:val="28"/>
          <w:szCs w:val="28"/>
        </w:rPr>
        <w:t>。</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hint="eastAsia" w:ascii="仿宋_GB2312" w:hAnsi="仿宋" w:eastAsia="仿宋_GB2312" w:cs="仿宋"/>
          <w:color w:val="000000"/>
          <w:sz w:val="30"/>
          <w:szCs w:val="30"/>
          <w:u w:val="single"/>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2023年11月13日印发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OWJiNmI0NzA1NDJlZmM2YjY4ZGI0OTc4MTg5NTg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664B65"/>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C75B6"/>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B20A89"/>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0743E9"/>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1C5937"/>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9456EE"/>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55DEA"/>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2B5990"/>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1325C4"/>
    <w:rsid w:val="5B3A6098"/>
    <w:rsid w:val="5B410D79"/>
    <w:rsid w:val="5B4D177D"/>
    <w:rsid w:val="5B57206F"/>
    <w:rsid w:val="5B6B7A7F"/>
    <w:rsid w:val="5B7E537A"/>
    <w:rsid w:val="5B8643BE"/>
    <w:rsid w:val="5B9752C3"/>
    <w:rsid w:val="5BA1550F"/>
    <w:rsid w:val="5BAEC8ED"/>
    <w:rsid w:val="5BB25C1D"/>
    <w:rsid w:val="5BBF10B3"/>
    <w:rsid w:val="5BCB0034"/>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C61397"/>
    <w:rsid w:val="69D45A86"/>
    <w:rsid w:val="69E80CC5"/>
    <w:rsid w:val="69F6F957"/>
    <w:rsid w:val="69FF10CD"/>
    <w:rsid w:val="6A1F4150"/>
    <w:rsid w:val="6A2D1CCF"/>
    <w:rsid w:val="6A7E092E"/>
    <w:rsid w:val="6A904237"/>
    <w:rsid w:val="6AB5277B"/>
    <w:rsid w:val="6AF040E0"/>
    <w:rsid w:val="6AF711C0"/>
    <w:rsid w:val="6AFAFFDE"/>
    <w:rsid w:val="6AFB609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8510C"/>
    <w:rsid w:val="6FFE666F"/>
    <w:rsid w:val="704A5458"/>
    <w:rsid w:val="70942BA8"/>
    <w:rsid w:val="70970059"/>
    <w:rsid w:val="70AB1F88"/>
    <w:rsid w:val="70D71DCC"/>
    <w:rsid w:val="70FB4E67"/>
    <w:rsid w:val="70FF3E19"/>
    <w:rsid w:val="71312567"/>
    <w:rsid w:val="714C0320"/>
    <w:rsid w:val="71970E78"/>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3C4E89"/>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37FBE"/>
    <w:rsid w:val="7C6FAC73"/>
    <w:rsid w:val="7C7974BC"/>
    <w:rsid w:val="7C805BDF"/>
    <w:rsid w:val="7C960D11"/>
    <w:rsid w:val="7C9D15C7"/>
    <w:rsid w:val="7CBE8518"/>
    <w:rsid w:val="7CD09542"/>
    <w:rsid w:val="7CD51442"/>
    <w:rsid w:val="7CEC546D"/>
    <w:rsid w:val="7CF11320"/>
    <w:rsid w:val="7CF81A8E"/>
    <w:rsid w:val="7D4877F9"/>
    <w:rsid w:val="7D5F4750"/>
    <w:rsid w:val="7D5F766F"/>
    <w:rsid w:val="7D772C0B"/>
    <w:rsid w:val="7D7F3FD0"/>
    <w:rsid w:val="7D804B82"/>
    <w:rsid w:val="7D841571"/>
    <w:rsid w:val="7D9E4DCD"/>
    <w:rsid w:val="7DB44617"/>
    <w:rsid w:val="7DB912C6"/>
    <w:rsid w:val="7DCFA9AF"/>
    <w:rsid w:val="7DEFDD4D"/>
    <w:rsid w:val="7DF55D84"/>
    <w:rsid w:val="7DF5E540"/>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015F"/>
    <w:rsid w:val="7FDE6D84"/>
    <w:rsid w:val="7FDF0F57"/>
    <w:rsid w:val="7FDF8A26"/>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3DB74AF"/>
    <w:rsid w:val="97D71DFE"/>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BD03D"/>
    <w:rsid w:val="ABF7DC2D"/>
    <w:rsid w:val="ABFFE5E5"/>
    <w:rsid w:val="AD6D9B49"/>
    <w:rsid w:val="ADFA5E98"/>
    <w:rsid w:val="AEAF57D7"/>
    <w:rsid w:val="AEBFBB0B"/>
    <w:rsid w:val="AEF841E1"/>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BEF9ED"/>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3667"/>
    <w:rsid w:val="FEEF0ED8"/>
    <w:rsid w:val="FEF608EA"/>
    <w:rsid w:val="FEF7D53C"/>
    <w:rsid w:val="FEF99CBF"/>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99"/>
    <w:pPr>
      <w:adjustRightInd w:val="0"/>
      <w:snapToGrid w:val="0"/>
      <w:spacing w:before="31" w:beforeLines="10" w:line="460" w:lineRule="exact"/>
      <w:ind w:firstLine="520" w:firstLineChars="200"/>
    </w:pPr>
    <w:rPr>
      <w:rFonts w:ascii="Times New Roman" w:hAnsi="Times New Roman" w:eastAsia="宋体" w:cs="Times New Roman"/>
      <w:color w:val="000000"/>
      <w:kern w:val="0"/>
      <w:sz w:val="24"/>
      <w:szCs w:val="24"/>
    </w:rPr>
  </w:style>
  <w:style w:type="paragraph" w:styleId="3">
    <w:name w:val="Body Text First Indent 2"/>
    <w:basedOn w:val="4"/>
    <w:next w:val="1"/>
    <w:unhideWhenUsed/>
    <w:qFormat/>
    <w:uiPriority w:val="0"/>
    <w:pPr>
      <w:spacing w:after="120" w:line="240" w:lineRule="auto"/>
      <w:ind w:left="420" w:leftChars="200" w:firstLine="420"/>
    </w:pPr>
  </w:style>
  <w:style w:type="paragraph" w:styleId="4">
    <w:name w:val="Body Text Indent"/>
    <w:basedOn w:val="1"/>
    <w:next w:val="5"/>
    <w:qFormat/>
    <w:uiPriority w:val="0"/>
    <w:pPr>
      <w:spacing w:line="480" w:lineRule="exact"/>
      <w:ind w:firstLine="480" w:firstLineChars="200"/>
    </w:pPr>
    <w:rPr>
      <w:rFonts w:ascii="宋体" w:hAnsi="宋体"/>
      <w:color w:val="FF0000"/>
      <w:kern w:val="0"/>
      <w:sz w:val="24"/>
    </w:rPr>
  </w:style>
  <w:style w:type="paragraph" w:customStyle="1" w:styleId="5">
    <w:name w:val="样式 正文文本缩进 + 行距: 1.5 倍行距"/>
    <w:basedOn w:val="4"/>
    <w:qFormat/>
    <w:uiPriority w:val="0"/>
    <w:pPr>
      <w:snapToGrid/>
      <w:spacing w:before="0" w:after="120" w:line="360" w:lineRule="auto"/>
      <w:ind w:left="90" w:leftChars="32" w:firstLine="560" w:firstLineChars="200"/>
    </w:pPr>
    <w:rPr>
      <w:rFonts w:ascii="Times New Roman" w:eastAsia="宋体" w:cs="宋体"/>
    </w:rPr>
  </w:style>
  <w:style w:type="paragraph" w:styleId="8">
    <w:name w:val="Normal Indent"/>
    <w:basedOn w:val="1"/>
    <w:unhideWhenUsed/>
    <w:qFormat/>
    <w:uiPriority w:val="0"/>
    <w:pPr>
      <w:ind w:firstLine="420" w:firstLineChars="200"/>
    </w:pPr>
    <w:rPr>
      <w:kern w:val="0"/>
      <w:sz w:val="20"/>
    </w:rPr>
  </w:style>
  <w:style w:type="paragraph" w:styleId="9">
    <w:name w:val="annotation text"/>
    <w:basedOn w:val="1"/>
    <w:link w:val="23"/>
    <w:qFormat/>
    <w:uiPriority w:val="0"/>
    <w:pPr>
      <w:jc w:val="left"/>
    </w:pPr>
  </w:style>
  <w:style w:type="paragraph" w:styleId="10">
    <w:name w:val="Body Text"/>
    <w:basedOn w:val="1"/>
    <w:next w:val="1"/>
    <w:qFormat/>
    <w:uiPriority w:val="0"/>
    <w:pPr>
      <w:spacing w:after="120"/>
    </w:pPr>
  </w:style>
  <w:style w:type="paragraph" w:styleId="11">
    <w:name w:val="Plain Text"/>
    <w:basedOn w:val="1"/>
    <w:unhideWhenUsed/>
    <w:qFormat/>
    <w:uiPriority w:val="99"/>
    <w:rPr>
      <w:rFonts w:ascii="宋体" w:hAnsi="Courier New" w:cs="Courier New"/>
    </w:rPr>
  </w:style>
  <w:style w:type="paragraph" w:styleId="12">
    <w:name w:val="Balloon Text"/>
    <w:basedOn w:val="1"/>
    <w:link w:val="2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qFormat/>
    <w:uiPriority w:val="0"/>
    <w:pPr>
      <w:jc w:val="left"/>
    </w:pPr>
    <w:rPr>
      <w:kern w:val="0"/>
      <w:sz w:val="24"/>
    </w:rPr>
  </w:style>
  <w:style w:type="paragraph" w:styleId="16">
    <w:name w:val="annotation subject"/>
    <w:basedOn w:val="9"/>
    <w:next w:val="9"/>
    <w:link w:val="24"/>
    <w:qFormat/>
    <w:uiPriority w:val="0"/>
    <w:rPr>
      <w:b/>
      <w:bCs/>
    </w:rPr>
  </w:style>
  <w:style w:type="paragraph" w:styleId="17">
    <w:name w:val="Body Text First Indent"/>
    <w:basedOn w:val="10"/>
    <w:next w:val="1"/>
    <w:unhideWhenUsed/>
    <w:qFormat/>
    <w:uiPriority w:val="99"/>
    <w:pPr>
      <w:spacing w:after="120"/>
      <w:ind w:firstLine="420" w:firstLineChars="100"/>
    </w:pPr>
    <w:rPr>
      <w:rFonts w:ascii="Calibri" w:hAnsi="Calibri" w:eastAsia="宋体" w:cs="Times New Roman"/>
      <w:szCs w:val="22"/>
    </w:rPr>
  </w:style>
  <w:style w:type="character" w:styleId="20">
    <w:name w:val="annotation reference"/>
    <w:basedOn w:val="19"/>
    <w:qFormat/>
    <w:uiPriority w:val="0"/>
    <w:rPr>
      <w:sz w:val="21"/>
      <w:szCs w:val="21"/>
    </w:rPr>
  </w:style>
  <w:style w:type="paragraph" w:customStyle="1" w:styleId="21">
    <w:name w:val="样式 标题 2"/>
    <w:basedOn w:val="6"/>
    <w:next w:val="22"/>
    <w:qFormat/>
    <w:uiPriority w:val="0"/>
    <w:pPr>
      <w:spacing w:before="50" w:after="50"/>
    </w:pPr>
    <w:rPr>
      <w:szCs w:val="28"/>
    </w:rPr>
  </w:style>
  <w:style w:type="paragraph" w:customStyle="1" w:styleId="22">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character" w:customStyle="1" w:styleId="23">
    <w:name w:val="批注文字 Char"/>
    <w:basedOn w:val="19"/>
    <w:link w:val="9"/>
    <w:qFormat/>
    <w:uiPriority w:val="0"/>
    <w:rPr>
      <w:kern w:val="2"/>
      <w:sz w:val="21"/>
      <w:szCs w:val="24"/>
    </w:rPr>
  </w:style>
  <w:style w:type="character" w:customStyle="1" w:styleId="24">
    <w:name w:val="批注主题 Char"/>
    <w:basedOn w:val="23"/>
    <w:link w:val="16"/>
    <w:qFormat/>
    <w:uiPriority w:val="0"/>
    <w:rPr>
      <w:b/>
      <w:bCs/>
      <w:kern w:val="2"/>
      <w:sz w:val="21"/>
      <w:szCs w:val="24"/>
    </w:rPr>
  </w:style>
  <w:style w:type="character" w:customStyle="1" w:styleId="25">
    <w:name w:val="批注框文本 Char"/>
    <w:basedOn w:val="19"/>
    <w:link w:val="12"/>
    <w:qFormat/>
    <w:uiPriority w:val="0"/>
    <w:rPr>
      <w:kern w:val="2"/>
      <w:sz w:val="18"/>
      <w:szCs w:val="18"/>
    </w:rPr>
  </w:style>
  <w:style w:type="paragraph" w:customStyle="1" w:styleId="26">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2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8</Pages>
  <Words>3925</Words>
  <Characters>4092</Characters>
  <Lines>26</Lines>
  <Paragraphs>7</Paragraphs>
  <TotalTime>17</TotalTime>
  <ScaleCrop>false</ScaleCrop>
  <LinksUpToDate>false</LinksUpToDate>
  <CharactersWithSpaces>4319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2022-03-01T01:25:00Z</dcterms:created>
  <dc:creator>Administrator</dc:creator>
  <cp:lastModifiedBy>admin123</cp:lastModifiedBy>
  <cp:lastPrinted>2023-10-27T09:18:00Z</cp:lastPrinted>
  <dcterms:modified xsi:type="dcterms:W3CDTF">2023-11-13T11:39:27Z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B928A689CE3B4826A621362E56E55E46_13</vt:lpwstr>
  </property>
</Properties>
</file>