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after="0"/>
        <w:ind w:firstLine="210"/>
      </w:pPr>
    </w:p>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128</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uw7UY1QAAAAYBAAAPAAAAAAAAAAEAIAAAADgAAABkcnMvZG93bnJl&#10;di54bWxQSwECFAAUAAAACACHTuJALPboIuoBAACtAwAADgAAAAAAAAABACAAAAA6AQAAZHJzL2Uy&#10;b0RvYy54bWxQSwUGAAAAAAYABgBZAQAAlgUAAAAA&#10;">
                <v:fill on="f" focussize="0,0"/>
                <v:stroke weight="3pt" color="#FF0000" joinstyle="round"/>
                <v:imagedata o:title=""/>
                <o:lock v:ext="edit" aspectratio="f"/>
              </v:shape>
            </w:pict>
          </mc:Fallback>
        </mc:AlternateContent>
      </w:r>
    </w:p>
    <w:p>
      <w:pPr>
        <w:spacing w:line="640" w:lineRule="exact"/>
        <w:jc w:val="center"/>
        <w:rPr>
          <w:rFonts w:ascii="方正小标宋简体" w:hAnsi="宋体" w:eastAsia="方正小标宋简体"/>
          <w:sz w:val="44"/>
          <w:szCs w:val="44"/>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态环境局关于</w:t>
      </w:r>
      <w:r>
        <w:rPr>
          <w:rFonts w:hint="default" w:ascii="方正小标宋简体" w:hAnsi="方正小标宋简体" w:eastAsia="方正小标宋简体" w:cs="方正小标宋简体"/>
          <w:bCs/>
          <w:color w:val="000000"/>
          <w:sz w:val="44"/>
          <w:szCs w:val="44"/>
          <w:lang w:eastAsia="zh-CN"/>
        </w:rPr>
        <w:t>江西宜源新能源科技有限公司磷酸铁锂材料及电池回收综合利用项目</w:t>
      </w:r>
      <w:r>
        <w:rPr>
          <w:rFonts w:hint="eastAsia" w:ascii="方正小标宋简体" w:hAnsi="方正小标宋简体" w:eastAsia="方正小标宋简体" w:cs="方正小标宋简体"/>
          <w:bCs/>
          <w:color w:val="000000"/>
          <w:sz w:val="44"/>
          <w:szCs w:val="44"/>
        </w:rPr>
        <w:t>环</w:t>
      </w:r>
      <w:r>
        <w:rPr>
          <w:rFonts w:hint="eastAsia" w:ascii="方正小标宋简体" w:hAnsi="宋体" w:eastAsia="方正小标宋简体"/>
          <w:sz w:val="44"/>
          <w:szCs w:val="44"/>
        </w:rPr>
        <w:t>境影响报告书的批复</w:t>
      </w:r>
    </w:p>
    <w:p>
      <w:pPr>
        <w:pageBreakBefore w:val="0"/>
        <w:widowControl w:val="0"/>
        <w:kinsoku/>
        <w:wordWrap/>
        <w:overflowPunct/>
        <w:topLinePunct w:val="0"/>
        <w:bidi w:val="0"/>
        <w:spacing w:line="600" w:lineRule="exact"/>
        <w:textAlignment w:val="auto"/>
        <w:rPr>
          <w:rFonts w:ascii="仿宋_GB2312" w:hAnsi="仿宋_GB2312" w:eastAsia="仿宋_GB2312" w:cs="仿宋_GB2312"/>
          <w:sz w:val="32"/>
          <w:szCs w:val="32"/>
        </w:rPr>
      </w:pPr>
    </w:p>
    <w:p>
      <w:pPr>
        <w:pageBreakBefore w:val="0"/>
        <w:widowControl w:val="0"/>
        <w:kinsoku/>
        <w:wordWrap/>
        <w:overflowPunct/>
        <w:topLinePunct w:val="0"/>
        <w:autoSpaceDE w:val="0"/>
        <w:bidi w:val="0"/>
        <w:snapToGrid w:val="0"/>
        <w:spacing w:line="360" w:lineRule="auto"/>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color w:val="000000" w:themeColor="text1"/>
          <w:sz w:val="32"/>
          <w:szCs w:val="32"/>
          <w:lang w:eastAsia="zh-CN"/>
          <w14:textFill>
            <w14:solidFill>
              <w14:schemeClr w14:val="tx1"/>
            </w14:solidFill>
          </w14:textFill>
        </w:rPr>
        <w:t>江西宜源新能源科技有限公司</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widowControl w:val="0"/>
        <w:kinsoku/>
        <w:wordWrap/>
        <w:overflowPunct/>
        <w:topLinePunct w:val="0"/>
        <w:bidi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你公司《关于请求审批〈</w:t>
      </w:r>
      <w:r>
        <w:rPr>
          <w:rFonts w:hint="default" w:ascii="仿宋_GB2312" w:hAnsi="仿宋_GB2312" w:eastAsia="仿宋_GB2312" w:cs="仿宋_GB2312"/>
          <w:color w:val="000000" w:themeColor="text1"/>
          <w:sz w:val="32"/>
          <w:szCs w:val="32"/>
          <w:lang w:eastAsia="zh-CN"/>
          <w14:textFill>
            <w14:solidFill>
              <w14:schemeClr w14:val="tx1"/>
            </w14:solidFill>
          </w14:textFill>
        </w:rPr>
        <w:t>江西宜源新能源科技有限公司磷酸铁锂材料及电池回收综合利用项目</w:t>
      </w:r>
      <w:r>
        <w:rPr>
          <w:rFonts w:hint="eastAsia" w:ascii="仿宋_GB2312" w:hAnsi="仿宋_GB2312" w:eastAsia="仿宋_GB2312" w:cs="仿宋_GB2312"/>
          <w:color w:val="000000" w:themeColor="text1"/>
          <w:sz w:val="32"/>
          <w:szCs w:val="32"/>
          <w14:textFill>
            <w14:solidFill>
              <w14:schemeClr w14:val="tx1"/>
            </w14:solidFill>
          </w14:textFill>
        </w:rPr>
        <w:t>环境影响报告书</w:t>
      </w:r>
      <w:r>
        <w:rPr>
          <w:rFonts w:hint="eastAsia" w:ascii="仿宋_GB2312" w:hAnsi="仿宋" w:eastAsia="仿宋_GB2312" w:cs="仿宋"/>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的请示》</w:t>
      </w:r>
      <w:r>
        <w:rPr>
          <w:rFonts w:hint="eastAsia" w:ascii="仿宋_GB2312" w:hAnsi="仿宋" w:eastAsia="仿宋_GB2312" w:cs="仿宋"/>
          <w:color w:val="000000" w:themeColor="text1"/>
          <w:sz w:val="32"/>
          <w:szCs w:val="32"/>
          <w14:textFill>
            <w14:solidFill>
              <w14:schemeClr w14:val="tx1"/>
            </w14:solidFill>
          </w14:textFill>
        </w:rPr>
        <w:t>以及相关资料收悉，经研究，批复如下：</w:t>
      </w:r>
    </w:p>
    <w:p>
      <w:pPr>
        <w:pStyle w:val="24"/>
        <w:pageBreakBefore w:val="0"/>
        <w:widowControl w:val="0"/>
        <w:numPr>
          <w:ilvl w:val="0"/>
          <w:numId w:val="1"/>
        </w:numPr>
        <w:kinsoku/>
        <w:wordWrap/>
        <w:overflowPunct/>
        <w:topLinePunct w:val="0"/>
        <w:bidi w:val="0"/>
        <w:snapToGrid w:val="0"/>
        <w:spacing w:before="0" w:after="0" w:line="360" w:lineRule="auto"/>
        <w:ind w:firstLine="640" w:firstLineChars="200"/>
        <w:jc w:val="both"/>
        <w:textAlignment w:val="auto"/>
        <w:rPr>
          <w:rFonts w:ascii="黑体" w:hAnsi="黑体" w:eastAsia="黑体" w:cs="黑体"/>
          <w:b w:val="0"/>
          <w:bCs w:val="0"/>
          <w:color w:val="000000" w:themeColor="text1"/>
          <w:szCs w:val="32"/>
          <w14:textFill>
            <w14:solidFill>
              <w14:schemeClr w14:val="tx1"/>
            </w14:solidFill>
          </w14:textFill>
        </w:rPr>
      </w:pPr>
      <w:r>
        <w:rPr>
          <w:rFonts w:hint="eastAsia" w:ascii="黑体" w:hAnsi="黑体" w:eastAsia="黑体" w:cs="黑体"/>
          <w:b w:val="0"/>
          <w:bCs w:val="0"/>
          <w:color w:val="000000" w:themeColor="text1"/>
          <w:szCs w:val="32"/>
          <w14:textFill>
            <w14:solidFill>
              <w14:schemeClr w14:val="tx1"/>
            </w14:solidFill>
          </w14:textFill>
        </w:rPr>
        <w:t>项目建设内容及批复意见</w:t>
      </w:r>
    </w:p>
    <w:p>
      <w:pPr>
        <w:pageBreakBefore w:val="0"/>
        <w:widowControl w:val="0"/>
        <w:kinsoku/>
        <w:wordWrap/>
        <w:overflowPunct/>
        <w:topLinePunct w:val="0"/>
        <w:autoSpaceDE w:val="0"/>
        <w:bidi w:val="0"/>
        <w:adjustRightInd w:val="0"/>
        <w:snapToGrid w:val="0"/>
        <w:spacing w:line="360" w:lineRule="auto"/>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江西宜源新能源科技有限公司磷酸铁锂材料及电池回收综合利用项目位于江西宜春袁州工业园康安路1号，厂址中心地理坐标：东经114°21'49.572"、北纬27°54'37.296"。</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项目分东西两个地块，全厂总</w:t>
      </w: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占地面积约252.19亩（东区占地面积133.5亩，西区占地面积118.69亩）</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p>
    <w:p>
      <w:pPr>
        <w:numPr>
          <w:ilvl w:val="0"/>
          <w:numId w:val="0"/>
        </w:numPr>
        <w:spacing w:line="360" w:lineRule="auto"/>
        <w:ind w:firstLine="640" w:firstLineChars="200"/>
        <w:jc w:val="both"/>
        <w:rPr>
          <w:rFonts w:hint="eastAsia" w:ascii="仿宋_GB2312" w:hAnsi="仿宋_GB2312" w:eastAsia="仿宋_GB2312" w:cs="仿宋_GB2312"/>
          <w:b w:val="0"/>
          <w:bCs w:val="0"/>
          <w:i w:val="0"/>
          <w:caps w:val="0"/>
          <w:color w:val="000000"/>
          <w:spacing w:val="0"/>
          <w:kern w:val="0"/>
          <w:sz w:val="32"/>
          <w:szCs w:val="32"/>
          <w:u w:val="none"/>
          <w:shd w:val="clear" w:fill="FFFFFF"/>
          <w:lang w:val="zh-CN" w:eastAsia="zh-CN" w:bidi="ar"/>
        </w:rPr>
      </w:pP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项目为新建</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工程</w:t>
      </w: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主要原料为废旧磷酸铁锂电池包、电池级碳酸锂、食品级葡萄糖。生产工艺分为废旧锂电池预处理系统、废旧磷酸铁锂粉料综合回收碳酸锂系统、铁磷渣综合回收磷酸铁系统、磷酸铁生产、磷酸铁锂生产、副产硫酸铵生产</w:t>
      </w:r>
      <w:r>
        <w:rPr>
          <w:rFonts w:hint="eastAsia" w:ascii="仿宋_GB2312" w:hAnsi="仿宋_GB2312" w:eastAsia="仿宋_GB2312" w:cs="仿宋_GB2312"/>
          <w:b w:val="0"/>
          <w:bCs w:val="0"/>
          <w:i w:val="0"/>
          <w:caps w:val="0"/>
          <w:color w:val="000000"/>
          <w:spacing w:val="0"/>
          <w:kern w:val="0"/>
          <w:sz w:val="32"/>
          <w:szCs w:val="32"/>
          <w:u w:val="none"/>
          <w:shd w:val="clear" w:fill="FFFFFF"/>
          <w:lang w:val="zh-CN" w:eastAsia="zh-CN" w:bidi="ar"/>
        </w:rPr>
        <w:t>。</w:t>
      </w:r>
    </w:p>
    <w:p>
      <w:pPr>
        <w:keepNext w:val="0"/>
        <w:keepLines w:val="0"/>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color w:val="auto"/>
          <w:sz w:val="32"/>
          <w:szCs w:val="32"/>
        </w:rPr>
      </w:pP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全厂产品方案：磷酸铁锂29850.312t/a；副产：无水硫酸钠4531.8548t/a（执行《工业无水硫酸钠》（GB/T6009-2014）中Ⅱ类合格品标准）、副产：硫酸铵36392.0363t/a（执行《工业硫酸铵》（HG/T 5744-2020））</w:t>
      </w:r>
      <w:r>
        <w:rPr>
          <w:rFonts w:hint="eastAsia" w:ascii="仿宋_GB2312" w:hAnsi="仿宋_GB2312" w:eastAsia="仿宋_GB2312" w:cs="仿宋_GB2312"/>
          <w:bCs/>
          <w:color w:val="000000"/>
          <w:sz w:val="32"/>
          <w:szCs w:val="32"/>
        </w:rPr>
        <w:t>。</w:t>
      </w:r>
    </w:p>
    <w:p>
      <w:pPr>
        <w:pageBreakBefore w:val="0"/>
        <w:widowControl w:val="0"/>
        <w:kinsoku/>
        <w:wordWrap/>
        <w:overflowPunct/>
        <w:topLinePunct w:val="0"/>
        <w:autoSpaceDE w:val="0"/>
        <w:bidi w:val="0"/>
        <w:adjustRightInd w:val="0"/>
        <w:snapToGrid w:val="0"/>
        <w:spacing w:line="360" w:lineRule="auto"/>
        <w:ind w:firstLine="640" w:firstLineChars="200"/>
        <w:jc w:val="both"/>
        <w:textAlignment w:val="auto"/>
        <w:rPr>
          <w:rFonts w:ascii="仿宋_GB2312" w:hAnsi="仿宋_GB2312" w:eastAsia="仿宋_GB2312" w:cs="仿宋_GB2312"/>
          <w:snapToGrid w:val="0"/>
          <w:color w:val="000000" w:themeColor="text1"/>
          <w:sz w:val="32"/>
          <w:szCs w:val="32"/>
          <w14:textFill>
            <w14:solidFill>
              <w14:schemeClr w14:val="tx1"/>
            </w14:solidFill>
          </w14:textFill>
        </w:rPr>
      </w:pPr>
      <w:r>
        <w:rPr>
          <w:rFonts w:hint="eastAsia" w:ascii="仿宋_GB2312" w:hAnsi="仿宋_GB2312" w:eastAsia="仿宋_GB2312" w:cs="仿宋_GB2312"/>
          <w:bCs/>
          <w:snapToGrid w:val="0"/>
          <w:color w:val="000000"/>
          <w:sz w:val="32"/>
          <w:szCs w:val="32"/>
        </w:rPr>
        <w:t>本</w:t>
      </w: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项目总投资250000万元，其中环保投资</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160</w:t>
      </w: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0万元，占总投资的</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0.64</w:t>
      </w: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snapToGrid w:val="0"/>
          <w:color w:val="000000"/>
          <w:sz w:val="32"/>
          <w:szCs w:val="32"/>
        </w:rPr>
        <w:t>。</w:t>
      </w:r>
    </w:p>
    <w:p>
      <w:pPr>
        <w:pageBreakBefore w:val="0"/>
        <w:widowControl w:val="0"/>
        <w:kinsoku/>
        <w:wordWrap/>
        <w:overflowPunct/>
        <w:topLinePunct w:val="0"/>
        <w:autoSpaceDE w:val="0"/>
        <w:bidi w:val="0"/>
        <w:adjustRightInd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你公司应全面落实《</w:t>
      </w: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江西宜源新能源科技有限公司磷酸铁锂材料及电池回收综合利用项目</w:t>
      </w:r>
      <w:r>
        <w:rPr>
          <w:rFonts w:hint="eastAsia" w:ascii="仿宋_GB2312" w:eastAsia="仿宋_GB2312"/>
          <w:color w:val="000000" w:themeColor="text1"/>
          <w:sz w:val="32"/>
          <w:szCs w:val="32"/>
          <w14:textFill>
            <w14:solidFill>
              <w14:schemeClr w14:val="tx1"/>
            </w14:solidFill>
          </w14:textFill>
        </w:rPr>
        <w:t>环境影响报告书》（以下简称《报告书》）和《</w:t>
      </w:r>
      <w:r>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t>江西宜源新能源科技有限公司磷酸铁锂材料及电池回收综合利用项目</w:t>
      </w:r>
      <w:r>
        <w:rPr>
          <w:rFonts w:hint="eastAsia" w:ascii="仿宋_GB2312" w:eastAsia="仿宋_GB2312"/>
          <w:color w:val="000000" w:themeColor="text1"/>
          <w:sz w:val="32"/>
          <w:szCs w:val="32"/>
          <w14:textFill>
            <w14:solidFill>
              <w14:schemeClr w14:val="tx1"/>
            </w14:solidFill>
          </w14:textFill>
        </w:rPr>
        <w:t>环境影响报告书评估意见》（以下简称《评估意见》）提出的各项污染防治措施和环境风险防范措施，缓解和控制不利环境影响。我局原则同意《报告书》中所列工程性质、地点、规模、生产工艺和环境保护措施。</w:t>
      </w:r>
    </w:p>
    <w:p>
      <w:pPr>
        <w:pageBreakBefore w:val="0"/>
        <w:widowControl w:val="0"/>
        <w:numPr>
          <w:ilvl w:val="0"/>
          <w:numId w:val="1"/>
        </w:numPr>
        <w:kinsoku/>
        <w:wordWrap/>
        <w:overflowPunct/>
        <w:topLinePunct w:val="0"/>
        <w:autoSpaceDE w:val="0"/>
        <w:bidi w:val="0"/>
        <w:snapToGrid w:val="0"/>
        <w:spacing w:line="360" w:lineRule="auto"/>
        <w:ind w:firstLine="640" w:firstLineChars="200"/>
        <w:jc w:val="both"/>
        <w:textAlignment w:val="auto"/>
        <w:outlineLvl w:val="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污染防治措施及要求</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项目在工程设计、建设和生产过程中必须认真落实《报告书》和《评估意见》提出的各项环保要求，并重点做好以下几项工作：</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（一）严格落实水污染防治措施。</w:t>
      </w:r>
      <w:r>
        <w:rPr>
          <w:rFonts w:hint="eastAsia" w:ascii="仿宋_GB2312" w:eastAsia="仿宋_GB2312"/>
          <w:color w:val="000000" w:themeColor="text1"/>
          <w:sz w:val="32"/>
          <w:szCs w:val="32"/>
          <w14:textFill>
            <w14:solidFill>
              <w14:schemeClr w14:val="tx1"/>
            </w14:solidFill>
          </w14:textFill>
        </w:rPr>
        <w:t>根据“雨污分流、清污分流、分质处理、一水多用”的原则建设给排水及污水处理系统，场内外污水管网应做好管网名称、污水种类、流向标识。进一步提高水的回用率，减少新鲜水用量和废水产生量。</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项目废水主要为</w:t>
      </w:r>
      <w:r>
        <w:rPr>
          <w:rFonts w:hint="default" w:ascii="Times New Roman" w:hAnsi="Times New Roman" w:eastAsia="仿宋_GB2312" w:cs="Times New Roman"/>
          <w:bCs/>
          <w:color w:val="auto"/>
          <w:sz w:val="32"/>
          <w:szCs w:val="32"/>
        </w:rPr>
        <w:t>工艺废水、电池拆解破碎车间废气处理废水、硫酸雾及氨气废气治理设施废水、纯水制备废水、化验室废水以及初期雨水</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eastAsia="zh-CN"/>
        </w:rPr>
        <w:t>生活污水等</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hint="eastAsia" w:ascii="仿宋_GB2312" w:hAnsi="仿宋_GB2312" w:eastAsia="仿宋_GB2312" w:cs="仿宋_GB2312"/>
          <w:bCs/>
          <w:color w:val="auto"/>
          <w:sz w:val="32"/>
          <w:szCs w:val="32"/>
          <w:lang w:eastAsia="zh-CN"/>
        </w:rPr>
      </w:pPr>
      <w:r>
        <w:rPr>
          <w:rFonts w:hint="eastAsia" w:ascii="Times New Roman" w:hAnsi="Times New Roman" w:eastAsia="仿宋_GB2312" w:cs="Times New Roman"/>
          <w:bCs/>
          <w:color w:val="auto"/>
          <w:sz w:val="32"/>
          <w:szCs w:val="32"/>
          <w:lang w:eastAsia="zh-CN"/>
        </w:rPr>
        <w:t>生产工艺废水</w:t>
      </w:r>
      <w:r>
        <w:rPr>
          <w:rFonts w:hint="default" w:ascii="Times New Roman" w:hAnsi="Times New Roman" w:eastAsia="仿宋_GB2312" w:cs="Times New Roman"/>
          <w:bCs/>
          <w:color w:val="auto"/>
          <w:sz w:val="32"/>
          <w:szCs w:val="32"/>
        </w:rPr>
        <w:t>在硫酸铵生产车间</w:t>
      </w:r>
      <w:r>
        <w:rPr>
          <w:rFonts w:hint="eastAsia" w:ascii="Times New Roman" w:hAnsi="Times New Roman" w:eastAsia="仿宋_GB2312" w:cs="Times New Roman"/>
          <w:bCs/>
          <w:color w:val="auto"/>
          <w:sz w:val="32"/>
          <w:szCs w:val="32"/>
          <w:lang w:eastAsia="zh-CN"/>
        </w:rPr>
        <w:t>经除磷、除铝等工序后形成副产品硫酸铵，渗透液经过三级RO产水回用于生产，不外排</w:t>
      </w:r>
      <w:r>
        <w:rPr>
          <w:rFonts w:hint="eastAsia" w:ascii="仿宋_GB2312" w:hAnsi="仿宋_GB2312" w:eastAsia="仿宋_GB2312" w:cs="仿宋_GB2312"/>
          <w:snapToGrid w:val="0"/>
          <w:color w:val="auto"/>
          <w:sz w:val="32"/>
          <w:szCs w:val="32"/>
        </w:rPr>
        <w:t>。</w:t>
      </w:r>
      <w:r>
        <w:rPr>
          <w:rFonts w:hint="eastAsia" w:ascii="仿宋_GB2312" w:hAnsi="仿宋_GB2312" w:eastAsia="仿宋_GB2312" w:cs="仿宋_GB2312"/>
          <w:bCs/>
          <w:color w:val="000000"/>
          <w:sz w:val="32"/>
          <w:szCs w:val="32"/>
        </w:rPr>
        <w:t>电池拆解破碎车间废气处理废水</w:t>
      </w:r>
      <w:r>
        <w:rPr>
          <w:rFonts w:hint="eastAsia" w:ascii="仿宋_GB2312" w:hAnsi="仿宋_GB2312" w:eastAsia="仿宋_GB2312" w:cs="仿宋_GB2312"/>
          <w:bCs/>
          <w:color w:val="auto"/>
          <w:sz w:val="32"/>
          <w:szCs w:val="32"/>
          <w:lang w:eastAsia="zh-CN"/>
        </w:rPr>
        <w:t>经收集后在</w:t>
      </w:r>
      <w:r>
        <w:rPr>
          <w:rFonts w:hint="eastAsia" w:ascii="仿宋_GB2312" w:hAnsi="仿宋_GB2312" w:eastAsia="仿宋_GB2312" w:cs="仿宋_GB2312"/>
          <w:bCs/>
          <w:color w:val="auto"/>
          <w:sz w:val="32"/>
          <w:szCs w:val="32"/>
        </w:rPr>
        <w:t>车间沉淀池（位于电池拆解破碎车间</w:t>
      </w:r>
      <w:r>
        <w:rPr>
          <w:rFonts w:hint="eastAsia" w:ascii="仿宋_GB2312" w:hAnsi="仿宋_GB2312" w:eastAsia="仿宋_GB2312" w:cs="仿宋_GB2312"/>
          <w:bCs/>
          <w:color w:val="auto"/>
          <w:sz w:val="32"/>
          <w:szCs w:val="32"/>
          <w:lang w:val="en-US" w:eastAsia="zh-CN"/>
        </w:rPr>
        <w:t>构筑物</w:t>
      </w:r>
      <w:r>
        <w:rPr>
          <w:rFonts w:hint="eastAsia" w:ascii="仿宋_GB2312" w:hAnsi="仿宋_GB2312" w:eastAsia="仿宋_GB2312" w:cs="仿宋_GB2312"/>
          <w:bCs/>
          <w:color w:val="auto"/>
          <w:sz w:val="32"/>
          <w:szCs w:val="32"/>
        </w:rPr>
        <w:t>周边）</w:t>
      </w:r>
      <w:r>
        <w:rPr>
          <w:rFonts w:hint="eastAsia" w:ascii="仿宋_GB2312" w:hAnsi="仿宋_GB2312" w:eastAsia="仿宋_GB2312" w:cs="仿宋_GB2312"/>
          <w:bCs/>
          <w:color w:val="auto"/>
          <w:sz w:val="32"/>
          <w:szCs w:val="32"/>
          <w:lang w:val="en-US" w:eastAsia="zh-CN"/>
        </w:rPr>
        <w:t>进行预处理</w:t>
      </w:r>
      <w:r>
        <w:rPr>
          <w:rFonts w:hint="eastAsia" w:ascii="仿宋_GB2312" w:hAnsi="仿宋_GB2312" w:eastAsia="仿宋_GB2312" w:cs="仿宋_GB2312"/>
          <w:bCs/>
          <w:color w:val="auto"/>
          <w:sz w:val="32"/>
          <w:szCs w:val="32"/>
        </w:rPr>
        <w:t>后</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sz w:val="32"/>
          <w:szCs w:val="32"/>
          <w:lang w:val="en-US" w:eastAsia="zh-CN"/>
        </w:rPr>
        <w:t>经车间沉淀池处理后，总镍、总铊车间排口应满足</w:t>
      </w:r>
      <w:r>
        <w:rPr>
          <w:rFonts w:hint="eastAsia" w:ascii="仿宋_GB2312" w:hAnsi="仿宋_GB2312" w:eastAsia="仿宋_GB2312" w:cs="仿宋_GB2312"/>
          <w:b w:val="0"/>
          <w:bCs/>
          <w:color w:val="auto"/>
          <w:kern w:val="2"/>
          <w:sz w:val="32"/>
          <w:szCs w:val="32"/>
        </w:rPr>
        <w:t>《无机化学工业污染物排放标准》（GB31573-2015）表1</w:t>
      </w:r>
      <w:r>
        <w:rPr>
          <w:rFonts w:hint="eastAsia" w:ascii="仿宋_GB2312" w:hAnsi="仿宋_GB2312" w:eastAsia="仿宋_GB2312" w:cs="仿宋_GB2312"/>
          <w:b w:val="0"/>
          <w:bCs/>
          <w:color w:val="auto"/>
          <w:kern w:val="2"/>
          <w:sz w:val="32"/>
          <w:szCs w:val="32"/>
          <w:lang w:val="en-US" w:eastAsia="zh-CN"/>
        </w:rPr>
        <w:t>标准限值后</w:t>
      </w:r>
      <w:r>
        <w:rPr>
          <w:rFonts w:hint="eastAsia" w:ascii="仿宋_GB2312" w:hAnsi="仿宋_GB2312" w:eastAsia="仿宋_GB2312" w:cs="仿宋_GB2312"/>
          <w:bCs/>
          <w:color w:val="auto"/>
          <w:sz w:val="32"/>
          <w:szCs w:val="32"/>
          <w:lang w:eastAsia="zh-CN"/>
        </w:rPr>
        <w:t>，进入厂区污水处理站处理。</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Cs/>
          <w:color w:val="auto"/>
          <w:sz w:val="32"/>
          <w:szCs w:val="32"/>
        </w:rPr>
        <w:t>初期雨水经收集</w:t>
      </w:r>
      <w:r>
        <w:rPr>
          <w:rFonts w:hint="eastAsia" w:ascii="仿宋_GB2312" w:hAnsi="仿宋_GB2312" w:eastAsia="仿宋_GB2312" w:cs="仿宋_GB2312"/>
          <w:bCs/>
          <w:color w:val="auto"/>
          <w:sz w:val="32"/>
          <w:szCs w:val="32"/>
          <w:lang w:eastAsia="zh-CN"/>
        </w:rPr>
        <w:t>后</w:t>
      </w:r>
      <w:r>
        <w:rPr>
          <w:rFonts w:hint="eastAsia" w:ascii="仿宋_GB2312" w:hAnsi="仿宋_GB2312" w:eastAsia="仿宋_GB2312" w:cs="仿宋_GB2312"/>
          <w:color w:val="auto"/>
          <w:sz w:val="32"/>
          <w:szCs w:val="32"/>
          <w:lang w:val="en-US" w:eastAsia="zh-CN"/>
        </w:rPr>
        <w:t>进入初期雨水池经沉淀预处理，</w:t>
      </w:r>
      <w:r>
        <w:rPr>
          <w:rFonts w:hint="default" w:ascii="Times New Roman" w:hAnsi="Times New Roman" w:eastAsia="仿宋_GB2312" w:cs="Times New Roman"/>
          <w:bCs/>
          <w:color w:val="auto"/>
          <w:sz w:val="32"/>
          <w:szCs w:val="32"/>
        </w:rPr>
        <w:t>生活污水</w:t>
      </w:r>
      <w:r>
        <w:rPr>
          <w:rFonts w:hint="eastAsia" w:ascii="Times New Roman" w:hAnsi="Times New Roman" w:eastAsia="仿宋_GB2312" w:cs="Times New Roman"/>
          <w:bCs/>
          <w:color w:val="auto"/>
          <w:sz w:val="32"/>
          <w:szCs w:val="32"/>
          <w:lang w:eastAsia="zh-CN"/>
        </w:rPr>
        <w:t>经隔油池</w:t>
      </w:r>
      <w:r>
        <w:rPr>
          <w:rFonts w:hint="eastAsia" w:ascii="Times New Roman" w:hAnsi="Times New Roman" w:eastAsia="仿宋_GB2312" w:cs="Times New Roman"/>
          <w:bCs/>
          <w:color w:val="auto"/>
          <w:sz w:val="32"/>
          <w:szCs w:val="32"/>
          <w:lang w:val="en-US" w:eastAsia="zh-CN"/>
        </w:rPr>
        <w:t>+化粪池预处理</w:t>
      </w:r>
      <w:r>
        <w:rPr>
          <w:rFonts w:hint="default"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初期雨水、</w:t>
      </w:r>
      <w:r>
        <w:rPr>
          <w:rFonts w:hint="default" w:ascii="Times New Roman" w:hAnsi="Times New Roman" w:eastAsia="仿宋_GB2312" w:cs="Times New Roman"/>
          <w:bCs/>
          <w:color w:val="auto"/>
          <w:sz w:val="32"/>
          <w:szCs w:val="32"/>
        </w:rPr>
        <w:t>硫酸雾及氨气废气治理设施废水</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纯水制备废水</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化验室废水</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生活污水</w:t>
      </w:r>
      <w:r>
        <w:rPr>
          <w:rFonts w:hint="eastAsia" w:ascii="Times New Roman" w:hAnsi="Times New Roman" w:eastAsia="仿宋_GB2312" w:cs="Times New Roman"/>
          <w:bCs/>
          <w:color w:val="auto"/>
          <w:sz w:val="32"/>
          <w:szCs w:val="32"/>
          <w:lang w:eastAsia="zh-CN"/>
        </w:rPr>
        <w:t>经收集后</w:t>
      </w:r>
      <w:r>
        <w:rPr>
          <w:rFonts w:hint="default" w:ascii="Times New Roman" w:hAnsi="Times New Roman" w:eastAsia="仿宋_GB2312" w:cs="Times New Roman"/>
          <w:bCs/>
          <w:color w:val="auto"/>
          <w:sz w:val="32"/>
          <w:szCs w:val="32"/>
        </w:rPr>
        <w:t>一起进入</w:t>
      </w:r>
      <w:r>
        <w:rPr>
          <w:rFonts w:hint="eastAsia" w:ascii="Times New Roman" w:hAnsi="Times New Roman" w:eastAsia="仿宋_GB2312" w:cs="Times New Roman"/>
          <w:bCs/>
          <w:color w:val="auto"/>
          <w:sz w:val="32"/>
          <w:szCs w:val="32"/>
          <w:lang w:val="en-US" w:eastAsia="zh-CN"/>
        </w:rPr>
        <w:t>西</w:t>
      </w:r>
      <w:r>
        <w:rPr>
          <w:rFonts w:hint="default" w:ascii="Times New Roman" w:hAnsi="Times New Roman" w:eastAsia="仿宋_GB2312" w:cs="Times New Roman"/>
          <w:bCs/>
          <w:color w:val="auto"/>
          <w:sz w:val="32"/>
          <w:szCs w:val="32"/>
        </w:rPr>
        <w:t>厂区污水处理站经</w:t>
      </w:r>
      <w:r>
        <w:rPr>
          <w:rFonts w:hint="default" w:ascii="Times New Roman" w:hAnsi="Times New Roman" w:eastAsia="仿宋_GB2312" w:cs="Times New Roman"/>
          <w:bCs/>
          <w:color w:val="auto"/>
          <w:sz w:val="32"/>
          <w:szCs w:val="32"/>
          <w:lang w:val="en-US" w:eastAsia="zh-CN"/>
        </w:rPr>
        <w:t>调节池+</w:t>
      </w:r>
      <w:r>
        <w:rPr>
          <w:rFonts w:hint="eastAsia" w:ascii="Times New Roman" w:hAnsi="Times New Roman" w:eastAsia="仿宋_GB2312" w:cs="Times New Roman"/>
          <w:bCs/>
          <w:color w:val="auto"/>
          <w:sz w:val="32"/>
          <w:szCs w:val="32"/>
          <w:lang w:val="en-US" w:eastAsia="zh-CN"/>
        </w:rPr>
        <w:t>混合沉淀池</w:t>
      </w:r>
      <w:r>
        <w:rPr>
          <w:rFonts w:hint="default" w:ascii="Times New Roman" w:hAnsi="Times New Roman" w:eastAsia="仿宋_GB2312" w:cs="Times New Roman"/>
          <w:bCs/>
          <w:color w:val="auto"/>
          <w:sz w:val="32"/>
          <w:szCs w:val="32"/>
        </w:rPr>
        <w:t>处理，</w:t>
      </w:r>
      <w:r>
        <w:rPr>
          <w:rFonts w:hint="eastAsia" w:ascii="仿宋_GB2312" w:hAnsi="仿宋_GB2312" w:eastAsia="仿宋_GB2312" w:cs="仿宋_GB2312"/>
          <w:bCs/>
          <w:color w:val="000000"/>
          <w:sz w:val="32"/>
          <w:szCs w:val="32"/>
          <w:lang w:val="en-US" w:eastAsia="zh-CN"/>
        </w:rPr>
        <w:t>综合废水</w:t>
      </w:r>
      <w:r>
        <w:rPr>
          <w:rFonts w:hint="eastAsia" w:ascii="仿宋_GB2312" w:hAnsi="仿宋_GB2312" w:eastAsia="仿宋_GB2312" w:cs="仿宋_GB2312"/>
          <w:bCs/>
          <w:color w:val="000000"/>
          <w:sz w:val="32"/>
          <w:szCs w:val="32"/>
        </w:rPr>
        <w:t>主要污染物</w:t>
      </w:r>
      <w:r>
        <w:rPr>
          <w:rFonts w:hint="eastAsia" w:ascii="仿宋_GB2312" w:hAnsi="仿宋_GB2312" w:eastAsia="仿宋_GB2312" w:cs="仿宋_GB2312"/>
          <w:bCs/>
          <w:color w:val="000000"/>
          <w:sz w:val="32"/>
          <w:szCs w:val="32"/>
          <w:lang w:val="en-US" w:eastAsia="zh-CN"/>
        </w:rPr>
        <w:t>pH、CODcr</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BOD</w:t>
      </w:r>
      <w:r>
        <w:rPr>
          <w:rFonts w:hint="eastAsia" w:ascii="仿宋_GB2312" w:hAnsi="仿宋_GB2312" w:eastAsia="仿宋_GB2312" w:cs="仿宋_GB2312"/>
          <w:bCs/>
          <w:color w:val="000000"/>
          <w:sz w:val="32"/>
          <w:szCs w:val="32"/>
          <w:vertAlign w:val="subscript"/>
          <w:lang w:val="en-US" w:eastAsia="zh-CN"/>
        </w:rPr>
        <w:t>5</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SS、</w:t>
      </w:r>
      <w:r>
        <w:rPr>
          <w:rFonts w:hint="eastAsia" w:ascii="仿宋_GB2312" w:hAnsi="仿宋_GB2312" w:eastAsia="仿宋_GB2312" w:cs="仿宋_GB2312"/>
          <w:bCs/>
          <w:color w:val="000000"/>
          <w:sz w:val="32"/>
          <w:szCs w:val="32"/>
        </w:rPr>
        <w:t>氨氮</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总磷</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总氮</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氟化物、</w:t>
      </w:r>
      <w:r>
        <w:rPr>
          <w:rFonts w:hint="eastAsia" w:ascii="仿宋_GB2312" w:hAnsi="仿宋_GB2312" w:eastAsia="仿宋_GB2312" w:cs="仿宋_GB2312"/>
          <w:bCs/>
          <w:color w:val="000000"/>
          <w:sz w:val="32"/>
          <w:szCs w:val="32"/>
          <w:lang w:val="en-US" w:eastAsia="zh-CN"/>
        </w:rPr>
        <w:t>动植物油</w:t>
      </w:r>
      <w:r>
        <w:rPr>
          <w:rFonts w:hint="eastAsia" w:ascii="仿宋_GB2312" w:hAnsi="仿宋_GB2312" w:eastAsia="仿宋_GB2312" w:cs="仿宋_GB2312"/>
          <w:bCs/>
          <w:color w:val="000000"/>
          <w:sz w:val="32"/>
          <w:szCs w:val="32"/>
        </w:rPr>
        <w:t>、硫酸盐</w:t>
      </w:r>
      <w:r>
        <w:rPr>
          <w:rFonts w:hint="eastAsia" w:ascii="仿宋_GB2312" w:hAnsi="仿宋_GB2312" w:eastAsia="仿宋_GB2312" w:cs="仿宋_GB2312"/>
          <w:bCs/>
          <w:color w:val="000000"/>
          <w:sz w:val="32"/>
          <w:szCs w:val="32"/>
          <w:lang w:val="en-US" w:eastAsia="zh-CN"/>
        </w:rPr>
        <w:t>、总镍、总钴、总锰、总铊</w:t>
      </w:r>
      <w:r>
        <w:rPr>
          <w:rFonts w:hint="eastAsia" w:ascii="仿宋_GB2312" w:hAnsi="仿宋_GB2312" w:eastAsia="仿宋_GB2312" w:cs="仿宋_GB2312"/>
          <w:bCs/>
          <w:color w:val="000000"/>
          <w:sz w:val="32"/>
          <w:szCs w:val="32"/>
        </w:rPr>
        <w:t>等</w:t>
      </w:r>
      <w:r>
        <w:rPr>
          <w:rFonts w:hint="eastAsia" w:ascii="仿宋_GB2312" w:hAnsi="仿宋_GB2312" w:eastAsia="仿宋_GB2312" w:cs="仿宋_GB2312"/>
          <w:bCs/>
          <w:color w:val="auto"/>
          <w:kern w:val="2"/>
          <w:sz w:val="32"/>
          <w:szCs w:val="32"/>
          <w:lang w:val="en-US" w:eastAsia="zh-CN" w:bidi="ar-SA"/>
        </w:rPr>
        <w:t>执行宜春经济技术开发区污水处理厂接管标准、《无机化学工业污染物排放标准》（GB31573-2015）表1间接排放限值从严值（其中：总镍、总铊车间排口应满足《无机化学工业污染物排放标准》（GB31573-2015）表1标准限值要求。</w:t>
      </w:r>
      <w:r>
        <w:rPr>
          <w:rFonts w:hint="default" w:ascii="仿宋_GB2312" w:hAnsi="仿宋_GB2312" w:eastAsia="仿宋_GB2312" w:cs="仿宋_GB2312"/>
          <w:bCs/>
          <w:color w:val="auto"/>
          <w:kern w:val="2"/>
          <w:sz w:val="32"/>
          <w:szCs w:val="32"/>
          <w:lang w:val="en-US" w:eastAsia="zh-CN" w:bidi="ar-SA"/>
        </w:rPr>
        <w:t>宜春经济技术开发区</w:t>
      </w:r>
      <w:r>
        <w:rPr>
          <w:rFonts w:hint="eastAsia" w:ascii="仿宋_GB2312" w:hAnsi="仿宋_GB2312" w:eastAsia="仿宋_GB2312" w:cs="仿宋_GB2312"/>
          <w:bCs/>
          <w:color w:val="auto"/>
          <w:kern w:val="2"/>
          <w:sz w:val="32"/>
          <w:szCs w:val="32"/>
          <w:lang w:val="en-US" w:eastAsia="zh-CN" w:bidi="ar-SA"/>
        </w:rPr>
        <w:t>污水处理厂</w:t>
      </w:r>
      <w:r>
        <w:rPr>
          <w:rFonts w:hint="default" w:ascii="仿宋_GB2312" w:hAnsi="仿宋_GB2312" w:eastAsia="仿宋_GB2312" w:cs="仿宋_GB2312"/>
          <w:bCs/>
          <w:color w:val="auto"/>
          <w:kern w:val="2"/>
          <w:sz w:val="32"/>
          <w:szCs w:val="32"/>
          <w:lang w:val="en-US" w:eastAsia="zh-CN" w:bidi="ar-SA"/>
        </w:rPr>
        <w:t>尾水排放执行《城镇污水处理厂污染物排放标准》（GB18918—2002）中一级A标准入</w:t>
      </w:r>
      <w:r>
        <w:rPr>
          <w:rFonts w:hint="eastAsia" w:ascii="仿宋_GB2312" w:hAnsi="仿宋_GB2312" w:eastAsia="仿宋_GB2312" w:cs="仿宋_GB2312"/>
          <w:bCs/>
          <w:color w:val="auto"/>
          <w:kern w:val="2"/>
          <w:sz w:val="32"/>
          <w:szCs w:val="32"/>
          <w:lang w:val="en-US" w:eastAsia="zh-CN" w:bidi="ar-SA"/>
        </w:rPr>
        <w:t>渥江后入袁河</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p>
    <w:p>
      <w:pPr>
        <w:pageBreakBefore w:val="0"/>
        <w:widowControl w:val="0"/>
        <w:kinsoku/>
        <w:wordWrap/>
        <w:overflowPunct/>
        <w:topLinePunct w:val="0"/>
        <w:autoSpaceDE w:val="0"/>
        <w:bidi w:val="0"/>
        <w:snapToGrid w:val="0"/>
        <w:spacing w:line="360" w:lineRule="auto"/>
        <w:ind w:firstLine="640" w:firstLineChars="200"/>
        <w:jc w:val="both"/>
        <w:textAlignment w:val="auto"/>
      </w:pPr>
      <w:r>
        <w:rPr>
          <w:rFonts w:hint="eastAsia" w:ascii="仿宋_GB2312" w:hAnsi="仿宋_GB2312" w:eastAsia="仿宋_GB2312" w:cs="仿宋_GB2312"/>
          <w:bCs/>
          <w:color w:val="auto"/>
          <w:kern w:val="2"/>
          <w:sz w:val="32"/>
          <w:szCs w:val="32"/>
          <w:lang w:val="en-US" w:eastAsia="zh-CN" w:bidi="ar-SA"/>
        </w:rPr>
        <w:t>本项目厂区排放口全厂主要污染物排放量分别为COD≤4.7595t/a、NH</w:t>
      </w:r>
      <w:r>
        <w:rPr>
          <w:rFonts w:hint="eastAsia" w:ascii="仿宋_GB2312" w:hAnsi="仿宋_GB2312" w:eastAsia="仿宋_GB2312" w:cs="仿宋_GB2312"/>
          <w:bCs/>
          <w:color w:val="auto"/>
          <w:kern w:val="2"/>
          <w:sz w:val="32"/>
          <w:szCs w:val="32"/>
          <w:vertAlign w:val="subscript"/>
          <w:lang w:val="en-US" w:eastAsia="zh-CN" w:bidi="ar-SA"/>
        </w:rPr>
        <w:t>3</w:t>
      </w:r>
      <w:r>
        <w:rPr>
          <w:rFonts w:hint="eastAsia" w:ascii="仿宋_GB2312" w:hAnsi="仿宋_GB2312" w:eastAsia="仿宋_GB2312" w:cs="仿宋_GB2312"/>
          <w:bCs/>
          <w:color w:val="auto"/>
          <w:kern w:val="2"/>
          <w:sz w:val="32"/>
          <w:szCs w:val="32"/>
          <w:lang w:val="en-US" w:eastAsia="zh-CN" w:bidi="ar-SA"/>
        </w:rPr>
        <w:t>-N≤0.4702t/a</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p>
    <w:p>
      <w:pPr>
        <w:pageBreakBefore w:val="0"/>
        <w:widowControl w:val="0"/>
        <w:numPr>
          <w:ilvl w:val="0"/>
          <w:numId w:val="0"/>
        </w:numPr>
        <w:kinsoku/>
        <w:wordWrap/>
        <w:overflowPunct/>
        <w:topLinePunct w:val="0"/>
        <w:bidi w:val="0"/>
        <w:spacing w:line="360" w:lineRule="auto"/>
        <w:ind w:firstLine="640" w:firstLineChars="200"/>
        <w:jc w:val="both"/>
        <w:textAlignment w:val="auto"/>
        <w:rPr>
          <w:rFonts w:hint="default" w:ascii="仿宋_GB2312" w:hAnsi="仿宋_GB2312" w:eastAsia="仿宋_GB2312" w:cs="仿宋_GB2312"/>
          <w:bCs/>
          <w:color w:val="auto"/>
          <w:kern w:val="2"/>
          <w:sz w:val="32"/>
          <w:szCs w:val="32"/>
          <w:lang w:val="en-US" w:eastAsia="zh-CN" w:bidi="ar-SA"/>
        </w:rPr>
      </w:pPr>
      <w:r>
        <w:rPr>
          <w:rFonts w:ascii="楷体_GB2312" w:hAnsi="楷体_GB2312" w:eastAsia="楷体_GB2312" w:cs="楷体_GB2312"/>
          <w:color w:val="000000" w:themeColor="text1"/>
          <w:sz w:val="32"/>
          <w:szCs w:val="32"/>
          <w14:textFill>
            <w14:solidFill>
              <w14:schemeClr w14:val="tx1"/>
            </w14:solidFill>
          </w14:textFill>
        </w:rPr>
        <w:t>（二）严格落实大气污染防治措施</w:t>
      </w:r>
      <w:r>
        <w:rPr>
          <w:rFonts w:ascii="仿宋_GB2312" w:hAnsi="Calibri" w:eastAsia="仿宋_GB2312"/>
          <w:color w:val="000000" w:themeColor="text1"/>
          <w:sz w:val="32"/>
          <w:szCs w:val="32"/>
          <w14:textFill>
            <w14:solidFill>
              <w14:schemeClr w14:val="tx1"/>
            </w14:solidFill>
          </w14:textFill>
        </w:rPr>
        <w:t>。根据废气种类及性质特点，选择成熟可靠的处理技术，确保处理设施的处理能力、效率满足需要，各项废气长期稳定达标排放。</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项目有组织废气主要为</w:t>
      </w:r>
      <w:r>
        <w:rPr>
          <w:rFonts w:hint="default" w:ascii="仿宋_GB2312" w:hAnsi="仿宋_GB2312" w:eastAsia="仿宋_GB2312" w:cs="仿宋_GB2312"/>
          <w:bCs/>
          <w:color w:val="auto"/>
          <w:kern w:val="2"/>
          <w:sz w:val="32"/>
          <w:szCs w:val="32"/>
          <w:lang w:val="en-US" w:eastAsia="zh-CN" w:bidi="ar-SA"/>
        </w:rPr>
        <w:t>粗破（一、二、三级破碎）废气</w:t>
      </w:r>
      <w:r>
        <w:rPr>
          <w:rFonts w:hint="eastAsia" w:ascii="仿宋_GB2312" w:hAnsi="仿宋_GB2312" w:eastAsia="仿宋_GB2312" w:cs="仿宋_GB2312"/>
          <w:bCs/>
          <w:color w:val="auto"/>
          <w:kern w:val="2"/>
          <w:sz w:val="32"/>
          <w:szCs w:val="32"/>
          <w:lang w:val="en-US" w:eastAsia="zh-CN" w:bidi="ar-SA"/>
        </w:rPr>
        <w:t>、</w:t>
      </w:r>
      <w:r>
        <w:rPr>
          <w:rFonts w:hint="default" w:ascii="仿宋_GB2312" w:hAnsi="仿宋_GB2312" w:eastAsia="仿宋_GB2312" w:cs="仿宋_GB2312"/>
          <w:bCs/>
          <w:color w:val="auto"/>
          <w:kern w:val="2"/>
          <w:sz w:val="32"/>
          <w:szCs w:val="32"/>
          <w:lang w:val="en-US" w:eastAsia="zh-CN" w:bidi="ar-SA"/>
        </w:rPr>
        <w:t>低温挥发系统废气</w:t>
      </w:r>
      <w:r>
        <w:rPr>
          <w:rFonts w:hint="eastAsia" w:ascii="仿宋_GB2312" w:hAnsi="仿宋_GB2312" w:eastAsia="仿宋_GB2312" w:cs="仿宋_GB2312"/>
          <w:bCs/>
          <w:color w:val="auto"/>
          <w:kern w:val="2"/>
          <w:sz w:val="32"/>
          <w:szCs w:val="32"/>
          <w:lang w:val="en-US" w:eastAsia="zh-CN" w:bidi="ar-SA"/>
        </w:rPr>
        <w:t>、</w:t>
      </w:r>
      <w:r>
        <w:rPr>
          <w:rFonts w:hint="default" w:ascii="仿宋_GB2312" w:hAnsi="仿宋_GB2312" w:eastAsia="仿宋_GB2312" w:cs="仿宋_GB2312"/>
          <w:bCs/>
          <w:color w:val="auto"/>
          <w:kern w:val="2"/>
          <w:sz w:val="32"/>
          <w:szCs w:val="32"/>
          <w:lang w:val="en-US" w:eastAsia="zh-CN" w:bidi="ar-SA"/>
        </w:rPr>
        <w:t>炭化废气</w:t>
      </w:r>
      <w:r>
        <w:rPr>
          <w:rFonts w:hint="eastAsia" w:ascii="仿宋_GB2312" w:hAnsi="仿宋_GB2312" w:eastAsia="仿宋_GB2312" w:cs="仿宋_GB2312"/>
          <w:bCs/>
          <w:color w:val="auto"/>
          <w:kern w:val="2"/>
          <w:sz w:val="32"/>
          <w:szCs w:val="32"/>
          <w:lang w:val="en-US" w:eastAsia="zh-CN" w:bidi="ar-SA"/>
        </w:rPr>
        <w:t>、</w:t>
      </w:r>
      <w:r>
        <w:rPr>
          <w:rFonts w:hint="default" w:ascii="仿宋_GB2312" w:hAnsi="仿宋_GB2312" w:eastAsia="仿宋_GB2312" w:cs="仿宋_GB2312"/>
          <w:bCs/>
          <w:color w:val="auto"/>
          <w:kern w:val="2"/>
          <w:sz w:val="32"/>
          <w:szCs w:val="32"/>
          <w:lang w:val="en-US" w:eastAsia="zh-CN" w:bidi="ar-SA"/>
        </w:rPr>
        <w:t>炭化工序天然气燃烧废气</w:t>
      </w:r>
      <w:r>
        <w:rPr>
          <w:rFonts w:hint="eastAsia" w:ascii="仿宋_GB2312" w:hAnsi="仿宋_GB2312" w:eastAsia="仿宋_GB2312" w:cs="仿宋_GB2312"/>
          <w:bCs/>
          <w:color w:val="auto"/>
          <w:kern w:val="2"/>
          <w:sz w:val="32"/>
          <w:szCs w:val="32"/>
          <w:lang w:val="en-US" w:eastAsia="zh-CN" w:bidi="ar-SA"/>
        </w:rPr>
        <w:t>、</w:t>
      </w:r>
      <w:r>
        <w:rPr>
          <w:rFonts w:hint="default" w:ascii="仿宋_GB2312" w:hAnsi="仿宋_GB2312" w:eastAsia="仿宋_GB2312" w:cs="仿宋_GB2312"/>
          <w:bCs/>
          <w:color w:val="auto"/>
          <w:kern w:val="2"/>
          <w:sz w:val="32"/>
          <w:szCs w:val="32"/>
          <w:lang w:val="en-US" w:eastAsia="zh-CN" w:bidi="ar-SA"/>
        </w:rPr>
        <w:t>细破（四、五级破碎）</w:t>
      </w:r>
      <w:r>
        <w:rPr>
          <w:rFonts w:hint="eastAsia" w:ascii="仿宋_GB2312" w:hAnsi="仿宋_GB2312" w:eastAsia="仿宋_GB2312" w:cs="仿宋_GB2312"/>
          <w:bCs/>
          <w:color w:val="auto"/>
          <w:kern w:val="2"/>
          <w:sz w:val="32"/>
          <w:szCs w:val="32"/>
          <w:lang w:val="en-US" w:eastAsia="zh-CN" w:bidi="ar-SA"/>
        </w:rPr>
        <w:t>/</w:t>
      </w:r>
      <w:r>
        <w:rPr>
          <w:rFonts w:hint="default" w:ascii="仿宋_GB2312" w:hAnsi="仿宋_GB2312" w:eastAsia="仿宋_GB2312" w:cs="仿宋_GB2312"/>
          <w:bCs/>
          <w:color w:val="auto"/>
          <w:kern w:val="2"/>
          <w:sz w:val="32"/>
          <w:szCs w:val="32"/>
          <w:lang w:val="en-US" w:eastAsia="zh-CN" w:bidi="ar-SA"/>
        </w:rPr>
        <w:t>筛分废气</w:t>
      </w:r>
      <w:r>
        <w:rPr>
          <w:rFonts w:hint="eastAsia" w:ascii="仿宋_GB2312" w:hAnsi="仿宋_GB2312" w:eastAsia="仿宋_GB2312" w:cs="仿宋_GB2312"/>
          <w:bCs/>
          <w:color w:val="auto"/>
          <w:kern w:val="2"/>
          <w:sz w:val="32"/>
          <w:szCs w:val="32"/>
          <w:lang w:val="en-US" w:eastAsia="zh-CN" w:bidi="ar-SA"/>
        </w:rPr>
        <w:t>、</w:t>
      </w:r>
      <w:r>
        <w:rPr>
          <w:rFonts w:hint="default" w:ascii="仿宋_GB2312" w:hAnsi="仿宋_GB2312" w:eastAsia="仿宋_GB2312" w:cs="仿宋_GB2312"/>
          <w:bCs/>
          <w:color w:val="auto"/>
          <w:kern w:val="2"/>
          <w:sz w:val="32"/>
          <w:szCs w:val="32"/>
          <w:lang w:val="en-US" w:eastAsia="zh-CN" w:bidi="ar-SA"/>
        </w:rPr>
        <w:t>焚烧炉天然气燃烧废气</w:t>
      </w:r>
      <w:r>
        <w:rPr>
          <w:rFonts w:hint="eastAsia" w:ascii="仿宋_GB2312" w:hAnsi="仿宋_GB2312" w:eastAsia="仿宋_GB2312" w:cs="仿宋_GB2312"/>
          <w:bCs/>
          <w:color w:val="auto"/>
          <w:kern w:val="2"/>
          <w:sz w:val="32"/>
          <w:szCs w:val="32"/>
          <w:lang w:val="en-US" w:eastAsia="zh-CN" w:bidi="ar-SA"/>
        </w:rPr>
        <w:t>、废旧磷酸铁锂电池正负极粉料投料粉尘、氧化反应硫酸雾废气、脱碳废气、碳酸锂粉碎/包装废气、酸浸废气、沉淀反应尾气、烘干废气、天然气煅烧废气、磷酸铁粉碎/包装废气、硫酸雾、氧化反应尾气、置换反应尾气、干燥废气、磷酸铁锂系统投料粉尘、喷雾干燥废气、高温烧结工序废气、焚烧炉助燃用天然气燃烧废气、气流粉碎废气、真空包装废气、实验室废气</w:t>
      </w:r>
      <w:r>
        <w:rPr>
          <w:rFonts w:hint="default" w:ascii="仿宋_GB2312" w:hAnsi="仿宋_GB2312" w:eastAsia="仿宋_GB2312" w:cs="仿宋_GB2312"/>
          <w:bCs/>
          <w:color w:val="auto"/>
          <w:kern w:val="2"/>
          <w:sz w:val="32"/>
          <w:szCs w:val="32"/>
          <w:lang w:val="en-US" w:eastAsia="zh-CN" w:bidi="ar-SA"/>
        </w:rPr>
        <w:t>等</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p>
    <w:p>
      <w:pPr>
        <w:numPr>
          <w:ilvl w:val="0"/>
          <w:numId w:val="0"/>
        </w:numPr>
        <w:spacing w:line="360" w:lineRule="auto"/>
        <w:ind w:firstLine="640" w:firstLineChars="200"/>
        <w:jc w:val="both"/>
        <w:rPr>
          <w:rFonts w:hint="default" w:ascii="仿宋_GB2312" w:hAnsi="仿宋_GB2312" w:eastAsia="仿宋_GB2312" w:cs="仿宋_GB2312"/>
          <w:bCs/>
          <w:color w:val="auto"/>
          <w:kern w:val="2"/>
          <w:sz w:val="32"/>
          <w:szCs w:val="32"/>
          <w:lang w:val="en-US" w:eastAsia="zh-CN" w:bidi="ar-SA"/>
        </w:rPr>
      </w:pPr>
      <w:r>
        <w:rPr>
          <w:rFonts w:hint="default" w:ascii="仿宋_GB2312" w:hAnsi="仿宋_GB2312" w:eastAsia="仿宋_GB2312" w:cs="仿宋_GB2312"/>
          <w:bCs/>
          <w:color w:val="auto"/>
          <w:kern w:val="2"/>
          <w:sz w:val="32"/>
          <w:szCs w:val="32"/>
          <w:lang w:val="en-US" w:eastAsia="zh-CN" w:bidi="ar-SA"/>
        </w:rPr>
        <w:t>经处理后</w:t>
      </w:r>
      <w:r>
        <w:rPr>
          <w:rFonts w:hint="eastAsia" w:ascii="仿宋_GB2312" w:hAnsi="仿宋_GB2312" w:eastAsia="仿宋_GB2312" w:cs="仿宋_GB2312"/>
          <w:bCs/>
          <w:color w:val="auto"/>
          <w:kern w:val="2"/>
          <w:sz w:val="32"/>
          <w:szCs w:val="32"/>
          <w:lang w:val="en-US" w:eastAsia="zh-CN" w:bidi="ar-SA"/>
        </w:rPr>
        <w:t>有组织排放的</w:t>
      </w:r>
      <w:r>
        <w:rPr>
          <w:rFonts w:hint="default" w:ascii="仿宋_GB2312" w:hAnsi="仿宋_GB2312" w:eastAsia="仿宋_GB2312" w:cs="仿宋_GB2312"/>
          <w:bCs/>
          <w:color w:val="auto"/>
          <w:kern w:val="2"/>
          <w:sz w:val="32"/>
          <w:szCs w:val="32"/>
          <w:lang w:val="en-US" w:eastAsia="zh-CN" w:bidi="ar-SA"/>
        </w:rPr>
        <w:t>生产废气</w:t>
      </w:r>
      <w:r>
        <w:rPr>
          <w:rFonts w:hint="eastAsia" w:ascii="仿宋_GB2312" w:hAnsi="仿宋_GB2312" w:eastAsia="仿宋_GB2312" w:cs="仿宋_GB2312"/>
          <w:bCs/>
          <w:color w:val="auto"/>
          <w:kern w:val="2"/>
          <w:sz w:val="32"/>
          <w:szCs w:val="32"/>
          <w:lang w:val="en-US" w:eastAsia="zh-CN" w:bidi="ar-SA"/>
        </w:rPr>
        <w:t>中主要</w:t>
      </w:r>
      <w:r>
        <w:rPr>
          <w:rFonts w:hint="default" w:ascii="仿宋_GB2312" w:hAnsi="仿宋_GB2312" w:eastAsia="仿宋_GB2312" w:cs="仿宋_GB2312"/>
          <w:bCs/>
          <w:color w:val="auto"/>
          <w:kern w:val="2"/>
          <w:sz w:val="32"/>
          <w:szCs w:val="32"/>
          <w:lang w:val="en-US" w:eastAsia="zh-CN" w:bidi="ar-SA"/>
        </w:rPr>
        <w:t>污染物颗粒物、SO</w:t>
      </w:r>
      <w:r>
        <w:rPr>
          <w:rFonts w:hint="default" w:ascii="仿宋_GB2312" w:hAnsi="仿宋_GB2312" w:eastAsia="仿宋_GB2312" w:cs="仿宋_GB2312"/>
          <w:bCs/>
          <w:color w:val="auto"/>
          <w:kern w:val="2"/>
          <w:sz w:val="32"/>
          <w:szCs w:val="32"/>
          <w:vertAlign w:val="subscript"/>
          <w:lang w:val="en-US" w:eastAsia="zh-CN" w:bidi="ar-SA"/>
        </w:rPr>
        <w:t>2</w:t>
      </w:r>
      <w:r>
        <w:rPr>
          <w:rFonts w:hint="default" w:ascii="仿宋_GB2312" w:hAnsi="仿宋_GB2312" w:eastAsia="仿宋_GB2312" w:cs="仿宋_GB2312"/>
          <w:bCs/>
          <w:color w:val="auto"/>
          <w:kern w:val="2"/>
          <w:sz w:val="32"/>
          <w:szCs w:val="32"/>
          <w:lang w:val="en-US" w:eastAsia="zh-CN" w:bidi="ar-SA"/>
        </w:rPr>
        <w:t>、NOx（NO</w:t>
      </w:r>
      <w:r>
        <w:rPr>
          <w:rFonts w:hint="default" w:ascii="仿宋_GB2312" w:hAnsi="仿宋_GB2312" w:eastAsia="仿宋_GB2312" w:cs="仿宋_GB2312"/>
          <w:bCs/>
          <w:color w:val="auto"/>
          <w:kern w:val="2"/>
          <w:sz w:val="32"/>
          <w:szCs w:val="32"/>
          <w:vertAlign w:val="subscript"/>
          <w:lang w:val="en-US" w:eastAsia="zh-CN" w:bidi="ar-SA"/>
        </w:rPr>
        <w:t>2</w:t>
      </w:r>
      <w:r>
        <w:rPr>
          <w:rFonts w:hint="default" w:ascii="仿宋_GB2312" w:hAnsi="仿宋_GB2312" w:eastAsia="仿宋_GB2312" w:cs="仿宋_GB2312"/>
          <w:bCs/>
          <w:color w:val="auto"/>
          <w:kern w:val="2"/>
          <w:sz w:val="32"/>
          <w:szCs w:val="32"/>
          <w:lang w:val="en-US" w:eastAsia="zh-CN" w:bidi="ar-SA"/>
        </w:rPr>
        <w:t>）、硫酸雾、氟化物、NH</w:t>
      </w:r>
      <w:r>
        <w:rPr>
          <w:rFonts w:hint="default" w:ascii="仿宋_GB2312" w:hAnsi="仿宋_GB2312" w:eastAsia="仿宋_GB2312" w:cs="仿宋_GB2312"/>
          <w:bCs/>
          <w:color w:val="auto"/>
          <w:kern w:val="2"/>
          <w:sz w:val="32"/>
          <w:szCs w:val="32"/>
          <w:vertAlign w:val="subscript"/>
          <w:lang w:val="en-US" w:eastAsia="zh-CN" w:bidi="ar-SA"/>
        </w:rPr>
        <w:t>3</w:t>
      </w:r>
      <w:r>
        <w:rPr>
          <w:rFonts w:hint="default" w:ascii="仿宋_GB2312" w:hAnsi="仿宋_GB2312" w:eastAsia="仿宋_GB2312" w:cs="仿宋_GB2312"/>
          <w:bCs/>
          <w:color w:val="auto"/>
          <w:kern w:val="2"/>
          <w:sz w:val="32"/>
          <w:szCs w:val="32"/>
          <w:lang w:val="en-US" w:eastAsia="zh-CN" w:bidi="ar-SA"/>
        </w:rPr>
        <w:t>、镍及其化合物、钴及其化合物、锰及其化合物</w:t>
      </w:r>
      <w:r>
        <w:rPr>
          <w:rFonts w:hint="eastAsia" w:ascii="仿宋_GB2312" w:hAnsi="仿宋_GB2312" w:eastAsia="仿宋_GB2312" w:cs="仿宋_GB2312"/>
          <w:bCs/>
          <w:color w:val="auto"/>
          <w:kern w:val="2"/>
          <w:sz w:val="32"/>
          <w:szCs w:val="32"/>
          <w:lang w:val="en-US" w:eastAsia="zh-CN" w:bidi="ar-SA"/>
        </w:rPr>
        <w:t>有组织排放应满足</w:t>
      </w:r>
      <w:r>
        <w:rPr>
          <w:rFonts w:hint="default" w:ascii="仿宋_GB2312" w:hAnsi="仿宋_GB2312" w:eastAsia="仿宋_GB2312" w:cs="仿宋_GB2312"/>
          <w:bCs/>
          <w:color w:val="auto"/>
          <w:kern w:val="2"/>
          <w:sz w:val="32"/>
          <w:szCs w:val="32"/>
          <w:lang w:val="en-US" w:eastAsia="zh-CN" w:bidi="ar-SA"/>
        </w:rPr>
        <w:t>《无机化学工业污染物排放标准》（GB31573-2015）表3排放限值要求</w:t>
      </w:r>
      <w:r>
        <w:rPr>
          <w:rFonts w:hint="eastAsia" w:ascii="仿宋_GB2312" w:hAnsi="仿宋_GB2312" w:eastAsia="仿宋_GB2312" w:cs="仿宋_GB2312"/>
          <w:bCs/>
          <w:color w:val="auto"/>
          <w:kern w:val="2"/>
          <w:sz w:val="32"/>
          <w:szCs w:val="32"/>
          <w:lang w:val="en-US" w:eastAsia="zh-CN" w:bidi="ar-SA"/>
        </w:rPr>
        <w:t>；</w:t>
      </w:r>
      <w:r>
        <w:rPr>
          <w:rFonts w:hint="default" w:ascii="仿宋_GB2312" w:hAnsi="仿宋_GB2312" w:eastAsia="仿宋_GB2312" w:cs="仿宋_GB2312"/>
          <w:bCs/>
          <w:color w:val="auto"/>
          <w:kern w:val="2"/>
          <w:sz w:val="32"/>
          <w:szCs w:val="32"/>
          <w:lang w:val="en-US" w:eastAsia="zh-CN" w:bidi="ar-SA"/>
        </w:rPr>
        <w:t>非甲烷总烃排放</w:t>
      </w:r>
      <w:r>
        <w:rPr>
          <w:rFonts w:hint="eastAsia" w:ascii="仿宋_GB2312" w:hAnsi="仿宋_GB2312" w:eastAsia="仿宋_GB2312" w:cs="仿宋_GB2312"/>
          <w:bCs/>
          <w:color w:val="auto"/>
          <w:kern w:val="2"/>
          <w:sz w:val="32"/>
          <w:szCs w:val="32"/>
          <w:lang w:val="en-US" w:eastAsia="zh-CN" w:bidi="ar-SA"/>
        </w:rPr>
        <w:t>应</w:t>
      </w:r>
      <w:r>
        <w:rPr>
          <w:rFonts w:hint="default" w:ascii="仿宋_GB2312" w:hAnsi="仿宋_GB2312" w:eastAsia="仿宋_GB2312" w:cs="仿宋_GB2312"/>
          <w:bCs/>
          <w:color w:val="auto"/>
          <w:kern w:val="2"/>
          <w:sz w:val="32"/>
          <w:szCs w:val="32"/>
          <w:lang w:val="en-US" w:eastAsia="zh-CN" w:bidi="ar-SA"/>
        </w:rPr>
        <w:t>满足参照的《工业企业挥发性有机物排放控制标准》（DB12/524-2020）表1其他行业排放限值要求。</w:t>
      </w:r>
    </w:p>
    <w:p>
      <w:pPr>
        <w:numPr>
          <w:ilvl w:val="0"/>
          <w:numId w:val="0"/>
        </w:numPr>
        <w:spacing w:line="360" w:lineRule="auto"/>
        <w:ind w:firstLine="640" w:firstLineChars="200"/>
        <w:jc w:val="both"/>
        <w:rPr>
          <w:rFonts w:hint="default" w:ascii="仿宋_GB2312" w:hAnsi="仿宋_GB2312" w:eastAsia="仿宋_GB2312" w:cs="仿宋_GB2312"/>
          <w:bCs/>
          <w:color w:val="FF0000"/>
          <w:kern w:val="2"/>
          <w:sz w:val="32"/>
          <w:szCs w:val="32"/>
          <w:lang w:val="en-US" w:eastAsia="zh-CN" w:bidi="ar-SA"/>
        </w:rPr>
      </w:pPr>
      <w:r>
        <w:rPr>
          <w:rFonts w:hint="default" w:ascii="仿宋_GB2312" w:hAnsi="仿宋_GB2312" w:eastAsia="仿宋_GB2312" w:cs="仿宋_GB2312"/>
          <w:bCs/>
          <w:color w:val="auto"/>
          <w:kern w:val="2"/>
          <w:sz w:val="32"/>
          <w:szCs w:val="32"/>
          <w:lang w:val="en-US" w:eastAsia="zh-CN" w:bidi="ar-SA"/>
        </w:rPr>
        <w:t>项目无组织排放废气主要为各车间内未捕集的气体、储罐区大小呼吸废气以及罐区少量氨气无组织排放未收集的恶臭等。通过</w:t>
      </w:r>
      <w:r>
        <w:rPr>
          <w:rFonts w:hint="eastAsia" w:ascii="仿宋_GB2312" w:hAnsi="仿宋_GB2312" w:eastAsia="仿宋_GB2312" w:cs="仿宋_GB2312"/>
          <w:bCs/>
          <w:color w:val="auto"/>
          <w:kern w:val="2"/>
          <w:sz w:val="32"/>
          <w:szCs w:val="32"/>
          <w:lang w:val="en-US" w:eastAsia="zh-CN" w:bidi="ar-SA"/>
        </w:rPr>
        <w:t>总图合理布局，</w:t>
      </w:r>
      <w:r>
        <w:rPr>
          <w:rFonts w:hint="default" w:ascii="仿宋_GB2312" w:hAnsi="仿宋_GB2312" w:eastAsia="仿宋_GB2312" w:cs="仿宋_GB2312"/>
          <w:bCs/>
          <w:color w:val="auto"/>
          <w:kern w:val="2"/>
          <w:sz w:val="32"/>
          <w:szCs w:val="32"/>
          <w:lang w:val="en-US" w:eastAsia="zh-CN" w:bidi="ar-SA"/>
        </w:rPr>
        <w:t>加强生产设备和集气管道管理，</w:t>
      </w:r>
      <w:r>
        <w:rPr>
          <w:rFonts w:hint="eastAsia" w:ascii="仿宋_GB2312" w:hAnsi="仿宋_GB2312" w:eastAsia="仿宋_GB2312" w:cs="仿宋_GB2312"/>
          <w:bCs/>
          <w:color w:val="auto"/>
          <w:kern w:val="2"/>
          <w:sz w:val="32"/>
          <w:szCs w:val="32"/>
          <w:lang w:val="en-US" w:eastAsia="zh-CN" w:bidi="ar-SA"/>
        </w:rPr>
        <w:t>规范操作，</w:t>
      </w:r>
      <w:r>
        <w:rPr>
          <w:rFonts w:hint="default" w:ascii="仿宋_GB2312" w:hAnsi="仿宋_GB2312" w:eastAsia="仿宋_GB2312" w:cs="仿宋_GB2312"/>
          <w:bCs/>
          <w:color w:val="auto"/>
          <w:kern w:val="2"/>
          <w:sz w:val="32"/>
          <w:szCs w:val="32"/>
          <w:lang w:val="en-US" w:eastAsia="zh-CN" w:bidi="ar-SA"/>
        </w:rPr>
        <w:t>杜绝跑冒滴漏现象</w:t>
      </w:r>
      <w:r>
        <w:rPr>
          <w:rFonts w:hint="eastAsia" w:ascii="仿宋_GB2312" w:hAnsi="仿宋_GB2312" w:eastAsia="仿宋_GB2312" w:cs="仿宋_GB2312"/>
          <w:bCs/>
          <w:color w:val="auto"/>
          <w:kern w:val="2"/>
          <w:sz w:val="32"/>
          <w:szCs w:val="32"/>
          <w:lang w:val="en-US" w:eastAsia="zh-CN" w:bidi="ar-SA"/>
        </w:rPr>
        <w:t>，设置卫生防护距离，加强绿化等措施，控制厂区无组织废气对外环境的影响。建设单位应加强无组织排放废气的管理，确保各项污染物达标排放，避免对周边企业产生影响。</w:t>
      </w:r>
    </w:p>
    <w:p>
      <w:pPr>
        <w:pStyle w:val="2"/>
        <w:spacing w:line="360" w:lineRule="auto"/>
        <w:ind w:firstLine="640" w:firstLineChars="200"/>
        <w:rPr>
          <w:rFonts w:hint="eastAsia"/>
          <w:lang w:val="en-US" w:eastAsia="zh-CN"/>
        </w:rPr>
      </w:pPr>
      <w:r>
        <w:rPr>
          <w:rFonts w:hint="eastAsia" w:ascii="仿宋_GB2312" w:hAnsi="仿宋_GB2312" w:eastAsia="仿宋_GB2312" w:cs="仿宋_GB2312"/>
          <w:bCs/>
          <w:color w:val="auto"/>
          <w:kern w:val="2"/>
          <w:sz w:val="32"/>
          <w:szCs w:val="32"/>
          <w:lang w:val="en-US" w:eastAsia="zh-CN" w:bidi="ar-SA"/>
        </w:rPr>
        <w:t>项目外排无组织废气颗粒物排放应满足《大气污染物综合排放标准》（GB16297—1996）表2中无组织排放监控浓度限值要求；无组织</w:t>
      </w:r>
      <w:r>
        <w:rPr>
          <w:rFonts w:hint="default" w:ascii="仿宋_GB2312" w:hAnsi="仿宋_GB2312" w:eastAsia="仿宋_GB2312" w:cs="仿宋_GB2312"/>
          <w:bCs/>
          <w:color w:val="auto"/>
          <w:kern w:val="2"/>
          <w:sz w:val="32"/>
          <w:szCs w:val="32"/>
          <w:lang w:val="en-US" w:eastAsia="zh-CN" w:bidi="ar-SA"/>
        </w:rPr>
        <w:t>SO</w:t>
      </w:r>
      <w:r>
        <w:rPr>
          <w:rFonts w:hint="default" w:ascii="仿宋_GB2312" w:hAnsi="仿宋_GB2312" w:eastAsia="仿宋_GB2312" w:cs="仿宋_GB2312"/>
          <w:bCs/>
          <w:color w:val="auto"/>
          <w:kern w:val="2"/>
          <w:sz w:val="32"/>
          <w:szCs w:val="32"/>
          <w:vertAlign w:val="subscript"/>
          <w:lang w:val="en-US" w:eastAsia="zh-CN" w:bidi="ar-SA"/>
        </w:rPr>
        <w:t>2</w:t>
      </w:r>
      <w:r>
        <w:rPr>
          <w:rFonts w:hint="default" w:ascii="仿宋_GB2312" w:hAnsi="仿宋_GB2312" w:eastAsia="仿宋_GB2312" w:cs="仿宋_GB2312"/>
          <w:bCs/>
          <w:color w:val="auto"/>
          <w:kern w:val="2"/>
          <w:sz w:val="32"/>
          <w:szCs w:val="32"/>
          <w:lang w:val="en-US" w:eastAsia="zh-CN" w:bidi="ar-SA"/>
        </w:rPr>
        <w:t>、NO</w:t>
      </w:r>
      <w:r>
        <w:rPr>
          <w:rFonts w:hint="default" w:ascii="仿宋_GB2312" w:hAnsi="仿宋_GB2312" w:eastAsia="仿宋_GB2312" w:cs="仿宋_GB2312"/>
          <w:bCs/>
          <w:color w:val="auto"/>
          <w:kern w:val="2"/>
          <w:sz w:val="32"/>
          <w:szCs w:val="32"/>
          <w:vertAlign w:val="subscript"/>
          <w:lang w:val="en-US" w:eastAsia="zh-CN" w:bidi="ar-SA"/>
        </w:rPr>
        <w:t>x</w:t>
      </w:r>
      <w:r>
        <w:rPr>
          <w:rFonts w:hint="default" w:ascii="仿宋_GB2312" w:hAnsi="仿宋_GB2312" w:eastAsia="仿宋_GB2312" w:cs="仿宋_GB2312"/>
          <w:bCs/>
          <w:color w:val="auto"/>
          <w:kern w:val="2"/>
          <w:sz w:val="32"/>
          <w:szCs w:val="32"/>
          <w:lang w:val="en-US" w:eastAsia="zh-CN" w:bidi="ar-SA"/>
        </w:rPr>
        <w:t>、硫酸雾、氟化物、NH</w:t>
      </w:r>
      <w:r>
        <w:rPr>
          <w:rFonts w:hint="default" w:ascii="仿宋_GB2312" w:hAnsi="仿宋_GB2312" w:eastAsia="仿宋_GB2312" w:cs="仿宋_GB2312"/>
          <w:bCs/>
          <w:color w:val="auto"/>
          <w:kern w:val="2"/>
          <w:sz w:val="32"/>
          <w:szCs w:val="32"/>
          <w:vertAlign w:val="subscript"/>
          <w:lang w:val="en-US" w:eastAsia="zh-CN" w:bidi="ar-SA"/>
        </w:rPr>
        <w:t>3</w:t>
      </w:r>
      <w:r>
        <w:rPr>
          <w:rFonts w:hint="default" w:ascii="仿宋_GB2312" w:hAnsi="仿宋_GB2312" w:eastAsia="仿宋_GB2312" w:cs="仿宋_GB2312"/>
          <w:bCs/>
          <w:color w:val="auto"/>
          <w:kern w:val="2"/>
          <w:sz w:val="32"/>
          <w:szCs w:val="32"/>
          <w:lang w:val="en-US" w:eastAsia="zh-CN" w:bidi="ar-SA"/>
        </w:rPr>
        <w:t>、镍及其化合物、钴及其化合物、锰及其化合物</w:t>
      </w:r>
      <w:r>
        <w:rPr>
          <w:rFonts w:hint="eastAsia" w:ascii="仿宋_GB2312" w:hAnsi="仿宋_GB2312" w:eastAsia="仿宋_GB2312" w:cs="仿宋_GB2312"/>
          <w:bCs/>
          <w:color w:val="auto"/>
          <w:kern w:val="2"/>
          <w:sz w:val="32"/>
          <w:szCs w:val="32"/>
          <w:lang w:val="en-US" w:eastAsia="zh-CN" w:bidi="ar-SA"/>
        </w:rPr>
        <w:t>应</w:t>
      </w:r>
      <w:r>
        <w:rPr>
          <w:rFonts w:hint="default" w:ascii="仿宋_GB2312" w:hAnsi="仿宋_GB2312" w:eastAsia="仿宋_GB2312" w:cs="仿宋_GB2312"/>
          <w:bCs/>
          <w:color w:val="auto"/>
          <w:kern w:val="2"/>
          <w:sz w:val="32"/>
          <w:szCs w:val="32"/>
          <w:lang w:val="en-US" w:eastAsia="zh-CN" w:bidi="ar-SA"/>
        </w:rPr>
        <w:t>达到《无机化学工业污染物排放标准》（GB31573-2015）表5排放限值要求</w:t>
      </w:r>
      <w:r>
        <w:rPr>
          <w:rFonts w:hint="eastAsia" w:ascii="仿宋_GB2312" w:hAnsi="仿宋_GB2312" w:eastAsia="仿宋_GB2312" w:cs="仿宋_GB2312"/>
          <w:bCs/>
          <w:color w:val="auto"/>
          <w:kern w:val="2"/>
          <w:sz w:val="32"/>
          <w:szCs w:val="32"/>
          <w:lang w:val="en-US" w:eastAsia="zh-CN" w:bidi="ar-SA"/>
        </w:rPr>
        <w:t>，非甲烷总烃无组织排放应执行《挥发性有机物无组织排放控制标准》（GB37822-2019）表A.1无组织排放限值</w:t>
      </w:r>
      <w:r>
        <w:rPr>
          <w:rFonts w:hint="eastAsia" w:hAnsi="仿宋_GB2312" w:cs="仿宋_GB2312"/>
          <w:bCs/>
          <w:color w:val="auto"/>
          <w:kern w:val="2"/>
          <w:sz w:val="32"/>
          <w:szCs w:val="32"/>
          <w:lang w:val="en-US" w:eastAsia="zh-CN" w:bidi="ar-SA"/>
        </w:rPr>
        <w:t>。</w:t>
      </w:r>
    </w:p>
    <w:p>
      <w:pPr>
        <w:keepNext w:val="0"/>
        <w:keepLines w:val="0"/>
        <w:pageBreakBefore w:val="0"/>
        <w:widowControl w:val="0"/>
        <w:kinsoku/>
        <w:wordWrap/>
        <w:overflowPunct/>
        <w:topLinePunct w:val="0"/>
        <w:autoSpaceDE w:val="0"/>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default" w:ascii="仿宋_GB2312" w:hAnsi="仿宋_GB2312" w:eastAsia="仿宋_GB2312" w:cs="仿宋_GB2312"/>
          <w:bCs/>
          <w:color w:val="auto"/>
          <w:kern w:val="2"/>
          <w:sz w:val="32"/>
          <w:szCs w:val="32"/>
          <w:lang w:val="en-US" w:eastAsia="zh-CN" w:bidi="ar-SA"/>
        </w:rPr>
        <w:t>全厂废气主要污染物排放量为：非甲烷总烃</w:t>
      </w:r>
      <w:r>
        <w:rPr>
          <w:rFonts w:hint="eastAsia" w:ascii="仿宋_GB2312" w:hAnsi="仿宋_GB2312" w:eastAsia="仿宋_GB2312" w:cs="仿宋_GB2312"/>
          <w:bCs/>
          <w:color w:val="auto"/>
          <w:kern w:val="2"/>
          <w:sz w:val="32"/>
          <w:szCs w:val="32"/>
          <w:lang w:val="en-US" w:eastAsia="zh-CN" w:bidi="ar-SA"/>
        </w:rPr>
        <w:t>≤</w:t>
      </w:r>
      <w:r>
        <w:rPr>
          <w:rFonts w:hint="default" w:ascii="仿宋_GB2312" w:hAnsi="仿宋_GB2312" w:eastAsia="仿宋_GB2312" w:cs="仿宋_GB2312"/>
          <w:bCs/>
          <w:color w:val="auto"/>
          <w:kern w:val="2"/>
          <w:sz w:val="32"/>
          <w:szCs w:val="32"/>
          <w:lang w:val="en-US" w:eastAsia="zh-CN" w:bidi="ar-SA"/>
        </w:rPr>
        <w:t>1.6139 t/a、NO</w:t>
      </w:r>
      <w:r>
        <w:rPr>
          <w:rFonts w:hint="default" w:ascii="仿宋_GB2312" w:hAnsi="仿宋_GB2312" w:eastAsia="仿宋_GB2312" w:cs="仿宋_GB2312"/>
          <w:bCs/>
          <w:color w:val="auto"/>
          <w:kern w:val="2"/>
          <w:sz w:val="32"/>
          <w:szCs w:val="32"/>
          <w:vertAlign w:val="subscript"/>
          <w:lang w:val="en-US" w:eastAsia="zh-CN" w:bidi="ar-SA"/>
        </w:rPr>
        <w:t>x</w:t>
      </w:r>
      <w:r>
        <w:rPr>
          <w:rFonts w:hint="eastAsia" w:ascii="仿宋_GB2312" w:hAnsi="仿宋_GB2312" w:eastAsia="仿宋_GB2312" w:cs="仿宋_GB2312"/>
          <w:bCs/>
          <w:color w:val="auto"/>
          <w:kern w:val="2"/>
          <w:sz w:val="32"/>
          <w:szCs w:val="32"/>
          <w:lang w:val="en-US" w:eastAsia="zh-CN" w:bidi="ar-SA"/>
        </w:rPr>
        <w:t>≤20.8722</w:t>
      </w:r>
      <w:r>
        <w:rPr>
          <w:rFonts w:hint="default" w:ascii="仿宋_GB2312" w:hAnsi="仿宋_GB2312" w:eastAsia="仿宋_GB2312" w:cs="仿宋_GB2312"/>
          <w:bCs/>
          <w:color w:val="auto"/>
          <w:kern w:val="2"/>
          <w:sz w:val="32"/>
          <w:szCs w:val="32"/>
          <w:lang w:val="en-US" w:eastAsia="zh-CN" w:bidi="ar-SA"/>
        </w:rPr>
        <w:t>t/a</w:t>
      </w:r>
      <w:r>
        <w:rPr>
          <w:rFonts w:hint="eastAsia" w:ascii="仿宋_GB2312" w:hAnsi="仿宋_GB2312" w:eastAsia="仿宋_GB2312" w:cs="仿宋_GB2312"/>
          <w:bCs/>
          <w:color w:val="auto"/>
          <w:kern w:val="2"/>
          <w:sz w:val="32"/>
          <w:szCs w:val="32"/>
          <w:lang w:val="en-US" w:eastAsia="zh-CN" w:bidi="ar-SA"/>
        </w:rPr>
        <w:t>、</w:t>
      </w:r>
      <w:r>
        <w:rPr>
          <w:rFonts w:hint="default" w:ascii="仿宋_GB2312" w:hAnsi="仿宋_GB2312" w:eastAsia="仿宋_GB2312" w:cs="仿宋_GB2312"/>
          <w:bCs/>
          <w:color w:val="auto"/>
          <w:kern w:val="2"/>
          <w:sz w:val="32"/>
          <w:szCs w:val="32"/>
          <w:lang w:val="en-US" w:eastAsia="zh-CN" w:bidi="ar-SA"/>
        </w:rPr>
        <w:t>SO</w:t>
      </w:r>
      <w:r>
        <w:rPr>
          <w:rFonts w:hint="default" w:ascii="仿宋_GB2312" w:hAnsi="仿宋_GB2312" w:eastAsia="仿宋_GB2312" w:cs="仿宋_GB2312"/>
          <w:bCs/>
          <w:color w:val="auto"/>
          <w:kern w:val="2"/>
          <w:sz w:val="32"/>
          <w:szCs w:val="32"/>
          <w:vertAlign w:val="subscript"/>
          <w:lang w:val="en-US" w:eastAsia="zh-CN" w:bidi="ar-SA"/>
        </w:rPr>
        <w:t>2</w:t>
      </w:r>
      <w:r>
        <w:rPr>
          <w:rFonts w:hint="eastAsia" w:ascii="仿宋_GB2312" w:hAnsi="仿宋_GB2312" w:eastAsia="仿宋_GB2312" w:cs="仿宋_GB2312"/>
          <w:bCs/>
          <w:color w:val="auto"/>
          <w:kern w:val="2"/>
          <w:sz w:val="32"/>
          <w:szCs w:val="32"/>
          <w:lang w:val="en-US" w:eastAsia="zh-CN" w:bidi="ar-SA"/>
        </w:rPr>
        <w:t xml:space="preserve"> ≤</w:t>
      </w:r>
      <w:r>
        <w:rPr>
          <w:rFonts w:hint="default" w:ascii="仿宋_GB2312" w:hAnsi="仿宋_GB2312" w:eastAsia="仿宋_GB2312" w:cs="仿宋_GB2312"/>
          <w:bCs/>
          <w:color w:val="auto"/>
          <w:kern w:val="2"/>
          <w:sz w:val="32"/>
          <w:szCs w:val="32"/>
          <w:lang w:val="en-US" w:eastAsia="zh-CN" w:bidi="ar-SA"/>
        </w:rPr>
        <w:t>2.593t/a</w:t>
      </w:r>
      <w:r>
        <w:rPr>
          <w:rFonts w:hint="eastAsia" w:ascii="仿宋_GB2312" w:hAnsi="仿宋_GB2312" w:eastAsia="仿宋_GB2312" w:cs="仿宋_GB2312"/>
          <w:b w:val="0"/>
          <w:bCs w:val="0"/>
          <w:i w:val="0"/>
          <w:caps w:val="0"/>
          <w:color w:val="000000"/>
          <w:spacing w:val="0"/>
          <w:kern w:val="0"/>
          <w:sz w:val="32"/>
          <w:szCs w:val="32"/>
          <w:u w:val="none"/>
          <w:shd w:val="clear" w:fill="FFFFFF"/>
          <w:lang w:val="en-GB" w:eastAsia="zh-CN" w:bidi="ar"/>
        </w:rPr>
        <w:t>。</w:t>
      </w:r>
    </w:p>
    <w:p>
      <w:pPr>
        <w:pageBreakBefore w:val="0"/>
        <w:widowControl w:val="0"/>
        <w:numPr>
          <w:ilvl w:val="0"/>
          <w:numId w:val="2"/>
        </w:numPr>
        <w:kinsoku/>
        <w:wordWrap/>
        <w:overflowPunct/>
        <w:topLinePunct w:val="0"/>
        <w:autoSpaceDE w:val="0"/>
        <w:bidi w:val="0"/>
        <w:spacing w:line="360" w:lineRule="auto"/>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楷体_GB2312" w:hAnsi="楷体_GB2312" w:eastAsia="楷体_GB2312" w:cs="楷体_GB2312"/>
          <w:color w:val="000000" w:themeColor="text1"/>
          <w:sz w:val="32"/>
          <w:szCs w:val="32"/>
          <w14:textFill>
            <w14:solidFill>
              <w14:schemeClr w14:val="tx1"/>
            </w14:solidFill>
          </w14:textFill>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项目主要噪声源包括</w:t>
      </w:r>
      <w:r>
        <w:rPr>
          <w:rFonts w:hint="default" w:ascii="Times New Roman" w:hAnsi="Times New Roman" w:eastAsia="仿宋_GB2312" w:cs="Times New Roman"/>
          <w:bCs/>
          <w:color w:val="auto"/>
          <w:sz w:val="32"/>
          <w:szCs w:val="32"/>
        </w:rPr>
        <w:t>破碎机、压滤机、引风机、</w:t>
      </w:r>
      <w:r>
        <w:rPr>
          <w:rFonts w:hint="eastAsia" w:ascii="Times New Roman" w:hAnsi="Times New Roman" w:eastAsia="仿宋_GB2312" w:cs="Times New Roman"/>
          <w:bCs/>
          <w:color w:val="auto"/>
          <w:sz w:val="32"/>
          <w:szCs w:val="32"/>
          <w:lang w:val="en-US" w:eastAsia="zh-CN"/>
        </w:rPr>
        <w:t>炭化炉、煅烧回转炉、窑炉、各种泵类和</w:t>
      </w:r>
      <w:r>
        <w:rPr>
          <w:rFonts w:hint="default" w:ascii="Times New Roman" w:hAnsi="Times New Roman" w:eastAsia="仿宋_GB2312" w:cs="Times New Roman"/>
          <w:bCs/>
          <w:color w:val="auto"/>
          <w:sz w:val="32"/>
          <w:szCs w:val="32"/>
        </w:rPr>
        <w:t>公辅设施</w:t>
      </w:r>
      <w:r>
        <w:rPr>
          <w:rFonts w:hint="eastAsia" w:ascii="仿宋_GB2312" w:hAnsi="仿宋_GB2312" w:eastAsia="仿宋_GB2312" w:cs="仿宋_GB2312"/>
          <w:snapToGrid w:val="0"/>
          <w:color w:val="auto"/>
          <w:sz w:val="32"/>
          <w:szCs w:val="32"/>
        </w:rPr>
        <w:t>等</w:t>
      </w:r>
      <w:r>
        <w:rPr>
          <w:rFonts w:hint="eastAsia" w:ascii="仿宋_GB2312" w:hAnsi="仿宋_GB2312" w:eastAsia="仿宋_GB2312" w:cs="仿宋_GB2312"/>
          <w:color w:val="000000"/>
          <w:sz w:val="32"/>
          <w:szCs w:val="32"/>
        </w:rPr>
        <w:t>设备</w:t>
      </w:r>
      <w:r>
        <w:rPr>
          <w:rFonts w:ascii="仿宋_GB2312" w:hAnsi="宋体" w:eastAsia="仿宋_GB2312"/>
          <w:color w:val="auto"/>
          <w:sz w:val="32"/>
          <w:szCs w:val="32"/>
        </w:rPr>
        <w:t>噪声</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选用低噪设备，合理平面布置，对生产设备进行</w:t>
      </w:r>
      <w:r>
        <w:rPr>
          <w:rFonts w:hint="eastAsia" w:ascii="仿宋_GB2312" w:hAnsi="仿宋_GB2312" w:eastAsia="仿宋_GB2312" w:cs="仿宋_GB2312"/>
          <w:color w:val="auto"/>
          <w:sz w:val="32"/>
          <w:szCs w:val="32"/>
        </w:rPr>
        <w:t>减振、隔声、消声</w:t>
      </w:r>
      <w:bookmarkStart w:id="0" w:name="_GoBack"/>
      <w:bookmarkEnd w:id="0"/>
      <w:r>
        <w:rPr>
          <w:rFonts w:hint="eastAsia" w:ascii="仿宋_GB2312" w:hAnsi="仿宋_GB2312" w:eastAsia="仿宋_GB2312" w:cs="仿宋_GB2312"/>
          <w:color w:val="auto"/>
          <w:sz w:val="32"/>
          <w:szCs w:val="32"/>
        </w:rPr>
        <w:t>等措施，加强设备的维护和管理，加强厂区绿化等措施，厂界噪声</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达到《工业企业厂界环</w:t>
      </w:r>
      <w:r>
        <w:rPr>
          <w:rFonts w:hint="eastAsia" w:ascii="仿宋_GB2312" w:hAnsi="仿宋_GB2312" w:eastAsia="仿宋_GB2312" w:cs="仿宋_GB2312"/>
          <w:color w:val="auto"/>
          <w:kern w:val="0"/>
          <w:sz w:val="32"/>
          <w:szCs w:val="32"/>
        </w:rPr>
        <w:t>境噪声排放标准》（GB12348-2008）中3类标准。</w:t>
      </w:r>
    </w:p>
    <w:p>
      <w:pPr>
        <w:pageBreakBefore w:val="0"/>
        <w:widowControl w:val="0"/>
        <w:numPr>
          <w:ilvl w:val="0"/>
          <w:numId w:val="0"/>
        </w:numPr>
        <w:kinsoku/>
        <w:wordWrap/>
        <w:overflowPunct/>
        <w:topLinePunct w:val="0"/>
        <w:autoSpaceDE w:val="0"/>
        <w:bidi w:val="0"/>
        <w:spacing w:line="360" w:lineRule="auto"/>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（四）严格落实固体废物分类处置和综合利用措施。</w:t>
      </w:r>
      <w:r>
        <w:rPr>
          <w:rFonts w:hint="eastAsia" w:ascii="仿宋_GB2312" w:hAnsi="仿宋_GB2312" w:eastAsia="仿宋_GB2312" w:cs="仿宋_GB2312"/>
          <w:color w:val="000000" w:themeColor="text1"/>
          <w:sz w:val="32"/>
          <w:szCs w:val="32"/>
          <w14:textFill>
            <w14:solidFill>
              <w14:schemeClr w14:val="tx1"/>
            </w14:solidFill>
          </w14:textFill>
        </w:rPr>
        <w:t>应按“资源化、减量化、无害化”处置原则，认真落实固废分类收集、处置和综合利用措施。严格履行危险废物转移联单等相关环保手续，具有危险废物性质的原料及产生的危险废物在贮存过程中应认真落实相关环保要求，产生的不能综合利用的危险废物应定期委托有资质的单位处置，产生的一般工业固体废物应合法处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生活垃圾收集后由当地环卫部门处置。</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18597-2023）要求；一般工业固体废物综合利用或合理处置，一般工业固体废物暂存库设计、建设和运行必须满足《一般工业固体废物贮存和填埋污染控制标准》(GB 18599-2020)要求。</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（五）严格落实土壤及地下水污染防治措施。</w:t>
      </w:r>
      <w:r>
        <w:rPr>
          <w:rFonts w:hint="eastAsia" w:ascii="仿宋_GB2312" w:eastAsia="仿宋_GB2312"/>
          <w:color w:val="000000" w:themeColor="text1"/>
          <w:sz w:val="32"/>
          <w:szCs w:val="32"/>
          <w14:textFill>
            <w14:solidFill>
              <w14:schemeClr w14:val="tx1"/>
            </w14:solidFill>
          </w14:textFill>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（六）严格落实环境风险防范措施。</w:t>
      </w:r>
      <w:r>
        <w:rPr>
          <w:rFonts w:hint="eastAsia" w:ascii="仿宋_GB2312" w:eastAsia="仿宋_GB2312"/>
          <w:color w:val="000000" w:themeColor="text1"/>
          <w:sz w:val="32"/>
          <w:szCs w:val="32"/>
          <w14:textFill>
            <w14:solidFill>
              <w14:schemeClr w14:val="tx1"/>
            </w14:solidFill>
          </w14:textFill>
        </w:rPr>
        <w:t>严格落实《报告书》和《评估意见》提出的各项环境风险防控措施。强化化学品从贮运、使用到生产各个环节的事故防范，物料应做到分类、分区存放。设置围堰、防渗排水沟，安装可燃气体、有毒气体监测报警仪。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液、废水不进入外环境。健全企业环境风险防范与应急管理体系，制定全厂环境风险防控措施和突发环境事件应急预案，做好应急设施的检查维护，配套足够的应急物资，特别是有毒有害气体泄漏风险防范和应急处置措施、物资要保障到位。突发环境事件应急预案（须报市、县生</w:t>
      </w:r>
      <w:r>
        <w:rPr>
          <w:rFonts w:hint="eastAsia" w:ascii="仿宋_GB2312" w:hAnsi="仿宋_GB2312" w:eastAsia="仿宋_GB2312" w:cs="仿宋_GB2312"/>
          <w:color w:val="000000" w:themeColor="text1"/>
          <w:sz w:val="32"/>
          <w:szCs w:val="32"/>
          <w14:textFill>
            <w14:solidFill>
              <w14:schemeClr w14:val="tx1"/>
            </w14:solidFill>
          </w14:textFill>
        </w:rPr>
        <w:t>态环境部门备案）应与园区相邻企业、当地政府进行有效衔接，定期协同有关部门开展应急演练。</w:t>
      </w:r>
    </w:p>
    <w:p>
      <w:pPr>
        <w:pageBreakBefore w:val="0"/>
        <w:widowControl w:val="0"/>
        <w:kinsoku/>
        <w:wordWrap/>
        <w:overflowPunct/>
        <w:topLinePunct w:val="0"/>
        <w:autoSpaceDE w:val="0"/>
        <w:bidi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（七）排污口规范化和环境监测要求。</w:t>
      </w:r>
      <w:r>
        <w:rPr>
          <w:rFonts w:hint="eastAsia" w:ascii="仿宋_GB2312" w:eastAsia="仿宋_GB2312"/>
          <w:color w:val="000000" w:themeColor="text1"/>
          <w:sz w:val="32"/>
          <w:szCs w:val="32"/>
          <w14:textFill>
            <w14:solidFill>
              <w14:schemeClr w14:val="tx1"/>
            </w14:solidFill>
          </w14:textFill>
        </w:rPr>
        <w:t>按照国家有关规定设置规范的污染物排放口，并设立标志牌。项目废气和废水排放设施按要求设置永久监测采样口。</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（八）项目周围规划控制要求。</w:t>
      </w:r>
      <w:r>
        <w:rPr>
          <w:rFonts w:hint="eastAsia" w:ascii="仿宋_GB2312" w:eastAsia="仿宋_GB2312"/>
          <w:color w:val="000000" w:themeColor="text1"/>
          <w:sz w:val="32"/>
          <w:szCs w:val="32"/>
          <w14:textFill>
            <w14:solidFill>
              <w14:schemeClr w14:val="tx1"/>
            </w14:solidFill>
          </w14:textFill>
        </w:rPr>
        <w:t>根据《报告书》和《评估意见》结论，确定</w:t>
      </w:r>
      <w:r>
        <w:rPr>
          <w:rFonts w:hint="default" w:ascii="Times New Roman" w:hAnsi="Times New Roman" w:eastAsia="仿宋_GB2312" w:cs="Times New Roman"/>
          <w:bCs/>
          <w:color w:val="auto"/>
          <w:sz w:val="32"/>
          <w:szCs w:val="32"/>
        </w:rPr>
        <w:t>电池拆解破碎车间为边界外延100m、浸出及碳酸锂车间、磷酸铁车间、磷酸铁锂车间、硫酸铵生产车间、罐区、溶解车间、实验室为边界外延50m</w:t>
      </w:r>
      <w:r>
        <w:rPr>
          <w:rFonts w:hint="eastAsia" w:ascii="仿宋_GB2312" w:hAnsi="仿宋_GB2312" w:eastAsia="仿宋_GB2312" w:cs="仿宋_GB2312"/>
          <w:color w:val="auto"/>
          <w:sz w:val="32"/>
          <w:szCs w:val="32"/>
        </w:rPr>
        <w:t>的</w:t>
      </w:r>
      <w:r>
        <w:rPr>
          <w:rFonts w:hint="eastAsia" w:ascii="仿宋_GB2312" w:eastAsia="仿宋_GB2312"/>
          <w:color w:val="000000" w:themeColor="text1"/>
          <w:sz w:val="32"/>
          <w:szCs w:val="32"/>
          <w14:textFill>
            <w14:solidFill>
              <w14:schemeClr w14:val="tx1"/>
            </w14:solidFill>
          </w14:textFill>
        </w:rPr>
        <w:t>卫生防护距离。</w:t>
      </w:r>
      <w:r>
        <w:rPr>
          <w:rFonts w:hint="eastAsia" w:ascii="仿宋_GB2312" w:hAnsi="仿宋" w:eastAsia="仿宋_GB2312" w:cs="仿宋"/>
          <w:color w:val="000000" w:themeColor="text1"/>
          <w:sz w:val="32"/>
          <w:szCs w:val="32"/>
          <w14:textFill>
            <w14:solidFill>
              <w14:schemeClr w14:val="tx1"/>
            </w14:solidFill>
          </w14:textFill>
        </w:rPr>
        <w:t>你公司应配合政府和规划部门做好项目周边规划管控，项目卫生防护距离范围内不得</w:t>
      </w:r>
      <w:r>
        <w:rPr>
          <w:rFonts w:hint="eastAsia" w:ascii="仿宋_GB2312" w:eastAsia="仿宋_GB2312"/>
          <w:color w:val="000000" w:themeColor="text1"/>
          <w:kern w:val="0"/>
          <w:sz w:val="32"/>
          <w:szCs w:val="32"/>
          <w14:textFill>
            <w14:solidFill>
              <w14:schemeClr w14:val="tx1"/>
            </w14:solidFill>
          </w14:textFill>
        </w:rPr>
        <w:t>新建居民住宅、学校、医院等环境敏感建筑。</w:t>
      </w:r>
    </w:p>
    <w:p>
      <w:pPr>
        <w:pageBreakBefore w:val="0"/>
        <w:widowControl w:val="0"/>
        <w:kinsoku/>
        <w:wordWrap/>
        <w:overflowPunct/>
        <w:topLinePunct w:val="0"/>
        <w:autoSpaceDE w:val="0"/>
        <w:bidi w:val="0"/>
        <w:adjustRightInd w:val="0"/>
        <w:snapToGrid w:val="0"/>
        <w:spacing w:line="360" w:lineRule="auto"/>
        <w:ind w:firstLine="640" w:firstLineChars="200"/>
        <w:jc w:val="both"/>
        <w:textAlignment w:val="auto"/>
        <w:rPr>
          <w:color w:val="000000" w:themeColor="text1"/>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九</w:t>
      </w:r>
      <w:r>
        <w:rPr>
          <w:rFonts w:hint="eastAsia" w:ascii="楷体_GB2312" w:hAnsi="楷体_GB2312" w:eastAsia="楷体_GB2312" w:cs="楷体_GB2312"/>
          <w:color w:val="000000" w:themeColor="text1"/>
          <w:sz w:val="32"/>
          <w:szCs w:val="32"/>
          <w14:textFill>
            <w14:solidFill>
              <w14:schemeClr w14:val="tx1"/>
            </w14:solidFill>
          </w14:textFill>
        </w:rPr>
        <w:t>）环境信息公开要求。</w:t>
      </w:r>
      <w:r>
        <w:rPr>
          <w:rFonts w:hint="eastAsia" w:ascii="仿宋_GB2312" w:eastAsia="仿宋_GB2312"/>
          <w:color w:val="000000" w:themeColor="text1"/>
          <w:kern w:val="0"/>
          <w:sz w:val="32"/>
          <w:szCs w:val="32"/>
          <w14:textFill>
            <w14:solidFill>
              <w14:schemeClr w14:val="tx1"/>
            </w14:solidFill>
          </w14:textFill>
        </w:rPr>
        <w:t>你公司应依法实施信息公开，接受社会监督</w:t>
      </w:r>
      <w:r>
        <w:rPr>
          <w:rFonts w:ascii="仿宋_GB2312" w:eastAsia="仿宋_GB2312"/>
          <w:color w:val="000000" w:themeColor="text1"/>
          <w:kern w:val="0"/>
          <w:sz w:val="32"/>
          <w:szCs w:val="32"/>
          <w14:textFill>
            <w14:solidFill>
              <w14:schemeClr w14:val="tx1"/>
            </w14:solidFill>
          </w14:textFill>
        </w:rPr>
        <w:t>。</w:t>
      </w:r>
      <w:r>
        <w:rPr>
          <w:rFonts w:hint="eastAsia" w:ascii="仿宋_GB2312" w:eastAsia="仿宋_GB2312"/>
          <w:color w:val="000000" w:themeColor="text1"/>
          <w:kern w:val="0"/>
          <w:sz w:val="32"/>
          <w:szCs w:val="32"/>
          <w14:textFill>
            <w14:solidFill>
              <w14:schemeClr w14:val="tx1"/>
            </w14:solidFill>
          </w14:textFill>
        </w:rPr>
        <w:t>项目投产后应定期公示企业环境报告，公布污染物排放和环境管理情况。</w:t>
      </w:r>
    </w:p>
    <w:p>
      <w:pPr>
        <w:pageBreakBefore w:val="0"/>
        <w:widowControl w:val="0"/>
        <w:numPr>
          <w:ilvl w:val="0"/>
          <w:numId w:val="1"/>
        </w:numPr>
        <w:kinsoku/>
        <w:wordWrap/>
        <w:overflowPunct/>
        <w:topLinePunct w:val="0"/>
        <w:autoSpaceDE w:val="0"/>
        <w:bidi w:val="0"/>
        <w:snapToGrid w:val="0"/>
        <w:spacing w:line="360" w:lineRule="auto"/>
        <w:ind w:firstLine="640" w:firstLineChars="200"/>
        <w:jc w:val="both"/>
        <w:textAlignment w:val="auto"/>
        <w:rPr>
          <w:rFonts w:ascii="CESI黑体-GB2312" w:hAnsi="CESI黑体-GB2312" w:eastAsia="CESI黑体-GB2312" w:cs="CESI黑体-GB2312"/>
          <w:color w:val="000000" w:themeColor="text1"/>
          <w:sz w:val="32"/>
          <w:szCs w:val="32"/>
          <w14:textFill>
            <w14:solidFill>
              <w14:schemeClr w14:val="tx1"/>
            </w14:solidFill>
          </w14:textFill>
        </w:rPr>
      </w:pPr>
      <w:r>
        <w:rPr>
          <w:rFonts w:hint="eastAsia" w:ascii="CESI黑体-GB2312" w:hAnsi="CESI黑体-GB2312" w:eastAsia="CESI黑体-GB2312" w:cs="CESI黑体-GB2312"/>
          <w:color w:val="000000" w:themeColor="text1"/>
          <w:sz w:val="32"/>
          <w:szCs w:val="32"/>
          <w14:textFill>
            <w14:solidFill>
              <w14:schemeClr w14:val="tx1"/>
            </w14:solidFill>
          </w14:textFill>
        </w:rPr>
        <w:t>项目建设和竣工验收的环保要求</w:t>
      </w:r>
    </w:p>
    <w:p>
      <w:pPr>
        <w:pageBreakBefore w:val="0"/>
        <w:widowControl w:val="0"/>
        <w:kinsoku/>
        <w:wordWrap/>
        <w:overflowPunct/>
        <w:topLinePunct w:val="0"/>
        <w:autoSpaceDE w:val="0"/>
        <w:bidi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项目建设必须严格执行环境保护设施与主体工程同时设计、同时施工、同时投入使用的环境保护“三同时”制度。</w:t>
      </w:r>
    </w:p>
    <w:p>
      <w:pPr>
        <w:keepNext w:val="0"/>
        <w:keepLines w:val="0"/>
        <w:pageBreakBefore w:val="0"/>
        <w:widowControl w:val="0"/>
        <w:kinsoku/>
        <w:wordWrap/>
        <w:overflowPunct/>
        <w:topLinePunct w:val="0"/>
        <w:autoSpaceDE w:val="0"/>
        <w:autoSpaceDN/>
        <w:bidi w:val="0"/>
        <w:adjustRightIn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keepNext w:val="0"/>
        <w:keepLines w:val="0"/>
        <w:pageBreakBefore w:val="0"/>
        <w:widowControl w:val="0"/>
        <w:kinsoku/>
        <w:wordWrap/>
        <w:overflowPunct/>
        <w:topLinePunct w:val="0"/>
        <w:autoSpaceDE w:val="0"/>
        <w:autoSpaceDN/>
        <w:bidi w:val="0"/>
        <w:adjustRightInd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CESI黑体-GB2312" w:hAnsi="CESI黑体-GB2312" w:eastAsia="CESI黑体-GB2312" w:cs="CESI黑体-GB2312"/>
          <w:color w:val="000000" w:themeColor="text1"/>
          <w:sz w:val="32"/>
          <w:szCs w:val="32"/>
          <w14:textFill>
            <w14:solidFill>
              <w14:schemeClr w14:val="tx1"/>
            </w14:solidFill>
          </w14:textFill>
        </w:rPr>
        <w:t>四、其他环保要求</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（一）项目变更环保要求。</w:t>
      </w:r>
      <w:r>
        <w:rPr>
          <w:rFonts w:hint="eastAsia" w:ascii="仿宋_GB2312" w:eastAsia="仿宋_GB2312"/>
          <w:color w:val="000000" w:themeColor="text1"/>
          <w:sz w:val="32"/>
          <w:szCs w:val="32"/>
          <w14:textFill>
            <w14:solidFill>
              <w14:schemeClr w14:val="tx1"/>
            </w14:solidFill>
          </w14:textFill>
        </w:rPr>
        <w:t>本项目批准后，若项目建设性质、规模、地点、内容、采用的生产工艺或者防治污染的措施等发生重大变化应重新报批环境影响评价文件，审批后超过5年方动工建设的，应当报我局重新审核。</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（二）排污许可要求。</w:t>
      </w:r>
      <w:r>
        <w:rPr>
          <w:rFonts w:hint="eastAsia" w:ascii="仿宋_GB2312" w:eastAsia="仿宋_GB2312"/>
          <w:color w:val="000000" w:themeColor="text1"/>
          <w:sz w:val="32"/>
          <w:szCs w:val="32"/>
          <w14:textFill>
            <w14:solidFill>
              <w14:schemeClr w14:val="tx1"/>
            </w14:solidFill>
          </w14:textFill>
        </w:rPr>
        <w:t>在启动生产设施或者发生实际排污行为前，按照经批准的环境影响评价文件认真梳理并确认各项环境保护措施落实后，依法申领排污许可证。建立与项目环境保护工作需求相适应的环境管理团队，完善企业各项环境管理制度，加强环境管理，做到依证排污。</w:t>
      </w:r>
    </w:p>
    <w:p>
      <w:pPr>
        <w:pageBreakBefore w:val="0"/>
        <w:widowControl w:val="0"/>
        <w:kinsoku/>
        <w:wordWrap/>
        <w:overflowPunct/>
        <w:topLinePunct w:val="0"/>
        <w:autoSpaceDE w:val="0"/>
        <w:bidi w:val="0"/>
        <w:snapToGrid w:val="0"/>
        <w:spacing w:line="360"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（三）日常环保监管。</w:t>
      </w:r>
      <w:r>
        <w:rPr>
          <w:rFonts w:hint="eastAsia" w:ascii="仿宋_GB2312" w:eastAsia="仿宋_GB2312"/>
          <w:color w:val="000000" w:themeColor="text1"/>
          <w:sz w:val="32"/>
          <w:szCs w:val="32"/>
          <w14:textFill>
            <w14:solidFill>
              <w14:schemeClr w14:val="tx1"/>
            </w14:solidFill>
          </w14:textFill>
        </w:rPr>
        <w:t>请宜春市生态环境保护综合执法支队、宜春市</w:t>
      </w:r>
      <w:r>
        <w:rPr>
          <w:rFonts w:hint="eastAsia" w:ascii="仿宋_GB2312" w:eastAsia="仿宋_GB2312"/>
          <w:color w:val="000000" w:themeColor="text1"/>
          <w:sz w:val="32"/>
          <w:szCs w:val="32"/>
          <w:lang w:eastAsia="zh-CN"/>
          <w14:textFill>
            <w14:solidFill>
              <w14:schemeClr w14:val="tx1"/>
            </w14:solidFill>
          </w14:textFill>
        </w:rPr>
        <w:t>袁州</w:t>
      </w:r>
      <w:r>
        <w:rPr>
          <w:rFonts w:hint="eastAsia" w:ascii="仿宋_GB2312" w:eastAsia="仿宋_GB2312"/>
          <w:color w:val="000000" w:themeColor="text1"/>
          <w:sz w:val="32"/>
          <w:szCs w:val="32"/>
          <w14:textFill>
            <w14:solidFill>
              <w14:schemeClr w14:val="tx1"/>
            </w14:solidFill>
          </w14:textFill>
        </w:rPr>
        <w:t>生态环境局负责该项目建设和运行的监管。你公司应在收到本批复后20个工作日内，将批准后的《报告书》送至宜春市</w:t>
      </w:r>
      <w:r>
        <w:rPr>
          <w:rFonts w:hint="eastAsia" w:ascii="仿宋_GB2312" w:eastAsia="仿宋_GB2312"/>
          <w:color w:val="000000" w:themeColor="text1"/>
          <w:sz w:val="32"/>
          <w:szCs w:val="32"/>
          <w:lang w:eastAsia="zh-CN"/>
          <w14:textFill>
            <w14:solidFill>
              <w14:schemeClr w14:val="tx1"/>
            </w14:solidFill>
          </w14:textFill>
        </w:rPr>
        <w:t>袁州</w:t>
      </w:r>
      <w:r>
        <w:rPr>
          <w:rFonts w:hint="eastAsia" w:ascii="仿宋_GB2312" w:eastAsia="仿宋_GB2312"/>
          <w:color w:val="000000" w:themeColor="text1"/>
          <w:sz w:val="32"/>
          <w:szCs w:val="32"/>
          <w14:textFill>
            <w14:solidFill>
              <w14:schemeClr w14:val="tx1"/>
            </w14:solidFill>
          </w14:textFill>
        </w:rPr>
        <w:t>生态环境局并按规定接受各级环保行政主管部门的监督检查。</w:t>
      </w:r>
    </w:p>
    <w:p>
      <w:pPr>
        <w:pStyle w:val="10"/>
        <w:pageBreakBefore w:val="0"/>
        <w:widowControl w:val="0"/>
        <w:kinsoku/>
        <w:wordWrap/>
        <w:overflowPunct/>
        <w:topLinePunct w:val="0"/>
        <w:bidi w:val="0"/>
        <w:spacing w:line="600" w:lineRule="exact"/>
        <w:textAlignment w:val="auto"/>
        <w:rPr>
          <w:rFonts w:hint="eastAsia" w:ascii="仿宋_GB2312" w:eastAsia="仿宋_GB2312"/>
          <w:color w:val="000000" w:themeColor="text1"/>
          <w:sz w:val="32"/>
          <w:szCs w:val="32"/>
          <w14:textFill>
            <w14:solidFill>
              <w14:schemeClr w14:val="tx1"/>
            </w14:solidFill>
          </w14:textFill>
        </w:rPr>
      </w:pPr>
    </w:p>
    <w:p>
      <w:pPr>
        <w:pStyle w:val="11"/>
        <w:pageBreakBefore w:val="0"/>
        <w:widowControl w:val="0"/>
        <w:kinsoku/>
        <w:wordWrap/>
        <w:overflowPunct/>
        <w:topLinePunct w:val="0"/>
        <w:bidi w:val="0"/>
        <w:spacing w:line="600" w:lineRule="exact"/>
        <w:textAlignment w:val="auto"/>
        <w:rPr>
          <w:rFonts w:hint="eastAsia" w:ascii="仿宋_GB2312" w:eastAsia="仿宋_GB2312"/>
          <w:color w:val="000000" w:themeColor="text1"/>
          <w:sz w:val="32"/>
          <w:szCs w:val="32"/>
          <w14:textFill>
            <w14:solidFill>
              <w14:schemeClr w14:val="tx1"/>
            </w14:solidFill>
          </w14:textFill>
        </w:rPr>
      </w:pPr>
    </w:p>
    <w:p>
      <w:pPr>
        <w:pStyle w:val="2"/>
        <w:rPr>
          <w:rFonts w:hint="eastAsia"/>
        </w:rPr>
      </w:pPr>
    </w:p>
    <w:p>
      <w:pPr>
        <w:keepNext w:val="0"/>
        <w:keepLines w:val="0"/>
        <w:pageBreakBefore w:val="0"/>
        <w:kinsoku/>
        <w:wordWrap/>
        <w:overflowPunct/>
        <w:topLinePunct w:val="0"/>
        <w:autoSpaceDN/>
        <w:bidi w:val="0"/>
        <w:spacing w:line="560" w:lineRule="exact"/>
        <w:ind w:left="0" w:leftChars="0" w:right="0" w:rightChars="0" w:firstLine="0" w:firstLineChars="0"/>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宜春市生态环境局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日</w:t>
      </w:r>
    </w:p>
    <w:p>
      <w:pPr>
        <w:pStyle w:val="24"/>
        <w:pageBreakBefore w:val="0"/>
        <w:widowControl w:val="0"/>
        <w:kinsoku/>
        <w:wordWrap/>
        <w:overflowPunct/>
        <w:topLinePunct w:val="0"/>
        <w:bidi w:val="0"/>
        <w:spacing w:line="600" w:lineRule="exact"/>
        <w:textAlignment w:val="auto"/>
        <w:outlineLvl w:val="9"/>
        <w:rPr>
          <w:rFonts w:hint="eastAsia" w:ascii="CESI仿宋-GB2312" w:hAnsi="CESI仿宋-GB2312" w:eastAsia="CESI仿宋-GB2312" w:cs="CESI仿宋-GB2312"/>
          <w:b w:val="0"/>
          <w:bCs w:val="0"/>
          <w:szCs w:val="32"/>
        </w:rPr>
      </w:pPr>
      <w:r>
        <w:rPr>
          <w:rFonts w:hint="eastAsia" w:ascii="CESI仿宋-GB2312" w:hAnsi="CESI仿宋-GB2312" w:eastAsia="CESI仿宋-GB2312" w:cs="CESI仿宋-GB2312"/>
          <w:b w:val="0"/>
          <w:bCs w:val="0"/>
          <w:szCs w:val="32"/>
        </w:rPr>
        <w:t>（</w:t>
      </w:r>
      <w:r>
        <w:rPr>
          <w:rFonts w:hint="eastAsia" w:ascii="仿宋_GB2312" w:hAnsi="仿宋_GB2312" w:eastAsia="仿宋_GB2312" w:cs="仿宋_GB2312"/>
          <w:b w:val="0"/>
          <w:bCs w:val="0"/>
          <w:szCs w:val="32"/>
        </w:rPr>
        <w:t>此件主动公开</w:t>
      </w:r>
      <w:r>
        <w:rPr>
          <w:rFonts w:hint="eastAsia" w:ascii="CESI仿宋-GB2312" w:hAnsi="CESI仿宋-GB2312" w:eastAsia="CESI仿宋-GB2312" w:cs="CESI仿宋-GB2312"/>
          <w:b w:val="0"/>
          <w:bCs w:val="0"/>
          <w:szCs w:val="32"/>
        </w:rPr>
        <w:t>）</w:t>
      </w:r>
    </w:p>
    <w:p>
      <w:pPr>
        <w:pStyle w:val="21"/>
        <w:pageBreakBefore w:val="0"/>
        <w:widowControl w:val="0"/>
        <w:kinsoku/>
        <w:wordWrap/>
        <w:overflowPunct/>
        <w:topLinePunct w:val="0"/>
        <w:bidi w:val="0"/>
        <w:spacing w:line="600" w:lineRule="exact"/>
        <w:textAlignment w:val="auto"/>
        <w:rPr>
          <w:rFonts w:hint="eastAsia" w:ascii="CESI仿宋-GB2312" w:hAnsi="CESI仿宋-GB2312" w:eastAsia="CESI仿宋-GB2312" w:cs="CESI仿宋-GB2312"/>
          <w:b w:val="0"/>
          <w:bCs w:val="0"/>
          <w:szCs w:val="32"/>
        </w:rPr>
      </w:pPr>
    </w:p>
    <w:p>
      <w:pPr>
        <w:rPr>
          <w:rFonts w:hint="eastAsia" w:ascii="CESI仿宋-GB2312" w:hAnsi="CESI仿宋-GB2312" w:eastAsia="CESI仿宋-GB2312" w:cs="CESI仿宋-GB2312"/>
          <w:b w:val="0"/>
          <w:bCs w:val="0"/>
          <w:szCs w:val="32"/>
        </w:rPr>
      </w:pPr>
    </w:p>
    <w:p>
      <w:pPr>
        <w:pStyle w:val="7"/>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hint="eastAsia" w:ascii="仿宋_GB2312" w:eastAsia="仿宋_GB2312"/>
          <w:color w:val="000000"/>
          <w:sz w:val="28"/>
          <w:szCs w:val="32"/>
          <w:u w:val="single"/>
        </w:rPr>
      </w:pP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spacing w:beforeLines="30" w:line="460" w:lineRule="exact"/>
        <w:ind w:left="840" w:hanging="840" w:hangingChars="300"/>
        <w:rPr>
          <w:rFonts w:ascii="仿宋_GB2312" w:hAnsi="仿宋_GB2312" w:eastAsia="仿宋_GB2312"/>
          <w:color w:val="000000"/>
          <w:spacing w:val="-6"/>
          <w:sz w:val="28"/>
          <w:szCs w:val="32"/>
        </w:rPr>
      </w:pPr>
      <w:r>
        <w:rPr>
          <w:rFonts w:hint="eastAsia" w:ascii="仿宋_GB2312" w:hAnsi="宋体" w:eastAsia="仿宋_GB2312"/>
          <w:bCs/>
          <w:color w:val="000000"/>
          <w:sz w:val="28"/>
          <w:szCs w:val="32"/>
        </w:rPr>
        <w:t xml:space="preserve">抄送: </w:t>
      </w:r>
      <w:r>
        <w:rPr>
          <w:rFonts w:hint="eastAsia" w:ascii="仿宋_GB2312" w:hAnsi="宋体" w:eastAsia="仿宋_GB2312"/>
          <w:bCs/>
          <w:color w:val="000000"/>
          <w:sz w:val="28"/>
          <w:szCs w:val="32"/>
          <w:lang w:eastAsia="zh-CN"/>
        </w:rPr>
        <w:t>袁州区</w:t>
      </w:r>
      <w:r>
        <w:rPr>
          <w:rFonts w:hint="eastAsia" w:ascii="仿宋_GB2312" w:hAnsi="宋体" w:eastAsia="仿宋_GB2312"/>
          <w:bCs/>
          <w:sz w:val="28"/>
          <w:szCs w:val="32"/>
        </w:rPr>
        <w:t>人民政府，宜春市</w:t>
      </w:r>
      <w:r>
        <w:rPr>
          <w:rFonts w:hint="eastAsia" w:ascii="仿宋_GB2312" w:hAnsi="宋体" w:eastAsia="仿宋_GB2312"/>
          <w:bCs/>
          <w:sz w:val="28"/>
          <w:szCs w:val="32"/>
          <w:lang w:eastAsia="zh-CN"/>
        </w:rPr>
        <w:t>袁州</w:t>
      </w:r>
      <w:r>
        <w:rPr>
          <w:rFonts w:hint="eastAsia" w:ascii="仿宋_GB2312" w:hAnsi="宋体" w:eastAsia="仿宋_GB2312"/>
          <w:bCs/>
          <w:sz w:val="28"/>
          <w:szCs w:val="32"/>
        </w:rPr>
        <w:t>生态环境局</w:t>
      </w:r>
      <w:r>
        <w:rPr>
          <w:rFonts w:hint="eastAsia" w:ascii="仿宋_GB2312" w:hAnsi="华文仿宋" w:eastAsia="仿宋_GB2312"/>
          <w:spacing w:val="-6"/>
          <w:sz w:val="28"/>
          <w:szCs w:val="32"/>
        </w:rPr>
        <w:t>，局相关科室，局直属有关单位，</w:t>
      </w:r>
      <w:r>
        <w:rPr>
          <w:rFonts w:hint="eastAsia" w:ascii="仿宋_GB2312" w:hAnsi="宋体" w:eastAsia="仿宋_GB2312" w:cs="Times New Roman"/>
          <w:bCs/>
          <w:sz w:val="28"/>
          <w:szCs w:val="32"/>
          <w:lang w:val="en-US" w:eastAsia="zh-CN"/>
        </w:rPr>
        <w:t>宜春市益鑫环保科技有限公司</w:t>
      </w:r>
      <w:r>
        <w:rPr>
          <w:rFonts w:hint="eastAsia" w:ascii="仿宋_GB2312" w:hAnsi="华文仿宋" w:eastAsia="仿宋_GB2312"/>
          <w:spacing w:val="-6"/>
          <w:sz w:val="28"/>
          <w:szCs w:val="32"/>
        </w:rPr>
        <w:t>。</w:t>
      </w:r>
      <w:r>
        <w:rPr>
          <w:rFonts w:hint="eastAsia" w:ascii="仿宋_GB2312" w:hAnsi="仿宋_GB2312" w:eastAsia="仿宋_GB2312"/>
          <w:color w:val="000000"/>
          <w:spacing w:val="-6"/>
          <w:sz w:val="28"/>
          <w:szCs w:val="32"/>
        </w:rPr>
        <w:t>　</w:t>
      </w: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tabs>
          <w:tab w:val="left" w:pos="7938"/>
        </w:tabs>
        <w:spacing w:line="520" w:lineRule="exact"/>
        <w:rPr>
          <w:rFonts w:ascii="仿宋_GB2312" w:eastAsia="仿宋_GB2312"/>
          <w:color w:val="000000"/>
          <w:sz w:val="28"/>
          <w:szCs w:val="32"/>
        </w:rPr>
      </w:pPr>
      <w:r>
        <w:rPr>
          <w:rFonts w:hint="eastAsia" w:ascii="仿宋_GB2312" w:eastAsia="仿宋_GB2312"/>
          <w:color w:val="000000"/>
          <w:sz w:val="28"/>
          <w:szCs w:val="32"/>
        </w:rPr>
        <w:t>宜春市生态环境局秘书科　 　            　 202</w:t>
      </w:r>
      <w:r>
        <w:rPr>
          <w:rFonts w:hint="eastAsia" w:ascii="仿宋_GB2312" w:eastAsia="仿宋_GB2312"/>
          <w:color w:val="000000"/>
          <w:sz w:val="28"/>
          <w:szCs w:val="32"/>
          <w:lang w:val="en-US" w:eastAsia="zh-CN"/>
        </w:rPr>
        <w:t>3</w:t>
      </w:r>
      <w:r>
        <w:rPr>
          <w:rFonts w:hint="eastAsia" w:ascii="仿宋_GB2312" w:eastAsia="仿宋_GB2312"/>
          <w:color w:val="000000"/>
          <w:sz w:val="28"/>
          <w:szCs w:val="32"/>
        </w:rPr>
        <w:t>年</w:t>
      </w:r>
      <w:r>
        <w:rPr>
          <w:rFonts w:hint="eastAsia" w:ascii="仿宋_GB2312" w:eastAsia="仿宋_GB2312"/>
          <w:color w:val="000000"/>
          <w:sz w:val="28"/>
          <w:szCs w:val="32"/>
          <w:lang w:val="en-US" w:eastAsia="zh-CN"/>
        </w:rPr>
        <w:t>11</w:t>
      </w:r>
      <w:r>
        <w:rPr>
          <w:rFonts w:hint="eastAsia" w:ascii="仿宋_GB2312" w:eastAsia="仿宋_GB2312"/>
          <w:color w:val="000000"/>
          <w:sz w:val="28"/>
          <w:szCs w:val="32"/>
        </w:rPr>
        <w:t>月</w:t>
      </w:r>
      <w:r>
        <w:rPr>
          <w:rFonts w:hint="eastAsia" w:ascii="仿宋_GB2312" w:eastAsia="仿宋_GB2312"/>
          <w:color w:val="000000"/>
          <w:sz w:val="28"/>
          <w:szCs w:val="32"/>
          <w:lang w:val="en-US" w:eastAsia="zh-CN"/>
        </w:rPr>
        <w:t>10</w:t>
      </w:r>
      <w:r>
        <w:rPr>
          <w:rFonts w:hint="eastAsia" w:ascii="仿宋_GB2312" w:eastAsia="仿宋_GB2312"/>
          <w:color w:val="000000"/>
          <w:sz w:val="28"/>
          <w:szCs w:val="32"/>
        </w:rPr>
        <w:t>日印发</w:t>
      </w:r>
    </w:p>
    <w:p>
      <w:pPr>
        <w:spacing w:line="140" w:lineRule="exact"/>
        <w:rPr>
          <w:rFonts w:ascii="仿宋_GB2312" w:hAnsi="华文仿宋" w:eastAsia="仿宋_GB2312"/>
          <w:spacing w:val="-6"/>
          <w:sz w:val="18"/>
          <w:szCs w:val="32"/>
        </w:rPr>
      </w:pPr>
      <w:r>
        <w:rPr>
          <w:rFonts w:hint="eastAsia" w:ascii="仿宋_GB2312" w:eastAsia="仿宋_GB2312"/>
          <w:color w:val="000000"/>
          <w:sz w:val="28"/>
          <w:szCs w:val="32"/>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3"/>
    <w:family w:val="auto"/>
    <w:pitch w:val="default"/>
    <w:sig w:usb0="00000000" w:usb1="00000000" w:usb2="00000009" w:usb3="00000000" w:csb0="400001FF" w:csb1="FFFF0000"/>
  </w:font>
  <w:font w:name="宋体">
    <w:panose1 w:val="02010600030101010101"/>
    <w:charset w:val="8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Arial Unicode MS">
    <w:altName w:val="Nimbus Roman No9 L"/>
    <w:panose1 w:val="020B0604020202020204"/>
    <w:charset w:val="00"/>
    <w:family w:val="auto"/>
    <w:pitch w:val="default"/>
    <w:sig w:usb0="00000000" w:usb1="00000000" w:usb2="0000003F" w:usb3="00000000" w:csb0="601F00FF" w:csb1="FFFF0000"/>
  </w:font>
  <w:font w:name="宋体-PUA">
    <w:panose1 w:val="02010600030101010101"/>
    <w:charset w:val="86"/>
    <w:family w:val="auto"/>
    <w:pitch w:val="default"/>
    <w:sig w:usb0="00000000" w:usb1="10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PEfOxAQAAUQ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pS4oXDFZ2+fT19/3n68YW0xZ4xpg67&#10;HiP25ekuTJxm2Ku5lDBfhE8aXPlFSQRb0Ovj1V81ZSIxuVy1q1W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1k8R87EBAABRAwAADgAAAAAAAAABACAAAAA0AQAAZHJzL2Uyb0RvYy54&#10;bWxQSwUGAAAAAAYABgBZAQAAVwUAAAAA&#10;">
              <v:fill on="f" focussize="0,0"/>
              <v:stroke on="f"/>
              <v:imagedata o:title=""/>
              <o:lock v:ext="edit" aspectratio="f"/>
              <v:textbox inset="0mm,0mm,0mm,0mm" style="mso-fit-shape-to-text:t;">
                <w:txbxContent>
                  <w:p>
                    <w:pPr>
                      <w:pStyle w:val="14"/>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FA61E"/>
    <w:multiLevelType w:val="singleLevel"/>
    <w:tmpl w:val="DDFFA61E"/>
    <w:lvl w:ilvl="0" w:tentative="0">
      <w:start w:val="1"/>
      <w:numFmt w:val="chineseCounting"/>
      <w:suff w:val="nothing"/>
      <w:lvlText w:val="%1、"/>
      <w:lvlJc w:val="left"/>
      <w:rPr>
        <w:rFonts w:hint="eastAsia"/>
        <w:lang w:val="en-US"/>
      </w:rPr>
    </w:lvl>
  </w:abstractNum>
  <w:abstractNum w:abstractNumId="1">
    <w:nsid w:val="767F086A"/>
    <w:multiLevelType w:val="singleLevel"/>
    <w:tmpl w:val="767F086A"/>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061B"/>
    <w:rsid w:val="002C1A1F"/>
    <w:rsid w:val="002D36C8"/>
    <w:rsid w:val="002D4357"/>
    <w:rsid w:val="002E6EC5"/>
    <w:rsid w:val="002F0352"/>
    <w:rsid w:val="002F47FE"/>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3680E"/>
    <w:rsid w:val="007526F5"/>
    <w:rsid w:val="007560D8"/>
    <w:rsid w:val="00771662"/>
    <w:rsid w:val="0077442E"/>
    <w:rsid w:val="00774977"/>
    <w:rsid w:val="00781170"/>
    <w:rsid w:val="00794C9D"/>
    <w:rsid w:val="007C4113"/>
    <w:rsid w:val="007C66F2"/>
    <w:rsid w:val="007D0404"/>
    <w:rsid w:val="007F7109"/>
    <w:rsid w:val="008048A6"/>
    <w:rsid w:val="00807746"/>
    <w:rsid w:val="00812F26"/>
    <w:rsid w:val="00856911"/>
    <w:rsid w:val="00874512"/>
    <w:rsid w:val="008858FF"/>
    <w:rsid w:val="00885FA8"/>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1B9C"/>
    <w:rsid w:val="00BC41E5"/>
    <w:rsid w:val="00BC45AB"/>
    <w:rsid w:val="00BC557B"/>
    <w:rsid w:val="00BD2CE5"/>
    <w:rsid w:val="00BD3CA3"/>
    <w:rsid w:val="00BD5C75"/>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6421C"/>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4"/>
    <w:rsid w:val="00F9748B"/>
    <w:rsid w:val="00FA7567"/>
    <w:rsid w:val="00FC0384"/>
    <w:rsid w:val="00FC07C2"/>
    <w:rsid w:val="00FC1B12"/>
    <w:rsid w:val="00FC3FDC"/>
    <w:rsid w:val="00FC70FE"/>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622CF6"/>
    <w:rsid w:val="0A7710D8"/>
    <w:rsid w:val="0AB3237D"/>
    <w:rsid w:val="0AB508A0"/>
    <w:rsid w:val="0ABD519F"/>
    <w:rsid w:val="0AC173C5"/>
    <w:rsid w:val="0ADE06F6"/>
    <w:rsid w:val="0AFF0B00"/>
    <w:rsid w:val="0AFFDFF5"/>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0551D"/>
    <w:rsid w:val="1D7E7C7B"/>
    <w:rsid w:val="1D7F7B99"/>
    <w:rsid w:val="1DB924E9"/>
    <w:rsid w:val="1DC74215"/>
    <w:rsid w:val="1DE7DC64"/>
    <w:rsid w:val="1DF41A03"/>
    <w:rsid w:val="1E9A6476"/>
    <w:rsid w:val="1EB47D2E"/>
    <w:rsid w:val="1EBF97AF"/>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CEE7"/>
    <w:rsid w:val="1FBFF046"/>
    <w:rsid w:val="1FD1682D"/>
    <w:rsid w:val="1FDF234E"/>
    <w:rsid w:val="1FEDB956"/>
    <w:rsid w:val="1FEE0E62"/>
    <w:rsid w:val="1FFC36DB"/>
    <w:rsid w:val="1FFF9B15"/>
    <w:rsid w:val="1FFF9DF5"/>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8F6165"/>
    <w:rsid w:val="29AB2E6F"/>
    <w:rsid w:val="29AC13BE"/>
    <w:rsid w:val="29C0187A"/>
    <w:rsid w:val="2A0D6FEB"/>
    <w:rsid w:val="2A7C3107"/>
    <w:rsid w:val="2A826B38"/>
    <w:rsid w:val="2A951FF8"/>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EFB49FD"/>
    <w:rsid w:val="2F00520A"/>
    <w:rsid w:val="2F083B51"/>
    <w:rsid w:val="2F16A0F4"/>
    <w:rsid w:val="2F1E7FD4"/>
    <w:rsid w:val="2F1FEF96"/>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71025"/>
    <w:rsid w:val="37FB78CB"/>
    <w:rsid w:val="37FC3623"/>
    <w:rsid w:val="37FFDFE5"/>
    <w:rsid w:val="381C450D"/>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9FE6291"/>
    <w:rsid w:val="3A005026"/>
    <w:rsid w:val="3A271528"/>
    <w:rsid w:val="3A4D5F79"/>
    <w:rsid w:val="3A603086"/>
    <w:rsid w:val="3A903868"/>
    <w:rsid w:val="3AB7A406"/>
    <w:rsid w:val="3AEA6A84"/>
    <w:rsid w:val="3AF79A98"/>
    <w:rsid w:val="3B277521"/>
    <w:rsid w:val="3B3E184B"/>
    <w:rsid w:val="3B48159D"/>
    <w:rsid w:val="3B73BCC3"/>
    <w:rsid w:val="3BB52F69"/>
    <w:rsid w:val="3BB71564"/>
    <w:rsid w:val="3BBF06F6"/>
    <w:rsid w:val="3BE27E23"/>
    <w:rsid w:val="3BE51489"/>
    <w:rsid w:val="3BFA93EF"/>
    <w:rsid w:val="3BFCF68E"/>
    <w:rsid w:val="3C6C15EF"/>
    <w:rsid w:val="3C9B1AF4"/>
    <w:rsid w:val="3CA00EC4"/>
    <w:rsid w:val="3CA059E2"/>
    <w:rsid w:val="3CBD4165"/>
    <w:rsid w:val="3CD83CD7"/>
    <w:rsid w:val="3CD93B40"/>
    <w:rsid w:val="3CEDF9E2"/>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8E2FAD"/>
    <w:rsid w:val="3E962242"/>
    <w:rsid w:val="3E9C4014"/>
    <w:rsid w:val="3EAB0813"/>
    <w:rsid w:val="3EBF0C9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7F4C3"/>
    <w:rsid w:val="3FBD71D2"/>
    <w:rsid w:val="3FBD8D6B"/>
    <w:rsid w:val="3FC111A5"/>
    <w:rsid w:val="3FC767C0"/>
    <w:rsid w:val="3FCB541B"/>
    <w:rsid w:val="3FDF44C6"/>
    <w:rsid w:val="3FE394E7"/>
    <w:rsid w:val="3FFB0E64"/>
    <w:rsid w:val="3FFB4CC3"/>
    <w:rsid w:val="3FFBE772"/>
    <w:rsid w:val="3FFD09BF"/>
    <w:rsid w:val="3FFF180E"/>
    <w:rsid w:val="3FFF3C7C"/>
    <w:rsid w:val="3FFF71D4"/>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3F953B9"/>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7F83BF"/>
    <w:rsid w:val="4FB60EB6"/>
    <w:rsid w:val="4FC9436C"/>
    <w:rsid w:val="4FD72B41"/>
    <w:rsid w:val="4FF36A56"/>
    <w:rsid w:val="4FF41F1D"/>
    <w:rsid w:val="4FF8F6C7"/>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1F616E2"/>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EE0E67"/>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A04162B"/>
    <w:rsid w:val="5A091DC0"/>
    <w:rsid w:val="5A145BBF"/>
    <w:rsid w:val="5A81421E"/>
    <w:rsid w:val="5A963AAD"/>
    <w:rsid w:val="5A9E2282"/>
    <w:rsid w:val="5ACFD81A"/>
    <w:rsid w:val="5AD563E4"/>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8995"/>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A50BC"/>
    <w:rsid w:val="5F7EDA11"/>
    <w:rsid w:val="5F874302"/>
    <w:rsid w:val="5F8E49D3"/>
    <w:rsid w:val="5FB00E66"/>
    <w:rsid w:val="5FB6969D"/>
    <w:rsid w:val="5FB7C31A"/>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5013A"/>
    <w:rsid w:val="5FF70023"/>
    <w:rsid w:val="5FF774DD"/>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DCE408"/>
    <w:rsid w:val="67EDB27E"/>
    <w:rsid w:val="67EDBDA0"/>
    <w:rsid w:val="67FD3F14"/>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E1E02"/>
    <w:rsid w:val="6B7F6011"/>
    <w:rsid w:val="6B84408B"/>
    <w:rsid w:val="6BAE6F4B"/>
    <w:rsid w:val="6BB9765C"/>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9C0B78"/>
    <w:rsid w:val="6FB0302E"/>
    <w:rsid w:val="6FBB02AE"/>
    <w:rsid w:val="6FBF5CB5"/>
    <w:rsid w:val="6FCE37D4"/>
    <w:rsid w:val="6FE71825"/>
    <w:rsid w:val="6FEB3409"/>
    <w:rsid w:val="6FF2EFD2"/>
    <w:rsid w:val="6FF55067"/>
    <w:rsid w:val="6FF70C7C"/>
    <w:rsid w:val="6FF736B6"/>
    <w:rsid w:val="6FFE666F"/>
    <w:rsid w:val="6FFF58D7"/>
    <w:rsid w:val="6FFF9DD0"/>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410B"/>
    <w:rsid w:val="75670E1B"/>
    <w:rsid w:val="757E8488"/>
    <w:rsid w:val="759D5D2B"/>
    <w:rsid w:val="759DDA6E"/>
    <w:rsid w:val="75B57793"/>
    <w:rsid w:val="75B847FC"/>
    <w:rsid w:val="75DFB6E5"/>
    <w:rsid w:val="75E60986"/>
    <w:rsid w:val="75F14FA4"/>
    <w:rsid w:val="75FFAC91"/>
    <w:rsid w:val="76067541"/>
    <w:rsid w:val="76171E85"/>
    <w:rsid w:val="761E1DD9"/>
    <w:rsid w:val="76571F4C"/>
    <w:rsid w:val="766D0A82"/>
    <w:rsid w:val="767F7BF5"/>
    <w:rsid w:val="76824B18"/>
    <w:rsid w:val="769FBAE5"/>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B4E15"/>
    <w:rsid w:val="775FECDC"/>
    <w:rsid w:val="776FDB6C"/>
    <w:rsid w:val="777DBF53"/>
    <w:rsid w:val="77856AD2"/>
    <w:rsid w:val="77930992"/>
    <w:rsid w:val="779DE44C"/>
    <w:rsid w:val="77AF5D8E"/>
    <w:rsid w:val="77B721C1"/>
    <w:rsid w:val="77B85496"/>
    <w:rsid w:val="77BDE492"/>
    <w:rsid w:val="77BF1A9D"/>
    <w:rsid w:val="77C108C2"/>
    <w:rsid w:val="77D17308"/>
    <w:rsid w:val="77D1C8D7"/>
    <w:rsid w:val="77D6F24B"/>
    <w:rsid w:val="77D88B02"/>
    <w:rsid w:val="77DC26BA"/>
    <w:rsid w:val="77DDBC11"/>
    <w:rsid w:val="77DF785A"/>
    <w:rsid w:val="77DF97EA"/>
    <w:rsid w:val="77E95C1D"/>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B38FD3"/>
    <w:rsid w:val="7ADE746F"/>
    <w:rsid w:val="7ADF8D6D"/>
    <w:rsid w:val="7ADFEA57"/>
    <w:rsid w:val="7AEF646F"/>
    <w:rsid w:val="7AF46CCC"/>
    <w:rsid w:val="7AF80114"/>
    <w:rsid w:val="7AFBA5EB"/>
    <w:rsid w:val="7B0C378D"/>
    <w:rsid w:val="7B14665D"/>
    <w:rsid w:val="7B211BE0"/>
    <w:rsid w:val="7B3604A3"/>
    <w:rsid w:val="7B64B9A8"/>
    <w:rsid w:val="7B6C23D0"/>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FAC73"/>
    <w:rsid w:val="7C805BDF"/>
    <w:rsid w:val="7C960D11"/>
    <w:rsid w:val="7C9D15C7"/>
    <w:rsid w:val="7CBE2CE3"/>
    <w:rsid w:val="7CBE8518"/>
    <w:rsid w:val="7CD09542"/>
    <w:rsid w:val="7CD51442"/>
    <w:rsid w:val="7CEC546D"/>
    <w:rsid w:val="7CED360A"/>
    <w:rsid w:val="7CF11320"/>
    <w:rsid w:val="7CF81A8E"/>
    <w:rsid w:val="7CFD5C8F"/>
    <w:rsid w:val="7D4877F9"/>
    <w:rsid w:val="7D5F766F"/>
    <w:rsid w:val="7D772C0B"/>
    <w:rsid w:val="7D7E47AD"/>
    <w:rsid w:val="7D7F3FD0"/>
    <w:rsid w:val="7D804B82"/>
    <w:rsid w:val="7D841571"/>
    <w:rsid w:val="7D9E4DCD"/>
    <w:rsid w:val="7DB44617"/>
    <w:rsid w:val="7DB912C6"/>
    <w:rsid w:val="7DBF242F"/>
    <w:rsid w:val="7DCFA9AF"/>
    <w:rsid w:val="7DEF655E"/>
    <w:rsid w:val="7DEF9F51"/>
    <w:rsid w:val="7DEFDD4D"/>
    <w:rsid w:val="7DF55D84"/>
    <w:rsid w:val="7DF5E540"/>
    <w:rsid w:val="7DFFD3A2"/>
    <w:rsid w:val="7E15D1C6"/>
    <w:rsid w:val="7E1861B4"/>
    <w:rsid w:val="7E1E6385"/>
    <w:rsid w:val="7E1FF0C7"/>
    <w:rsid w:val="7E3D5B49"/>
    <w:rsid w:val="7E3D6278"/>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BE433"/>
    <w:rsid w:val="7ECD3183"/>
    <w:rsid w:val="7ED98415"/>
    <w:rsid w:val="7EDFE720"/>
    <w:rsid w:val="7EE4341C"/>
    <w:rsid w:val="7EE97414"/>
    <w:rsid w:val="7EED88DE"/>
    <w:rsid w:val="7EEE2962"/>
    <w:rsid w:val="7EF93AE8"/>
    <w:rsid w:val="7EFB48B0"/>
    <w:rsid w:val="7EFDBDD5"/>
    <w:rsid w:val="7EFF22D5"/>
    <w:rsid w:val="7EFF4FB8"/>
    <w:rsid w:val="7EFF55D8"/>
    <w:rsid w:val="7EFFCA79"/>
    <w:rsid w:val="7F0B523C"/>
    <w:rsid w:val="7F1A2ADD"/>
    <w:rsid w:val="7F1FE4C4"/>
    <w:rsid w:val="7F2E9941"/>
    <w:rsid w:val="7F3F0374"/>
    <w:rsid w:val="7F3F48D2"/>
    <w:rsid w:val="7F3FBEE0"/>
    <w:rsid w:val="7F4FD5E4"/>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6C28"/>
    <w:rsid w:val="7FD7B55D"/>
    <w:rsid w:val="7FDA4A78"/>
    <w:rsid w:val="7FDBD71A"/>
    <w:rsid w:val="7FDE6D84"/>
    <w:rsid w:val="7FDF0F57"/>
    <w:rsid w:val="7FDF8A26"/>
    <w:rsid w:val="7FE45506"/>
    <w:rsid w:val="7FE74340"/>
    <w:rsid w:val="7FE777B0"/>
    <w:rsid w:val="7FED35EB"/>
    <w:rsid w:val="7FED80C2"/>
    <w:rsid w:val="7FEFB642"/>
    <w:rsid w:val="7FEFD588"/>
    <w:rsid w:val="7FEFF9FF"/>
    <w:rsid w:val="7FF06597"/>
    <w:rsid w:val="7FF3738C"/>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5C2"/>
    <w:rsid w:val="7FFFEDA8"/>
    <w:rsid w:val="7FFFFFF5"/>
    <w:rsid w:val="80FFD23B"/>
    <w:rsid w:val="87647AF8"/>
    <w:rsid w:val="8BAD3C64"/>
    <w:rsid w:val="8DFFD1AA"/>
    <w:rsid w:val="8F3E3382"/>
    <w:rsid w:val="8F7302B9"/>
    <w:rsid w:val="8FBB9A55"/>
    <w:rsid w:val="91DFE8F5"/>
    <w:rsid w:val="93DB74AF"/>
    <w:rsid w:val="97D71DFE"/>
    <w:rsid w:val="97F767A1"/>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FBA19"/>
    <w:rsid w:val="9FFFF6C8"/>
    <w:rsid w:val="A4F29759"/>
    <w:rsid w:val="A56A5B4C"/>
    <w:rsid w:val="A5FD887E"/>
    <w:rsid w:val="A69E7D90"/>
    <w:rsid w:val="A798F561"/>
    <w:rsid w:val="A7F5298F"/>
    <w:rsid w:val="A9FBD03D"/>
    <w:rsid w:val="ABF7DC2D"/>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D6A2F93"/>
    <w:rsid w:val="BD6D65AE"/>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BC26"/>
    <w:rsid w:val="BFFFF591"/>
    <w:rsid w:val="C57B30B2"/>
    <w:rsid w:val="C5923726"/>
    <w:rsid w:val="C5BF2169"/>
    <w:rsid w:val="C5DF0AA3"/>
    <w:rsid w:val="C7470024"/>
    <w:rsid w:val="C77B9BE9"/>
    <w:rsid w:val="C792B830"/>
    <w:rsid w:val="CB339C4C"/>
    <w:rsid w:val="CB5FE9A0"/>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3FFCC6A"/>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3DE7D86"/>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B3240E"/>
    <w:rsid w:val="EEF8367A"/>
    <w:rsid w:val="EF1BEDAE"/>
    <w:rsid w:val="EF27FB06"/>
    <w:rsid w:val="EF2E6B80"/>
    <w:rsid w:val="EF433FF5"/>
    <w:rsid w:val="EF495D11"/>
    <w:rsid w:val="EF4B19DF"/>
    <w:rsid w:val="EF6E6B32"/>
    <w:rsid w:val="EF6F4391"/>
    <w:rsid w:val="EF773B82"/>
    <w:rsid w:val="EF7FA93E"/>
    <w:rsid w:val="EF87F285"/>
    <w:rsid w:val="EFB99481"/>
    <w:rsid w:val="EFBFFBC7"/>
    <w:rsid w:val="EFCF1850"/>
    <w:rsid w:val="EFDE05E6"/>
    <w:rsid w:val="EFDF616C"/>
    <w:rsid w:val="EFF4B0B3"/>
    <w:rsid w:val="EFF5875C"/>
    <w:rsid w:val="EFF74B30"/>
    <w:rsid w:val="EFF92E18"/>
    <w:rsid w:val="EFFB9311"/>
    <w:rsid w:val="EFFBBA0B"/>
    <w:rsid w:val="EFFBF828"/>
    <w:rsid w:val="EFFF6F19"/>
    <w:rsid w:val="F0FF9582"/>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F715DC"/>
    <w:rsid w:val="F6FB67AB"/>
    <w:rsid w:val="F6FC548F"/>
    <w:rsid w:val="F6FF0645"/>
    <w:rsid w:val="F70F4387"/>
    <w:rsid w:val="F73D5672"/>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B90355"/>
    <w:rsid w:val="F9FA94DA"/>
    <w:rsid w:val="F9FFCD8A"/>
    <w:rsid w:val="F9FFE9E2"/>
    <w:rsid w:val="FA673975"/>
    <w:rsid w:val="FA6F5FA1"/>
    <w:rsid w:val="FA6F7A3B"/>
    <w:rsid w:val="FA9F3B8F"/>
    <w:rsid w:val="FABB1ADF"/>
    <w:rsid w:val="FAFB5879"/>
    <w:rsid w:val="FAFFE8B1"/>
    <w:rsid w:val="FB0FA5A1"/>
    <w:rsid w:val="FB1B2E8B"/>
    <w:rsid w:val="FB5DDB87"/>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E483E"/>
    <w:rsid w:val="FDCBF945"/>
    <w:rsid w:val="FDDF292B"/>
    <w:rsid w:val="FDE47190"/>
    <w:rsid w:val="FDEB5CB7"/>
    <w:rsid w:val="FDEB6716"/>
    <w:rsid w:val="FDEF2A04"/>
    <w:rsid w:val="FDF399A8"/>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DAA75"/>
    <w:rsid w:val="FEFEA587"/>
    <w:rsid w:val="FEFF1DE8"/>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9"/>
    <w:pPr>
      <w:keepNext/>
      <w:keepLines/>
      <w:spacing w:before="260" w:after="260" w:line="416" w:lineRule="auto"/>
      <w:outlineLvl w:val="2"/>
    </w:pPr>
    <w:rPr>
      <w:bCs/>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ascii="仿宋_GB2312" w:eastAsia="仿宋_GB2312" w:cs="仿宋_GB2312"/>
      <w:sz w:val="24"/>
    </w:rPr>
  </w:style>
  <w:style w:type="paragraph" w:customStyle="1" w:styleId="3">
    <w:name w:val="纯文本1"/>
    <w:basedOn w:val="1"/>
    <w:qFormat/>
    <w:uiPriority w:val="0"/>
    <w:pPr>
      <w:adjustRightInd w:val="0"/>
      <w:spacing w:line="240" w:lineRule="auto"/>
      <w:textAlignment w:val="baseline"/>
    </w:pPr>
    <w:rPr>
      <w:rFonts w:ascii="Courier New" w:hAnsi="Courier New"/>
      <w:sz w:val="15"/>
    </w:rPr>
  </w:style>
  <w:style w:type="paragraph" w:styleId="4">
    <w:name w:val="List"/>
    <w:basedOn w:val="1"/>
    <w:next w:val="1"/>
    <w:qFormat/>
    <w:uiPriority w:val="0"/>
    <w:pPr>
      <w:adjustRightInd w:val="0"/>
      <w:ind w:firstLine="576" w:firstLineChars="200"/>
      <w:jc w:val="center"/>
    </w:pPr>
    <w:rPr>
      <w:rFonts w:ascii="仿宋_GB2312" w:hAnsi="Times New Roman" w:eastAsia="仿宋_GB2312"/>
      <w:spacing w:val="4"/>
      <w:kern w:val="18"/>
      <w:sz w:val="28"/>
      <w:szCs w:val="21"/>
    </w:rPr>
  </w:style>
  <w:style w:type="paragraph" w:styleId="8">
    <w:name w:val="annotation text"/>
    <w:basedOn w:val="1"/>
    <w:link w:val="25"/>
    <w:qFormat/>
    <w:uiPriority w:val="0"/>
    <w:pPr>
      <w:jc w:val="left"/>
    </w:pPr>
  </w:style>
  <w:style w:type="paragraph" w:styleId="9">
    <w:name w:val="Body Text"/>
    <w:basedOn w:val="1"/>
    <w:next w:val="1"/>
    <w:qFormat/>
    <w:uiPriority w:val="0"/>
    <w:pPr>
      <w:spacing w:after="120"/>
    </w:pPr>
  </w:style>
  <w:style w:type="paragraph" w:styleId="10">
    <w:name w:val="Body Text Indent"/>
    <w:basedOn w:val="1"/>
    <w:next w:val="11"/>
    <w:qFormat/>
    <w:uiPriority w:val="0"/>
    <w:pPr>
      <w:spacing w:line="480" w:lineRule="exact"/>
      <w:ind w:firstLine="480" w:firstLineChars="200"/>
    </w:pPr>
    <w:rPr>
      <w:rFonts w:ascii="宋体" w:hAnsi="宋体"/>
      <w:color w:val="FF0000"/>
      <w:kern w:val="0"/>
      <w:sz w:val="24"/>
    </w:rPr>
  </w:style>
  <w:style w:type="paragraph" w:styleId="11">
    <w:name w:val="Body Text First Indent 2"/>
    <w:basedOn w:val="10"/>
    <w:next w:val="1"/>
    <w:unhideWhenUsed/>
    <w:qFormat/>
    <w:uiPriority w:val="0"/>
    <w:pPr>
      <w:spacing w:after="120" w:line="240" w:lineRule="auto"/>
      <w:ind w:left="420" w:leftChars="200" w:firstLine="420"/>
    </w:pPr>
  </w:style>
  <w:style w:type="paragraph" w:styleId="12">
    <w:name w:val="Body Text Indent 2"/>
    <w:basedOn w:val="1"/>
    <w:next w:val="11"/>
    <w:qFormat/>
    <w:uiPriority w:val="0"/>
    <w:pPr>
      <w:spacing w:line="460" w:lineRule="exact"/>
      <w:ind w:firstLine="600" w:firstLineChars="200"/>
    </w:pPr>
    <w:rPr>
      <w:rFonts w:ascii="仿宋_GB2312" w:hAnsi="宋体" w:eastAsia="仿宋_GB2312"/>
      <w:sz w:val="30"/>
      <w:szCs w:val="28"/>
    </w:rPr>
  </w:style>
  <w:style w:type="paragraph" w:styleId="13">
    <w:name w:val="Balloon Text"/>
    <w:basedOn w:val="1"/>
    <w:link w:val="2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annotation subject"/>
    <w:basedOn w:val="8"/>
    <w:next w:val="8"/>
    <w:link w:val="26"/>
    <w:qFormat/>
    <w:uiPriority w:val="0"/>
    <w:rPr>
      <w:b/>
      <w:bCs/>
    </w:rPr>
  </w:style>
  <w:style w:type="paragraph" w:styleId="17">
    <w:name w:val="Body Text First Indent"/>
    <w:basedOn w:val="9"/>
    <w:unhideWhenUsed/>
    <w:qFormat/>
    <w:uiPriority w:val="99"/>
    <w:pPr>
      <w:ind w:firstLine="420" w:firstLineChars="100"/>
    </w:pPr>
    <w:rPr>
      <w:szCs w:val="22"/>
    </w:rPr>
  </w:style>
  <w:style w:type="character" w:styleId="20">
    <w:name w:val="annotation reference"/>
    <w:basedOn w:val="19"/>
    <w:qFormat/>
    <w:uiPriority w:val="0"/>
    <w:rPr>
      <w:sz w:val="21"/>
      <w:szCs w:val="21"/>
    </w:rPr>
  </w:style>
  <w:style w:type="paragraph" w:customStyle="1" w:styleId="21">
    <w:name w:val="Default1"/>
    <w:basedOn w:val="22"/>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2">
    <w:name w:val="Normal_14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4">
    <w:name w:val="样式 标题 2"/>
    <w:basedOn w:val="6"/>
    <w:next w:val="21"/>
    <w:qFormat/>
    <w:uiPriority w:val="0"/>
    <w:pPr>
      <w:spacing w:before="50" w:after="50"/>
    </w:pPr>
    <w:rPr>
      <w:szCs w:val="28"/>
    </w:rPr>
  </w:style>
  <w:style w:type="character" w:customStyle="1" w:styleId="25">
    <w:name w:val="批注文字 Char"/>
    <w:basedOn w:val="19"/>
    <w:link w:val="8"/>
    <w:qFormat/>
    <w:uiPriority w:val="0"/>
    <w:rPr>
      <w:kern w:val="2"/>
      <w:sz w:val="21"/>
      <w:szCs w:val="24"/>
    </w:rPr>
  </w:style>
  <w:style w:type="character" w:customStyle="1" w:styleId="26">
    <w:name w:val="批注主题 Char"/>
    <w:basedOn w:val="25"/>
    <w:link w:val="16"/>
    <w:qFormat/>
    <w:uiPriority w:val="0"/>
    <w:rPr>
      <w:b/>
      <w:bCs/>
      <w:kern w:val="2"/>
      <w:sz w:val="21"/>
      <w:szCs w:val="24"/>
    </w:rPr>
  </w:style>
  <w:style w:type="character" w:customStyle="1" w:styleId="27">
    <w:name w:val="批注框文本 Char"/>
    <w:basedOn w:val="19"/>
    <w:link w:val="13"/>
    <w:qFormat/>
    <w:uiPriority w:val="0"/>
    <w:rPr>
      <w:kern w:val="2"/>
      <w:sz w:val="18"/>
      <w:szCs w:val="18"/>
    </w:rPr>
  </w:style>
  <w:style w:type="paragraph" w:customStyle="1" w:styleId="28">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29">
    <w:name w:val="List Paragraph"/>
    <w:basedOn w:val="1"/>
    <w:unhideWhenUsed/>
    <w:qFormat/>
    <w:uiPriority w:val="99"/>
    <w:pPr>
      <w:ind w:firstLine="420" w:firstLineChars="200"/>
    </w:pPr>
  </w:style>
  <w:style w:type="paragraph" w:customStyle="1" w:styleId="30">
    <w:name w:val="A0正文"/>
    <w:basedOn w:val="1"/>
    <w:qFormat/>
    <w:uiPriority w:val="0"/>
    <w:pPr>
      <w:spacing w:line="560" w:lineRule="exact"/>
      <w:ind w:firstLine="200" w:firstLineChars="200"/>
    </w:pPr>
    <w:rPr>
      <w:sz w:val="24"/>
      <w:szCs w:val="20"/>
      <w:lang w:val="zh-CN"/>
    </w:rPr>
  </w:style>
  <w:style w:type="paragraph" w:customStyle="1" w:styleId="31">
    <w:name w:val="xl27"/>
    <w:basedOn w:val="1"/>
    <w:next w:val="32"/>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32">
    <w:name w:val="A正文"/>
    <w:basedOn w:val="1"/>
    <w:qFormat/>
    <w:uiPriority w:val="0"/>
    <w:pPr>
      <w:widowControl/>
      <w:overflowPunct w:val="0"/>
      <w:autoSpaceDE w:val="0"/>
      <w:autoSpaceDN w:val="0"/>
      <w:jc w:val="left"/>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9</Pages>
  <Words>759</Words>
  <Characters>4332</Characters>
  <Lines>36</Lines>
  <Paragraphs>10</Paragraphs>
  <TotalTime>10</TotalTime>
  <ScaleCrop>false</ScaleCrop>
  <LinksUpToDate>false</LinksUpToDate>
  <CharactersWithSpaces>5081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2022-03-04T01:25:00Z</dcterms:created>
  <dc:creator>Administrator</dc:creator>
  <cp:lastModifiedBy>admin123</cp:lastModifiedBy>
  <cp:lastPrinted>2023-11-10T11:08:43Z</cp:lastPrinted>
  <dcterms:modified xsi:type="dcterms:W3CDTF">2023-11-10T11:17:50Z</dcterms:modified>
  <cp:revision>544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FCBE9B4CC0E04C92A70FAB8A4987C073</vt:lpwstr>
  </property>
</Properties>
</file>