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pacing w:after="0"/>
        <w:ind w:firstLine="210"/>
      </w:pPr>
    </w:p>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126</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uw7UY1QAAAAYBAAAPAAAAAAAAAAEAIAAAADgAAABkcnMvZG93bnJl&#10;di54bWxQSwECFAAUAAAACACHTuJALPboIuoBAACtAwAADgAAAAAAAAABACAAAAA6AQAAZHJzL2Uy&#10;b0RvYy54bWxQSwUGAAAAAAYABgBZAQAAlgUAAAAA&#10;">
                <v:fill on="f" focussize="0,0"/>
                <v:stroke weight="3pt" color="#FF0000" joinstyle="round"/>
                <v:imagedata o:title=""/>
                <o:lock v:ext="edit" aspectratio="f"/>
              </v:shape>
            </w:pict>
          </mc:Fallback>
        </mc:AlternateContent>
      </w:r>
    </w:p>
    <w:p>
      <w:pPr>
        <w:spacing w:line="640" w:lineRule="exact"/>
        <w:jc w:val="center"/>
        <w:rPr>
          <w:rFonts w:ascii="方正小标宋简体" w:hAnsi="宋体" w:eastAsia="方正小标宋简体"/>
          <w:sz w:val="44"/>
          <w:szCs w:val="44"/>
        </w:rPr>
      </w:pPr>
      <w:r>
        <w:rPr>
          <w:rFonts w:hint="eastAsia" w:ascii="方正小标宋简体" w:hAnsi="方正小标宋简体" w:eastAsia="方正小标宋简体" w:cs="方正小标宋简体"/>
          <w:sz w:val="44"/>
          <w:szCs w:val="44"/>
        </w:rPr>
        <w:t>宜春市生态环境局关于江西宜丰国泰化工有限责任公司年产16000吨膨化硝铵炸药生产线扩能技术改造项目环境影响报告书的批复</w:t>
      </w:r>
    </w:p>
    <w:p>
      <w:pPr>
        <w:spacing w:line="520" w:lineRule="exact"/>
        <w:rPr>
          <w:rFonts w:ascii="仿宋_GB2312" w:hAnsi="仿宋_GB2312" w:eastAsia="仿宋_GB2312" w:cs="仿宋_GB2312"/>
          <w:sz w:val="32"/>
          <w:szCs w:val="32"/>
        </w:rPr>
      </w:pPr>
      <w:bookmarkStart w:id="1" w:name="_GoBack"/>
      <w:bookmarkEnd w:id="1"/>
    </w:p>
    <w:p>
      <w:pPr>
        <w:keepNext w:val="0"/>
        <w:keepLines w:val="0"/>
        <w:pageBreakBefore w:val="0"/>
        <w:widowControl w:val="0"/>
        <w:kinsoku/>
        <w:wordWrap/>
        <w:overflowPunct/>
        <w:topLinePunct w:val="0"/>
        <w:autoSpaceDE w:val="0"/>
        <w:bidi w:val="0"/>
        <w:spacing w:line="312" w:lineRule="auto"/>
        <w:rPr>
          <w:rFonts w:hint="eastAsia" w:ascii="仿宋_GB2312" w:hAnsi="仿宋" w:eastAsia="仿宋_GB2312" w:cs="仿宋"/>
          <w:sz w:val="32"/>
          <w:szCs w:val="32"/>
        </w:rPr>
      </w:pPr>
      <w:r>
        <w:rPr>
          <w:rFonts w:hint="eastAsia" w:ascii="仿宋_GB2312" w:hAnsi="仿宋" w:eastAsia="仿宋_GB2312" w:cs="仿宋"/>
          <w:sz w:val="32"/>
          <w:szCs w:val="32"/>
        </w:rPr>
        <w:t>江西宜丰国泰化工有限责任公司：</w:t>
      </w:r>
    </w:p>
    <w:p>
      <w:pPr>
        <w:keepNext w:val="0"/>
        <w:keepLines w:val="0"/>
        <w:pageBreakBefore w:val="0"/>
        <w:widowControl w:val="0"/>
        <w:kinsoku/>
        <w:wordWrap/>
        <w:overflowPunct/>
        <w:topLinePunct w:val="0"/>
        <w:autoSpaceDE w:val="0"/>
        <w:bidi w:val="0"/>
        <w:spacing w:line="312"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你公司《关于请求审批〈江西宜丰国泰化工有限责任公司年产16000吨膨化硝铵炸药生产线扩能技术改造项目环境影响报告书〉的请示》以及相关资料收悉，经研究，批复如下：</w:t>
      </w:r>
    </w:p>
    <w:p>
      <w:pPr>
        <w:keepNext w:val="0"/>
        <w:keepLines w:val="0"/>
        <w:pageBreakBefore w:val="0"/>
        <w:widowControl w:val="0"/>
        <w:kinsoku/>
        <w:wordWrap/>
        <w:overflowPunct/>
        <w:topLinePunct w:val="0"/>
        <w:autoSpaceDE w:val="0"/>
        <w:bidi w:val="0"/>
        <w:spacing w:line="312" w:lineRule="auto"/>
        <w:ind w:firstLine="640" w:firstLineChars="200"/>
        <w:rPr>
          <w:rFonts w:hint="eastAsia" w:ascii="黑体" w:hAnsi="黑体" w:eastAsia="黑体" w:cs="仿宋"/>
          <w:sz w:val="32"/>
          <w:szCs w:val="32"/>
        </w:rPr>
      </w:pPr>
      <w:r>
        <w:rPr>
          <w:rFonts w:hint="eastAsia" w:ascii="黑体" w:hAnsi="黑体" w:eastAsia="黑体" w:cs="仿宋"/>
          <w:sz w:val="32"/>
          <w:szCs w:val="32"/>
        </w:rPr>
        <w:t>一、项目建设内容及批复意见</w:t>
      </w:r>
    </w:p>
    <w:p>
      <w:pPr>
        <w:keepNext w:val="0"/>
        <w:keepLines w:val="0"/>
        <w:pageBreakBefore w:val="0"/>
        <w:widowControl w:val="0"/>
        <w:kinsoku/>
        <w:wordWrap/>
        <w:overflowPunct/>
        <w:topLinePunct w:val="0"/>
        <w:autoSpaceDE w:val="0"/>
        <w:bidi w:val="0"/>
        <w:spacing w:line="312" w:lineRule="auto"/>
        <w:ind w:firstLine="640" w:firstLineChars="200"/>
        <w:rPr>
          <w:rFonts w:hint="eastAsia" w:ascii="仿宋_GB2312" w:hAnsi="仿宋" w:eastAsia="仿宋_GB2312" w:cs="仿宋"/>
          <w:sz w:val="32"/>
          <w:szCs w:val="32"/>
        </w:rPr>
      </w:pPr>
      <w:r>
        <w:rPr>
          <w:rFonts w:hint="eastAsia" w:ascii="仿宋_GB2312" w:hAnsi="仿宋_GB2312" w:eastAsia="仿宋_GB2312" w:cs="仿宋_GB2312"/>
          <w:bCs/>
          <w:sz w:val="32"/>
          <w:szCs w:val="32"/>
        </w:rPr>
        <w:t>江西宜丰国泰化工有限责任公司年产16000吨膨化硝铵炸药生产线扩能技术</w:t>
      </w:r>
      <w:r>
        <w:rPr>
          <w:rFonts w:hint="eastAsia" w:ascii="仿宋_GB2312" w:hAnsi="仿宋_GB2312" w:eastAsia="仿宋_GB2312" w:cs="仿宋_GB2312"/>
          <w:bCs/>
          <w:color w:val="auto"/>
          <w:sz w:val="32"/>
          <w:szCs w:val="32"/>
        </w:rPr>
        <w:t>改造项目</w:t>
      </w:r>
      <w:r>
        <w:rPr>
          <w:rFonts w:hint="eastAsia" w:ascii="仿宋_GB2312" w:hAnsi="仿宋_GB2312" w:eastAsia="仿宋_GB2312" w:cs="仿宋_GB2312"/>
          <w:color w:val="auto"/>
          <w:sz w:val="32"/>
          <w:szCs w:val="32"/>
        </w:rPr>
        <w:t>拟建于江西省宜丰县桥西乡毛家坪</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Cs/>
          <w:color w:val="auto"/>
          <w:sz w:val="32"/>
          <w:szCs w:val="32"/>
        </w:rPr>
        <w:t>现有厂区</w:t>
      </w:r>
      <w:r>
        <w:rPr>
          <w:rFonts w:hint="eastAsia" w:ascii="仿宋_GB2312" w:hAnsi="仿宋_GB2312" w:eastAsia="仿宋_GB2312" w:cs="仿宋_GB2312"/>
          <w:bCs/>
          <w:color w:val="auto"/>
          <w:sz w:val="32"/>
          <w:szCs w:val="32"/>
          <w:lang w:eastAsia="zh-CN"/>
        </w:rPr>
        <w:t>范围</w:t>
      </w:r>
      <w:r>
        <w:rPr>
          <w:rFonts w:hint="eastAsia" w:ascii="仿宋_GB2312" w:hAnsi="仿宋_GB2312" w:eastAsia="仿宋_GB2312" w:cs="仿宋_GB2312"/>
          <w:bCs/>
          <w:color w:val="auto"/>
          <w:sz w:val="32"/>
          <w:szCs w:val="32"/>
        </w:rPr>
        <w:t>内</w:t>
      </w:r>
      <w:r>
        <w:rPr>
          <w:rFonts w:hint="eastAsia" w:ascii="仿宋_GB2312" w:hAnsi="仿宋_GB2312" w:eastAsia="仿宋_GB2312" w:cs="仿宋_GB2312"/>
          <w:color w:val="auto"/>
          <w:sz w:val="32"/>
          <w:szCs w:val="32"/>
        </w:rPr>
        <w:t>，厂址中心地理坐标为</w:t>
      </w:r>
      <w:r>
        <w:rPr>
          <w:rFonts w:hint="eastAsia" w:ascii="仿宋_GB2312" w:eastAsia="仿宋_GB2312"/>
          <w:snapToGrid w:val="0"/>
          <w:color w:val="auto"/>
          <w:sz w:val="32"/>
          <w:szCs w:val="32"/>
        </w:rPr>
        <w:t>东经114°45'21.02″、北纬28°24'16.45″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厂区</w:t>
      </w:r>
      <w:r>
        <w:rPr>
          <w:rFonts w:hint="eastAsia" w:ascii="仿宋_GB2312" w:hAnsi="仿宋_GB2312" w:eastAsia="仿宋_GB2312" w:cs="仿宋_GB2312"/>
          <w:color w:val="auto"/>
          <w:sz w:val="32"/>
          <w:szCs w:val="32"/>
        </w:rPr>
        <w:t>总占地面积</w:t>
      </w:r>
      <w:r>
        <w:rPr>
          <w:rFonts w:ascii="仿宋_GB2312" w:hAnsi="仿宋_GB2312" w:eastAsia="仿宋_GB2312" w:cs="仿宋_GB2312"/>
          <w:color w:val="auto"/>
          <w:sz w:val="32"/>
          <w:szCs w:val="32"/>
        </w:rPr>
        <w:t>124695.9m</w:t>
      </w:r>
      <w:r>
        <w:rPr>
          <w:rFonts w:ascii="仿宋_GB2312" w:hAnsi="仿宋_GB2312" w:eastAsia="仿宋_GB2312" w:cs="仿宋_GB2312"/>
          <w:color w:val="auto"/>
          <w:sz w:val="32"/>
          <w:szCs w:val="32"/>
          <w:vertAlign w:val="superscript"/>
        </w:rPr>
        <w:t>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本次</w:t>
      </w:r>
      <w:r>
        <w:rPr>
          <w:rFonts w:hint="eastAsia" w:ascii="仿宋_GB2312" w:hAnsi="仿宋_GB2312" w:eastAsia="仿宋_GB2312" w:cs="仿宋_GB2312"/>
          <w:color w:val="auto"/>
          <w:sz w:val="32"/>
          <w:szCs w:val="32"/>
        </w:rPr>
        <w:t>技改项目不新增用地。</w:t>
      </w:r>
    </w:p>
    <w:p>
      <w:pPr>
        <w:keepNext w:val="0"/>
        <w:keepLines w:val="0"/>
        <w:pageBreakBefore w:val="0"/>
        <w:widowControl w:val="0"/>
        <w:kinsoku/>
        <w:wordWrap/>
        <w:overflowPunct/>
        <w:topLinePunct w:val="0"/>
        <w:autoSpaceDE w:val="0"/>
        <w:bidi w:val="0"/>
        <w:spacing w:line="312" w:lineRule="auto"/>
        <w:ind w:firstLine="640" w:firstLineChars="200"/>
        <w:rPr>
          <w:rFonts w:hint="eastAsia" w:ascii="仿宋_GB2312" w:hAnsi="仿宋" w:eastAsia="仿宋_GB2312" w:cs="仿宋"/>
          <w:sz w:val="32"/>
          <w:szCs w:val="32"/>
        </w:rPr>
      </w:pPr>
      <w:r>
        <w:rPr>
          <w:rFonts w:hint="eastAsia" w:ascii="仿宋_GB2312" w:hAnsi="仿宋_GB2312" w:eastAsia="仿宋_GB2312" w:cs="仿宋_GB2312"/>
          <w:bCs/>
          <w:sz w:val="32"/>
          <w:szCs w:val="32"/>
        </w:rPr>
        <w:t>本项目为</w:t>
      </w:r>
      <w:r>
        <w:rPr>
          <w:rFonts w:hint="eastAsia" w:ascii="仿宋_GB2312" w:hAnsi="仿宋_GB2312" w:eastAsia="仿宋_GB2312" w:cs="仿宋_GB2312"/>
          <w:bCs/>
          <w:sz w:val="32"/>
          <w:szCs w:val="32"/>
          <w:lang w:eastAsia="zh-CN"/>
        </w:rPr>
        <w:t>技改工程。</w:t>
      </w:r>
      <w:r>
        <w:rPr>
          <w:rFonts w:hint="eastAsia" w:ascii="仿宋_GB2312" w:hAnsi="仿宋_GB2312" w:eastAsia="仿宋_GB2312" w:cs="仿宋_GB2312"/>
          <w:bCs/>
          <w:sz w:val="32"/>
          <w:szCs w:val="32"/>
          <w:lang w:val="zh-CN"/>
        </w:rPr>
        <w:t>主要以液态硝酸铵、</w:t>
      </w:r>
      <w:r>
        <w:rPr>
          <w:rFonts w:hint="eastAsia" w:ascii="仿宋_GB2312" w:hAnsi="仿宋_GB2312" w:eastAsia="仿宋_GB2312" w:cs="仿宋_GB2312"/>
          <w:bCs/>
          <w:sz w:val="32"/>
          <w:szCs w:val="32"/>
        </w:rPr>
        <w:t>多孔粒状硝酸铵、固态硝酸铵</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zh-CN"/>
        </w:rPr>
        <w:t>复合油相、木粉等为原辅料，经水油相制备、动态混合、膨化结晶、加入木粉及</w:t>
      </w:r>
      <w:r>
        <w:rPr>
          <w:rFonts w:hint="eastAsia" w:ascii="仿宋_GB2312" w:hAnsi="仿宋_GB2312" w:eastAsia="仿宋_GB2312" w:cs="仿宋_GB2312"/>
          <w:bCs/>
          <w:sz w:val="32"/>
          <w:szCs w:val="32"/>
        </w:rPr>
        <w:t>多孔粒状硝酸铵</w:t>
      </w:r>
      <w:r>
        <w:rPr>
          <w:rFonts w:hint="eastAsia" w:ascii="仿宋_GB2312" w:hAnsi="仿宋_GB2312" w:eastAsia="仿宋_GB2312" w:cs="仿宋_GB2312"/>
          <w:bCs/>
          <w:sz w:val="32"/>
          <w:szCs w:val="32"/>
          <w:lang w:val="zh-CN"/>
        </w:rPr>
        <w:t>混合、凉药、物料粉碎、检验、装药包装等工艺生产</w:t>
      </w:r>
      <w:r>
        <w:rPr>
          <w:rFonts w:hint="eastAsia" w:ascii="仿宋_GB2312" w:hAnsi="仿宋_GB2312" w:eastAsia="仿宋_GB2312" w:cs="仿宋_GB2312"/>
          <w:bCs/>
          <w:sz w:val="32"/>
          <w:szCs w:val="32"/>
        </w:rPr>
        <w:t>高流散性液混式膨化硝铵炸药</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zh-CN"/>
        </w:rPr>
        <w:t>主要以液态硝酸铵、</w:t>
      </w:r>
      <w:r>
        <w:rPr>
          <w:rFonts w:hint="eastAsia" w:ascii="仿宋_GB2312" w:hAnsi="仿宋_GB2312" w:eastAsia="仿宋_GB2312" w:cs="仿宋_GB2312"/>
          <w:bCs/>
          <w:sz w:val="32"/>
          <w:szCs w:val="32"/>
        </w:rPr>
        <w:t>固态硝酸铵</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zh-CN"/>
        </w:rPr>
        <w:t>复合油相、木粉等为原辅料，经水油相制备、动态混合、膨化结晶、加入木粉混合、凉药、物料粉碎、检验、装药包装等工艺生产</w:t>
      </w:r>
      <w:r>
        <w:rPr>
          <w:rFonts w:hint="eastAsia" w:ascii="仿宋_GB2312" w:hAnsi="仿宋_GB2312" w:eastAsia="仿宋_GB2312" w:cs="仿宋_GB2312"/>
          <w:bCs/>
          <w:sz w:val="32"/>
          <w:szCs w:val="32"/>
        </w:rPr>
        <w:t>岩石型膨化硝铵炸药</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zh-CN"/>
        </w:rPr>
        <w:t>经检验不合格品再经粉碎、干燥、混药、包装等工序生成合格品外售</w:t>
      </w:r>
      <w:r>
        <w:rPr>
          <w:rFonts w:hint="eastAsia" w:ascii="仿宋_GB2312" w:hAnsi="仿宋" w:eastAsia="仿宋_GB2312" w:cs="仿宋"/>
          <w:sz w:val="32"/>
          <w:szCs w:val="32"/>
        </w:rPr>
        <w:t>。</w:t>
      </w:r>
    </w:p>
    <w:p>
      <w:pPr>
        <w:keepNext w:val="0"/>
        <w:keepLines w:val="0"/>
        <w:pageBreakBefore w:val="0"/>
        <w:widowControl w:val="0"/>
        <w:numPr>
          <w:ilvl w:val="0"/>
          <w:numId w:val="0"/>
        </w:numPr>
        <w:kinsoku/>
        <w:wordWrap/>
        <w:overflowPunct/>
        <w:topLinePunct w:val="0"/>
        <w:bidi w:val="0"/>
        <w:spacing w:line="312" w:lineRule="auto"/>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eastAsia="zh-CN"/>
        </w:rPr>
        <w:t>技改后全厂</w:t>
      </w:r>
      <w:r>
        <w:rPr>
          <w:rFonts w:hint="eastAsia" w:ascii="仿宋_GB2312" w:hAnsi="仿宋_GB2312" w:eastAsia="仿宋_GB2312" w:cs="仿宋_GB2312"/>
          <w:color w:val="auto"/>
          <w:sz w:val="32"/>
          <w:szCs w:val="32"/>
        </w:rPr>
        <w:t>产品方案：膨化硝铵炸药16000t/a，其中高流散性液混式膨化硝铵炸药14400t/a, 岩石型膨化硝铵炸药1600t/a（产品质量应符合《工业炸药通用技术条件》（GB28286-2012）要求）</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val="0"/>
        <w:bidi w:val="0"/>
        <w:spacing w:line="312" w:lineRule="auto"/>
        <w:ind w:firstLine="640" w:firstLineChars="200"/>
        <w:rPr>
          <w:rFonts w:hint="eastAsia" w:ascii="仿宋_GB2312" w:hAnsi="仿宋" w:eastAsia="仿宋_GB2312" w:cs="仿宋"/>
          <w:sz w:val="32"/>
          <w:szCs w:val="32"/>
        </w:rPr>
      </w:pPr>
      <w:r>
        <w:rPr>
          <w:rFonts w:hint="eastAsia" w:ascii="仿宋_GB2312" w:hAnsi="仿宋_GB2312" w:eastAsia="仿宋_GB2312" w:cs="仿宋_GB2312"/>
          <w:bCs/>
          <w:snapToGrid w:val="0"/>
          <w:color w:val="auto"/>
          <w:sz w:val="32"/>
          <w:szCs w:val="32"/>
          <w:lang w:eastAsia="zh-CN"/>
        </w:rPr>
        <w:t>本</w:t>
      </w:r>
      <w:r>
        <w:rPr>
          <w:rFonts w:hint="eastAsia" w:ascii="仿宋_GB2312" w:hAnsi="仿宋_GB2312" w:eastAsia="仿宋_GB2312" w:cs="仿宋_GB2312"/>
          <w:color w:val="auto"/>
          <w:sz w:val="32"/>
          <w:szCs w:val="32"/>
        </w:rPr>
        <w:t>项目总投资</w:t>
      </w:r>
      <w:r>
        <w:rPr>
          <w:rFonts w:ascii="仿宋_GB2312" w:hAnsi="仿宋_GB2312" w:eastAsia="仿宋_GB2312" w:cs="仿宋_GB2312"/>
          <w:color w:val="auto"/>
          <w:sz w:val="32"/>
          <w:szCs w:val="32"/>
        </w:rPr>
        <w:t>738</w:t>
      </w:r>
      <w:r>
        <w:rPr>
          <w:rFonts w:hint="eastAsia" w:ascii="仿宋_GB2312" w:hAnsi="仿宋_GB2312" w:eastAsia="仿宋_GB2312" w:cs="仿宋_GB2312"/>
          <w:color w:val="auto"/>
          <w:sz w:val="32"/>
          <w:szCs w:val="32"/>
        </w:rPr>
        <w:t>万元，其中环保投资</w:t>
      </w:r>
      <w:r>
        <w:rPr>
          <w:rFonts w:ascii="仿宋_GB2312" w:hAnsi="仿宋_GB2312" w:eastAsia="仿宋_GB2312" w:cs="仿宋_GB2312"/>
          <w:color w:val="auto"/>
          <w:sz w:val="32"/>
          <w:szCs w:val="32"/>
        </w:rPr>
        <w:t>116</w:t>
      </w:r>
      <w:r>
        <w:rPr>
          <w:rFonts w:hint="eastAsia" w:ascii="仿宋_GB2312" w:hAnsi="仿宋_GB2312" w:eastAsia="仿宋_GB2312" w:cs="仿宋_GB2312"/>
          <w:color w:val="auto"/>
          <w:sz w:val="32"/>
          <w:szCs w:val="32"/>
        </w:rPr>
        <w:t>万元，占总投资的</w:t>
      </w:r>
      <w:r>
        <w:rPr>
          <w:rFonts w:ascii="仿宋_GB2312" w:hAnsi="仿宋_GB2312" w:eastAsia="仿宋_GB2312" w:cs="仿宋_GB2312"/>
          <w:color w:val="auto"/>
          <w:sz w:val="32"/>
          <w:szCs w:val="32"/>
        </w:rPr>
        <w:t>15.72</w:t>
      </w:r>
      <w:r>
        <w:rPr>
          <w:rFonts w:hint="eastAsia" w:ascii="仿宋_GB2312" w:hAnsi="仿宋_GB2312" w:eastAsia="仿宋_GB2312" w:cs="仿宋_GB2312"/>
          <w:color w:val="auto"/>
          <w:sz w:val="32"/>
          <w:szCs w:val="32"/>
        </w:rPr>
        <w:t>%</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val="0"/>
        <w:bidi w:val="0"/>
        <w:spacing w:line="312" w:lineRule="auto"/>
        <w:ind w:firstLine="640" w:firstLineChars="200"/>
        <w:rPr>
          <w:rFonts w:hint="eastAsia" w:ascii="仿宋_GB2312" w:hAnsi="仿宋" w:eastAsia="仿宋_GB2312" w:cs="仿宋"/>
          <w:sz w:val="32"/>
          <w:szCs w:val="32"/>
        </w:rPr>
      </w:pPr>
      <w:r>
        <w:rPr>
          <w:rFonts w:hint="eastAsia" w:ascii="仿宋_GB2312" w:eastAsia="仿宋_GB2312"/>
          <w:color w:val="000000" w:themeColor="text1"/>
          <w:sz w:val="32"/>
          <w:szCs w:val="32"/>
          <w14:textFill>
            <w14:solidFill>
              <w14:schemeClr w14:val="tx1"/>
            </w14:solidFill>
          </w14:textFill>
        </w:rPr>
        <w:t>你公司应全面落实《</w:t>
      </w:r>
      <w:r>
        <w:rPr>
          <w:rFonts w:hint="eastAsia" w:ascii="仿宋_GB2312" w:hAnsi="仿宋_GB2312" w:eastAsia="仿宋_GB2312" w:cs="仿宋_GB2312"/>
          <w:bCs/>
          <w:sz w:val="32"/>
          <w:szCs w:val="32"/>
        </w:rPr>
        <w:t>江西宜丰国泰化工有限责任公司年产16000吨膨化硝铵炸药生产线扩能技术</w:t>
      </w:r>
      <w:r>
        <w:rPr>
          <w:rFonts w:hint="eastAsia" w:ascii="仿宋_GB2312" w:hAnsi="仿宋_GB2312" w:eastAsia="仿宋_GB2312" w:cs="仿宋_GB2312"/>
          <w:bCs/>
          <w:color w:val="auto"/>
          <w:sz w:val="32"/>
          <w:szCs w:val="32"/>
        </w:rPr>
        <w:t>改造项目</w:t>
      </w:r>
      <w:r>
        <w:rPr>
          <w:rFonts w:hint="eastAsia" w:ascii="仿宋_GB2312" w:eastAsia="仿宋_GB2312"/>
          <w:color w:val="000000" w:themeColor="text1"/>
          <w:sz w:val="32"/>
          <w:szCs w:val="32"/>
          <w14:textFill>
            <w14:solidFill>
              <w14:schemeClr w14:val="tx1"/>
            </w14:solidFill>
          </w14:textFill>
        </w:rPr>
        <w:t>环境影响报告书》（以下简称《报告书》）和《</w:t>
      </w:r>
      <w:r>
        <w:rPr>
          <w:rFonts w:hint="eastAsia" w:ascii="仿宋_GB2312" w:hAnsi="仿宋_GB2312" w:eastAsia="仿宋_GB2312" w:cs="仿宋_GB2312"/>
          <w:bCs/>
          <w:sz w:val="32"/>
          <w:szCs w:val="32"/>
        </w:rPr>
        <w:t>江西宜丰国泰化工有限责任公司年产16000吨膨化硝铵炸药生产线扩能技术</w:t>
      </w:r>
      <w:r>
        <w:rPr>
          <w:rFonts w:hint="eastAsia" w:ascii="仿宋_GB2312" w:hAnsi="仿宋_GB2312" w:eastAsia="仿宋_GB2312" w:cs="仿宋_GB2312"/>
          <w:bCs/>
          <w:color w:val="auto"/>
          <w:sz w:val="32"/>
          <w:szCs w:val="32"/>
        </w:rPr>
        <w:t>改造项目</w:t>
      </w:r>
      <w:r>
        <w:rPr>
          <w:rFonts w:hint="eastAsia" w:ascii="仿宋_GB2312" w:eastAsia="仿宋_GB2312"/>
          <w:color w:val="000000" w:themeColor="text1"/>
          <w:sz w:val="32"/>
          <w:szCs w:val="32"/>
          <w14:textFill>
            <w14:solidFill>
              <w14:schemeClr w14:val="tx1"/>
            </w14:solidFill>
          </w14:textFill>
        </w:rPr>
        <w:t>环境影响报告书评估意见》（以下简称《评估意见》）提出的各项污染防治措施和环境风险防范措施，缓解和控制不利环境影响。我局原则同意《报告书》中所列工程性质、地点、规模、生产工艺和环境保护措施</w:t>
      </w:r>
      <w:r>
        <w:rPr>
          <w:rFonts w:hint="eastAsia" w:ascii="仿宋_GB2312" w:hAnsi="仿宋" w:eastAsia="仿宋_GB2312" w:cs="仿宋"/>
          <w:sz w:val="32"/>
          <w:szCs w:val="32"/>
        </w:rPr>
        <w:t>。</w:t>
      </w:r>
    </w:p>
    <w:p>
      <w:pPr>
        <w:keepNext w:val="0"/>
        <w:keepLines w:val="0"/>
        <w:pageBreakBefore w:val="0"/>
        <w:widowControl w:val="0"/>
        <w:kinsoku/>
        <w:wordWrap/>
        <w:overflowPunct/>
        <w:topLinePunct w:val="0"/>
        <w:autoSpaceDE w:val="0"/>
        <w:bidi w:val="0"/>
        <w:spacing w:line="312" w:lineRule="auto"/>
        <w:ind w:firstLine="640" w:firstLineChars="200"/>
        <w:rPr>
          <w:rFonts w:ascii="黑体" w:hAnsi="黑体" w:eastAsia="黑体" w:cs="仿宋"/>
          <w:sz w:val="32"/>
          <w:szCs w:val="32"/>
        </w:rPr>
      </w:pPr>
      <w:r>
        <w:rPr>
          <w:rFonts w:hint="eastAsia" w:ascii="黑体" w:hAnsi="黑体" w:eastAsia="黑体" w:cs="仿宋"/>
          <w:sz w:val="32"/>
          <w:szCs w:val="32"/>
        </w:rPr>
        <w:t>二、污染防治措施及要求</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hint="eastAsia" w:ascii="仿宋_GB2312" w:hAnsi="仿宋" w:eastAsia="仿宋_GB2312" w:cs="仿宋"/>
          <w:sz w:val="32"/>
          <w:szCs w:val="32"/>
        </w:rPr>
      </w:pPr>
      <w:r>
        <w:rPr>
          <w:rFonts w:hint="eastAsia" w:ascii="仿宋_GB2312" w:eastAsia="仿宋_GB2312"/>
          <w:color w:val="000000" w:themeColor="text1"/>
          <w:sz w:val="32"/>
          <w:szCs w:val="32"/>
          <w14:textFill>
            <w14:solidFill>
              <w14:schemeClr w14:val="tx1"/>
            </w14:solidFill>
          </w14:textFill>
        </w:rPr>
        <w:t>项目在工程设计、建设和生产过程中必须认真落实《报告书》和《评估意见》提出的各项环保要求，并重点做好以下几项工作：</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（一）严格落实水污染防治措施。</w:t>
      </w:r>
      <w:r>
        <w:rPr>
          <w:rFonts w:hint="eastAsia" w:ascii="仿宋_GB2312" w:eastAsia="仿宋_GB2312"/>
          <w:color w:val="000000" w:themeColor="text1"/>
          <w:sz w:val="32"/>
          <w:szCs w:val="32"/>
          <w14:textFill>
            <w14:solidFill>
              <w14:schemeClr w14:val="tx1"/>
            </w14:solidFill>
          </w14:textFill>
        </w:rPr>
        <w:t>根据“雨污分流、清污分流、分质处理、一水多用”的原则建设给排水及污水处理系统，场内外污水管网应做好管网名称、污水种类、流向标识。进一步提高水的回用率，减少新鲜水用量和废水产生量。</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项目废水主要为</w:t>
      </w:r>
      <w:r>
        <w:rPr>
          <w:rFonts w:hint="eastAsia" w:ascii="仿宋_GB2312" w:hAnsi="仿宋_GB2312" w:eastAsia="仿宋_GB2312" w:cs="仿宋_GB2312"/>
          <w:snapToGrid w:val="0"/>
          <w:color w:val="auto"/>
          <w:sz w:val="32"/>
          <w:szCs w:val="32"/>
        </w:rPr>
        <w:t>循环冷却水、软水制备浓水、膨化结晶工艺冷凝水、生产工房管道冲洗水、生产设备清洗废水及生产车间地面冲洗废水等生产废水，生活污水</w:t>
      </w:r>
      <w:r>
        <w:rPr>
          <w:rFonts w:hint="eastAsia" w:ascii="仿宋_GB2312" w:hAnsi="仿宋_GB2312" w:eastAsia="仿宋_GB2312" w:cs="仿宋_GB2312"/>
          <w:snapToGrid w:val="0"/>
          <w:color w:val="auto"/>
          <w:sz w:val="32"/>
          <w:szCs w:val="32"/>
          <w:lang w:eastAsia="zh-CN"/>
        </w:rPr>
        <w:t>及</w:t>
      </w:r>
      <w:r>
        <w:rPr>
          <w:rFonts w:hint="eastAsia" w:ascii="仿宋_GB2312" w:hAnsi="仿宋_GB2312" w:eastAsia="仿宋_GB2312" w:cs="仿宋_GB2312"/>
          <w:snapToGrid w:val="0"/>
          <w:color w:val="auto"/>
          <w:sz w:val="32"/>
          <w:szCs w:val="32"/>
        </w:rPr>
        <w:t>初期雨水</w:t>
      </w:r>
      <w:r>
        <w:rPr>
          <w:rFonts w:hint="default" w:ascii="Times New Roman" w:hAnsi="Times New Roman" w:eastAsia="仿宋_GB2312" w:cs="Times New Roman"/>
          <w:bCs/>
          <w:color w:val="auto"/>
          <w:sz w:val="32"/>
          <w:szCs w:val="32"/>
          <w:lang w:eastAsia="zh-CN"/>
        </w:rPr>
        <w:t>等</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p>
    <w:p>
      <w:pPr>
        <w:keepNext w:val="0"/>
        <w:keepLines w:val="0"/>
        <w:pageBreakBefore w:val="0"/>
        <w:widowControl w:val="0"/>
        <w:numPr>
          <w:ilvl w:val="0"/>
          <w:numId w:val="0"/>
        </w:numPr>
        <w:kinsoku/>
        <w:wordWrap/>
        <w:overflowPunct/>
        <w:topLinePunct w:val="0"/>
        <w:bidi w:val="0"/>
        <w:spacing w:line="312" w:lineRule="auto"/>
        <w:ind w:firstLine="640" w:firstLineChars="200"/>
        <w:jc w:val="both"/>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循环冷却水、软水制备浓水及膨化结晶工艺冷凝水收集后储存于冷凝循环水池，主要用于真空泵的循环利用，少部分溢流向废水收集箱；生产工房管道冲洗水、生产设备清洗废水及生产车间地面冲洗废水经隔油沉淀池处理后排入废水收集水箱，经生产废水回用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napToGrid w:val="0"/>
          <w:color w:val="auto"/>
          <w:sz w:val="32"/>
          <w:szCs w:val="32"/>
          <w:lang w:eastAsia="zh-CN"/>
        </w:rPr>
        <w:t>处理工艺：</w:t>
      </w:r>
      <w:r>
        <w:rPr>
          <w:rFonts w:hint="eastAsia" w:ascii="仿宋_GB2312" w:hAnsi="仿宋_GB2312" w:eastAsia="仿宋_GB2312" w:cs="仿宋_GB2312"/>
          <w:color w:val="auto"/>
          <w:sz w:val="32"/>
          <w:szCs w:val="32"/>
          <w:lang w:eastAsia="zh-CN"/>
        </w:rPr>
        <w:t>油水分离器</w:t>
      </w:r>
      <w:r>
        <w:rPr>
          <w:rFonts w:hint="eastAsia" w:ascii="仿宋_GB2312" w:hAnsi="仿宋_GB2312" w:eastAsia="仿宋_GB2312" w:cs="仿宋_GB2312"/>
          <w:color w:val="auto"/>
          <w:sz w:val="32"/>
          <w:szCs w:val="32"/>
          <w:lang w:val="en-US" w:eastAsia="zh-CN"/>
        </w:rPr>
        <w:t>+多介质过滤器</w:t>
      </w:r>
      <w:r>
        <w:rPr>
          <w:rFonts w:hint="eastAsia" w:ascii="仿宋_GB2312" w:hAnsi="仿宋_GB2312" w:eastAsia="仿宋_GB2312" w:cs="仿宋_GB2312"/>
          <w:snapToGrid w:val="0"/>
          <w:color w:val="auto"/>
          <w:sz w:val="32"/>
          <w:szCs w:val="32"/>
          <w:lang w:val="en-US" w:eastAsia="zh-CN"/>
        </w:rPr>
        <w:t>或更成熟稳定的处理工艺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napToGrid w:val="0"/>
          <w:color w:val="auto"/>
          <w:sz w:val="32"/>
          <w:szCs w:val="32"/>
        </w:rPr>
        <w:t>处理后回用于地面冲洗水、生产工房管道冲洗及生产工艺用水，不外排。</w:t>
      </w:r>
    </w:p>
    <w:p>
      <w:pPr>
        <w:pStyle w:val="14"/>
        <w:keepNext w:val="0"/>
        <w:keepLines w:val="0"/>
        <w:pageBreakBefore w:val="0"/>
        <w:widowControl w:val="0"/>
        <w:kinsoku/>
        <w:wordWrap/>
        <w:overflowPunct/>
        <w:topLinePunct w:val="0"/>
        <w:bidi w:val="0"/>
        <w:spacing w:line="312" w:lineRule="auto"/>
        <w:ind w:firstLine="640" w:firstLineChars="2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生活污水经化粪池预处理后</w:t>
      </w:r>
      <w:r>
        <w:rPr>
          <w:rFonts w:hint="eastAsia" w:ascii="仿宋_GB2312" w:hAnsi="仿宋_GB2312" w:eastAsia="仿宋_GB2312" w:cs="仿宋_GB2312"/>
          <w:snapToGrid w:val="0"/>
          <w:color w:val="auto"/>
          <w:sz w:val="32"/>
          <w:szCs w:val="32"/>
          <w:lang w:eastAsia="zh-CN"/>
        </w:rPr>
        <w:t>和收集的初期雨水排入厂区内</w:t>
      </w:r>
      <w:r>
        <w:rPr>
          <w:rFonts w:hint="eastAsia" w:ascii="仿宋_GB2312" w:hAnsi="仿宋_GB2312" w:eastAsia="仿宋_GB2312" w:cs="仿宋_GB2312"/>
          <w:snapToGrid w:val="0"/>
          <w:color w:val="auto"/>
          <w:sz w:val="32"/>
          <w:szCs w:val="32"/>
        </w:rPr>
        <w:t>污水处理站（</w:t>
      </w:r>
      <w:r>
        <w:rPr>
          <w:rFonts w:hint="eastAsia" w:ascii="仿宋_GB2312" w:hAnsi="仿宋_GB2312" w:eastAsia="仿宋_GB2312" w:cs="仿宋_GB2312"/>
          <w:snapToGrid w:val="0"/>
          <w:color w:val="auto"/>
          <w:sz w:val="32"/>
          <w:szCs w:val="32"/>
          <w:lang w:eastAsia="zh-CN"/>
        </w:rPr>
        <w:t>处理工艺：</w:t>
      </w:r>
      <w:r>
        <w:rPr>
          <w:rFonts w:hint="eastAsia" w:ascii="仿宋_GB2312" w:hAnsi="仿宋_GB2312" w:eastAsia="仿宋_GB2312" w:cs="仿宋_GB2312"/>
          <w:color w:val="auto"/>
          <w:sz w:val="32"/>
          <w:szCs w:val="32"/>
        </w:rPr>
        <w:t>A/O脱氮工艺</w:t>
      </w:r>
      <w:r>
        <w:rPr>
          <w:rFonts w:hint="eastAsia" w:ascii="仿宋_GB2312" w:hAnsi="仿宋_GB2312" w:eastAsia="仿宋_GB2312" w:cs="仿宋_GB2312"/>
          <w:color w:val="auto"/>
          <w:sz w:val="32"/>
          <w:szCs w:val="32"/>
          <w:lang w:val="en-US" w:eastAsia="zh-CN"/>
        </w:rPr>
        <w:t>+混凝沉淀</w:t>
      </w:r>
      <w:r>
        <w:rPr>
          <w:rFonts w:hint="eastAsia" w:ascii="仿宋_GB2312" w:hAnsi="仿宋_GB2312" w:eastAsia="仿宋_GB2312" w:cs="仿宋_GB2312"/>
          <w:snapToGrid w:val="0"/>
          <w:color w:val="auto"/>
          <w:sz w:val="32"/>
          <w:szCs w:val="32"/>
          <w:lang w:val="en-US" w:eastAsia="zh-CN"/>
        </w:rPr>
        <w:t>或更成熟稳定的处理工艺</w:t>
      </w:r>
      <w:r>
        <w:rPr>
          <w:rFonts w:hint="eastAsia" w:ascii="仿宋_GB2312" w:hAnsi="仿宋_GB2312" w:eastAsia="仿宋_GB2312" w:cs="仿宋_GB2312"/>
          <w:snapToGrid w:val="0"/>
          <w:color w:val="auto"/>
          <w:sz w:val="32"/>
          <w:szCs w:val="32"/>
        </w:rPr>
        <w:t>）处理，</w:t>
      </w:r>
      <w:r>
        <w:rPr>
          <w:rFonts w:hint="eastAsia" w:ascii="仿宋_GB2312" w:hAnsi="仿宋_GB2312" w:eastAsia="仿宋_GB2312" w:cs="仿宋_GB2312"/>
          <w:snapToGrid w:val="0"/>
          <w:color w:val="auto"/>
          <w:sz w:val="32"/>
          <w:szCs w:val="32"/>
          <w:lang w:eastAsia="zh-CN"/>
        </w:rPr>
        <w:t>应</w:t>
      </w:r>
      <w:r>
        <w:rPr>
          <w:rFonts w:hint="eastAsia" w:ascii="仿宋_GB2312" w:hAnsi="仿宋_GB2312" w:eastAsia="仿宋_GB2312" w:cs="仿宋_GB2312"/>
          <w:snapToGrid w:val="0"/>
          <w:color w:val="auto"/>
          <w:sz w:val="32"/>
          <w:szCs w:val="32"/>
        </w:rPr>
        <w:t>达到《污水综合排放标准》（GB8978-1996）中表4一级标准后排入耶溪河。</w:t>
      </w:r>
    </w:p>
    <w:p>
      <w:pPr>
        <w:pStyle w:val="2"/>
        <w:keepNext w:val="0"/>
        <w:keepLines w:val="0"/>
        <w:pageBreakBefore w:val="0"/>
        <w:widowControl w:val="0"/>
        <w:kinsoku/>
        <w:wordWrap/>
        <w:overflowPunct/>
        <w:topLinePunct w:val="0"/>
        <w:bidi w:val="0"/>
        <w:spacing w:line="312" w:lineRule="auto"/>
        <w:ind w:firstLine="640" w:firstLineChars="200"/>
        <w:rPr>
          <w:rFonts w:hint="eastAsia" w:eastAsia="仿宋_GB2312"/>
          <w:b/>
          <w:bCs/>
          <w:lang w:val="en-US" w:eastAsia="zh-CN"/>
        </w:rPr>
      </w:pPr>
      <w:r>
        <w:rPr>
          <w:rFonts w:hint="eastAsia" w:ascii="仿宋_GB2312" w:hAnsi="仿宋_GB2312" w:eastAsia="仿宋_GB2312" w:cs="仿宋_GB2312"/>
          <w:color w:val="auto"/>
          <w:sz w:val="32"/>
          <w:szCs w:val="32"/>
        </w:rPr>
        <w:t>本项目主要污染物排入外环境量分别为COD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0.</w:t>
      </w:r>
      <w:r>
        <w:rPr>
          <w:rFonts w:ascii="仿宋_GB2312" w:hAnsi="仿宋_GB2312" w:eastAsia="仿宋_GB2312" w:cs="仿宋_GB2312"/>
          <w:color w:val="auto"/>
          <w:sz w:val="32"/>
          <w:szCs w:val="32"/>
        </w:rPr>
        <w:t>382</w:t>
      </w:r>
      <w:r>
        <w:rPr>
          <w:rFonts w:hint="eastAsia" w:ascii="仿宋_GB2312" w:hAnsi="仿宋_GB2312" w:eastAsia="仿宋_GB2312" w:cs="仿宋_GB2312"/>
          <w:color w:val="auto"/>
          <w:sz w:val="32"/>
          <w:szCs w:val="32"/>
        </w:rPr>
        <w:t>t/a、NH</w:t>
      </w:r>
      <w:r>
        <w:rPr>
          <w:rFonts w:hint="eastAsia" w:ascii="仿宋_GB2312" w:hAnsi="仿宋_GB2312" w:eastAsia="仿宋_GB2312" w:cs="仿宋_GB2312"/>
          <w:color w:val="auto"/>
          <w:sz w:val="32"/>
          <w:szCs w:val="32"/>
          <w:vertAlign w:val="subscript"/>
        </w:rPr>
        <w:t>3</w:t>
      </w:r>
      <w:r>
        <w:rPr>
          <w:rFonts w:hint="eastAsia" w:ascii="仿宋_GB2312" w:hAnsi="仿宋_GB2312" w:eastAsia="仿宋_GB2312" w:cs="仿宋_GB2312"/>
          <w:color w:val="auto"/>
          <w:sz w:val="32"/>
          <w:szCs w:val="32"/>
        </w:rPr>
        <w:t>-N</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0.0</w:t>
      </w:r>
      <w:r>
        <w:rPr>
          <w:rFonts w:ascii="仿宋_GB2312" w:hAnsi="仿宋_GB2312" w:eastAsia="仿宋_GB2312" w:cs="仿宋_GB2312"/>
          <w:color w:val="auto"/>
          <w:sz w:val="32"/>
          <w:szCs w:val="32"/>
        </w:rPr>
        <w:t>57</w:t>
      </w:r>
      <w:r>
        <w:rPr>
          <w:rFonts w:hint="eastAsia" w:ascii="仿宋_GB2312" w:hAnsi="仿宋_GB2312" w:eastAsia="仿宋_GB2312" w:cs="仿宋_GB2312"/>
          <w:color w:val="auto"/>
          <w:sz w:val="32"/>
          <w:szCs w:val="32"/>
        </w:rPr>
        <w:t>t/a</w:t>
      </w:r>
      <w:r>
        <w:rPr>
          <w:rFonts w:hint="eastAsia" w:hAnsi="仿宋_GB2312" w:cs="仿宋_GB2312"/>
          <w:color w:val="auto"/>
          <w:sz w:val="32"/>
          <w:szCs w:val="32"/>
          <w:lang w:eastAsia="zh-CN"/>
        </w:rPr>
        <w:t>。</w:t>
      </w:r>
    </w:p>
    <w:p>
      <w:pPr>
        <w:keepNext w:val="0"/>
        <w:keepLines w:val="0"/>
        <w:pageBreakBefore w:val="0"/>
        <w:widowControl w:val="0"/>
        <w:numPr>
          <w:ilvl w:val="0"/>
          <w:numId w:val="1"/>
        </w:numPr>
        <w:kinsoku/>
        <w:wordWrap/>
        <w:overflowPunct/>
        <w:topLinePunct w:val="0"/>
        <w:autoSpaceDE w:val="0"/>
        <w:bidi w:val="0"/>
        <w:spacing w:line="312" w:lineRule="auto"/>
        <w:ind w:firstLine="640" w:firstLineChars="200"/>
        <w:rPr>
          <w:rFonts w:hint="eastAsia" w:ascii="仿宋_GB2312" w:hAnsi="仿宋_GB2312" w:eastAsia="仿宋_GB2312" w:cs="仿宋_GB2312"/>
          <w:bCs/>
          <w:color w:val="auto"/>
          <w:sz w:val="32"/>
          <w:szCs w:val="32"/>
          <w:lang w:eastAsia="zh-CN"/>
        </w:rPr>
      </w:pPr>
      <w:r>
        <w:rPr>
          <w:rFonts w:ascii="楷体_GB2312" w:hAnsi="楷体_GB2312" w:eastAsia="楷体_GB2312" w:cs="楷体_GB2312"/>
          <w:color w:val="000000" w:themeColor="text1"/>
          <w:sz w:val="32"/>
          <w:szCs w:val="32"/>
          <w14:textFill>
            <w14:solidFill>
              <w14:schemeClr w14:val="tx1"/>
            </w14:solidFill>
          </w14:textFill>
        </w:rPr>
        <w:t>严格落实大气污染防治措施</w:t>
      </w:r>
      <w:r>
        <w:rPr>
          <w:rFonts w:ascii="仿宋_GB2312" w:hAnsi="Calibri" w:eastAsia="仿宋_GB2312"/>
          <w:color w:val="000000" w:themeColor="text1"/>
          <w:sz w:val="32"/>
          <w:szCs w:val="32"/>
          <w14:textFill>
            <w14:solidFill>
              <w14:schemeClr w14:val="tx1"/>
            </w14:solidFill>
          </w14:textFill>
        </w:rPr>
        <w:t>。根据废气种类及性质特点，选择成熟可靠的处理技术，确保处理设施的处理能力、效率满足需要，各项废气长期稳定达标排放。</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项目废气主要为</w:t>
      </w:r>
      <w:r>
        <w:rPr>
          <w:rFonts w:hint="eastAsia" w:ascii="仿宋_GB2312" w:hAnsi="仿宋_GB2312" w:eastAsia="仿宋_GB2312" w:cs="仿宋_GB2312"/>
          <w:bCs/>
          <w:color w:val="auto"/>
          <w:sz w:val="32"/>
          <w:szCs w:val="32"/>
        </w:rPr>
        <w:t>油相制备废气、管路吹扫废气、木粉卸料废气、木粉投料废气、木粉烘干废气、不合格品干燥混药粉尘</w:t>
      </w:r>
      <w:r>
        <w:rPr>
          <w:rFonts w:hint="eastAsia" w:ascii="仿宋_GB2312" w:hAnsi="仿宋_GB2312" w:eastAsia="仿宋_GB2312" w:cs="仿宋_GB2312"/>
          <w:bCs/>
          <w:color w:val="auto"/>
          <w:sz w:val="32"/>
          <w:szCs w:val="32"/>
          <w:lang w:eastAsia="zh-CN"/>
        </w:rPr>
        <w:t>及食堂油烟</w:t>
      </w:r>
      <w:r>
        <w:rPr>
          <w:rFonts w:hint="eastAsia" w:ascii="仿宋_GB2312" w:hAnsi="仿宋_GB2312" w:eastAsia="仿宋_GB2312" w:cs="仿宋_GB2312"/>
          <w:bCs/>
          <w:color w:val="auto"/>
          <w:sz w:val="32"/>
          <w:szCs w:val="32"/>
        </w:rPr>
        <w:t>等</w:t>
      </w:r>
      <w:r>
        <w:rPr>
          <w:rFonts w:hint="eastAsia" w:ascii="仿宋_GB2312" w:hAnsi="仿宋_GB2312" w:eastAsia="仿宋_GB2312" w:cs="仿宋_GB2312"/>
          <w:bCs/>
          <w:color w:val="auto"/>
          <w:sz w:val="32"/>
          <w:szCs w:val="32"/>
          <w:lang w:eastAsia="zh-CN"/>
        </w:rPr>
        <w:t>。</w:t>
      </w:r>
    </w:p>
    <w:p>
      <w:pPr>
        <w:pStyle w:val="14"/>
        <w:keepNext w:val="0"/>
        <w:keepLines w:val="0"/>
        <w:pageBreakBefore w:val="0"/>
        <w:widowControl w:val="0"/>
        <w:numPr>
          <w:ilvl w:val="0"/>
          <w:numId w:val="0"/>
        </w:numPr>
        <w:kinsoku/>
        <w:wordWrap/>
        <w:overflowPunct/>
        <w:topLinePunct w:val="0"/>
        <w:bidi w:val="0"/>
        <w:spacing w:line="312" w:lineRule="auto"/>
        <w:ind w:firstLine="640" w:firstLineChars="200"/>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color w:val="auto"/>
          <w:sz w:val="32"/>
          <w:szCs w:val="32"/>
        </w:rPr>
        <w:t>油相制备</w:t>
      </w:r>
      <w:r>
        <w:rPr>
          <w:rFonts w:hint="eastAsia" w:ascii="仿宋_GB2312" w:hAnsi="仿宋_GB2312" w:eastAsia="仿宋_GB2312" w:cs="仿宋_GB2312"/>
          <w:bCs/>
          <w:snapToGrid w:val="0"/>
          <w:color w:val="auto"/>
          <w:sz w:val="32"/>
          <w:szCs w:val="32"/>
          <w:lang w:val="en-US" w:eastAsia="zh-CN"/>
        </w:rPr>
        <w:t>废气</w:t>
      </w:r>
      <w:r>
        <w:rPr>
          <w:rFonts w:hint="eastAsia" w:ascii="仿宋_GB2312" w:hAnsi="仿宋_GB2312" w:eastAsia="仿宋_GB2312" w:cs="仿宋_GB2312"/>
          <w:color w:val="auto"/>
          <w:sz w:val="32"/>
          <w:szCs w:val="32"/>
        </w:rPr>
        <w:t>通过在熔化槽上方设置集气罩，收集后非甲烷总烃</w:t>
      </w:r>
      <w:r>
        <w:rPr>
          <w:rFonts w:hint="eastAsia" w:ascii="仿宋_GB2312" w:hAnsi="仿宋_GB2312" w:eastAsia="仿宋_GB2312" w:cs="仿宋_GB2312"/>
          <w:color w:val="auto"/>
          <w:sz w:val="32"/>
          <w:szCs w:val="32"/>
          <w:lang w:eastAsia="zh-CN"/>
        </w:rPr>
        <w:t>应</w:t>
      </w:r>
      <w:r>
        <w:rPr>
          <w:rFonts w:hint="eastAsia" w:ascii="仿宋_GB2312" w:hAnsi="仿宋_GB2312" w:eastAsia="仿宋_GB2312" w:cs="仿宋_GB2312"/>
          <w:color w:val="auto"/>
          <w:sz w:val="32"/>
          <w:szCs w:val="32"/>
        </w:rPr>
        <w:t>满足江西省地方标准《挥发性有机物排放标准 第2部分：有机化工行业》（DB36/1101.2-2019）中</w:t>
      </w:r>
      <w:r>
        <w:rPr>
          <w:rFonts w:hint="eastAsia" w:ascii="仿宋_GB2312" w:hAnsi="仿宋_GB2312" w:eastAsia="仿宋_GB2312" w:cs="仿宋_GB2312"/>
          <w:bCs/>
          <w:color w:val="auto"/>
          <w:sz w:val="32"/>
          <w:szCs w:val="32"/>
        </w:rPr>
        <w:t>有组织挥发性有机物排放限值，再经</w:t>
      </w:r>
      <w:r>
        <w:rPr>
          <w:rFonts w:hint="eastAsia" w:ascii="仿宋_GB2312" w:hAnsi="仿宋_GB2312" w:eastAsia="仿宋_GB2312" w:cs="仿宋_GB2312"/>
          <w:bCs/>
          <w:color w:val="auto"/>
          <w:sz w:val="32"/>
          <w:szCs w:val="32"/>
          <w:lang w:val="en-US" w:eastAsia="zh-CN"/>
        </w:rPr>
        <w:t>1根</w:t>
      </w:r>
      <w:r>
        <w:rPr>
          <w:rFonts w:hint="eastAsia" w:ascii="仿宋_GB2312" w:hAnsi="仿宋_GB2312" w:eastAsia="仿宋_GB2312" w:cs="仿宋_GB2312"/>
          <w:bCs/>
          <w:color w:val="auto"/>
          <w:sz w:val="32"/>
          <w:szCs w:val="32"/>
        </w:rPr>
        <w:t>15m高排气筒</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DA</w:t>
      </w:r>
      <w:r>
        <w:rPr>
          <w:rFonts w:hint="eastAsia" w:ascii="仿宋_GB2312" w:hAnsi="仿宋_GB2312" w:eastAsia="仿宋_GB2312" w:cs="仿宋_GB2312"/>
          <w:color w:val="auto"/>
          <w:sz w:val="32"/>
          <w:szCs w:val="32"/>
        </w:rPr>
        <w:t>001</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排放</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项目木粉投料过程粉尘在投料口机侧设一局部伞形排风罩进行局部排风，含尘气体依托现有1台水浴除尘器收集处理后排口通入水中后无组织排放</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木粉烘干工序为密闭过程，废气依托现有集气管道收集经布袋除尘器处理后无组织排放</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食堂油烟通过油烟净化器处理，处理后</w:t>
      </w:r>
      <w:r>
        <w:rPr>
          <w:rFonts w:hint="eastAsia" w:ascii="仿宋_GB2312" w:hAnsi="仿宋_GB2312" w:eastAsia="仿宋_GB2312" w:cs="仿宋_GB2312"/>
          <w:bCs/>
          <w:color w:val="auto"/>
          <w:sz w:val="32"/>
          <w:szCs w:val="32"/>
          <w:lang w:eastAsia="zh-CN"/>
        </w:rPr>
        <w:t>应</w:t>
      </w:r>
      <w:r>
        <w:rPr>
          <w:rFonts w:hint="eastAsia" w:ascii="仿宋_GB2312" w:hAnsi="仿宋_GB2312" w:eastAsia="仿宋_GB2312" w:cs="仿宋_GB2312"/>
          <w:bCs/>
          <w:color w:val="auto"/>
          <w:sz w:val="32"/>
          <w:szCs w:val="32"/>
        </w:rPr>
        <w:t>达到《饮食业油烟排放标准》（GB18483-2001）最高允许排放浓度，排至屋顶排放</w:t>
      </w:r>
      <w:r>
        <w:rPr>
          <w:rFonts w:hint="eastAsia" w:ascii="仿宋_GB2312" w:hAnsi="仿宋_GB2312" w:eastAsia="仿宋_GB2312" w:cs="仿宋_GB2312"/>
          <w:bCs/>
          <w:color w:val="auto"/>
          <w:sz w:val="32"/>
          <w:szCs w:val="32"/>
          <w:lang w:eastAsia="zh-CN"/>
        </w:rPr>
        <w:t>。</w:t>
      </w:r>
    </w:p>
    <w:p>
      <w:pPr>
        <w:pStyle w:val="14"/>
        <w:keepNext w:val="0"/>
        <w:keepLines w:val="0"/>
        <w:pageBreakBefore w:val="0"/>
        <w:widowControl w:val="0"/>
        <w:numPr>
          <w:ilvl w:val="0"/>
          <w:numId w:val="0"/>
        </w:numPr>
        <w:kinsoku/>
        <w:wordWrap/>
        <w:overflowPunct/>
        <w:topLinePunct w:val="0"/>
        <w:bidi w:val="0"/>
        <w:spacing w:line="312" w:lineRule="auto"/>
        <w:ind w:firstLine="640" w:firstLineChars="200"/>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其他无组织排放废气包括管路吹扫废气中的有机废气、木粉卸料粉尘、固态硝酸铵破碎粉尘、不合格品干燥混药粉尘、水油相制备工房和木粉加工工房少部分未收集到的有机废气、粉尘等。通过设置防爆轴流风机，加强车间排风，加强设备管理，规范操作等措施，无组织排放监控点挥发性有机物浓度</w:t>
      </w:r>
      <w:r>
        <w:rPr>
          <w:rFonts w:hint="eastAsia" w:ascii="仿宋_GB2312" w:hAnsi="仿宋_GB2312" w:eastAsia="仿宋_GB2312" w:cs="仿宋_GB2312"/>
          <w:bCs/>
          <w:color w:val="auto"/>
          <w:sz w:val="32"/>
          <w:szCs w:val="32"/>
          <w:lang w:eastAsia="zh-CN"/>
        </w:rPr>
        <w:t>应</w:t>
      </w:r>
      <w:r>
        <w:rPr>
          <w:rFonts w:hint="eastAsia" w:ascii="仿宋_GB2312" w:hAnsi="仿宋_GB2312" w:eastAsia="仿宋_GB2312" w:cs="仿宋_GB2312"/>
          <w:bCs/>
          <w:color w:val="auto"/>
          <w:sz w:val="32"/>
          <w:szCs w:val="32"/>
        </w:rPr>
        <w:t>满足《挥发性有机物无组织排放控制标准》(GB37822-2019)，粉尘</w:t>
      </w:r>
      <w:r>
        <w:rPr>
          <w:rFonts w:hint="eastAsia" w:ascii="仿宋_GB2312" w:hAnsi="仿宋_GB2312" w:eastAsia="仿宋_GB2312" w:cs="仿宋_GB2312"/>
          <w:bCs/>
          <w:color w:val="auto"/>
          <w:sz w:val="32"/>
          <w:szCs w:val="32"/>
          <w:lang w:eastAsia="zh-CN"/>
        </w:rPr>
        <w:t>应</w:t>
      </w:r>
      <w:r>
        <w:rPr>
          <w:rFonts w:hint="eastAsia" w:ascii="仿宋_GB2312" w:hAnsi="仿宋_GB2312" w:eastAsia="仿宋_GB2312" w:cs="仿宋_GB2312"/>
          <w:bCs/>
          <w:color w:val="auto"/>
          <w:sz w:val="32"/>
          <w:szCs w:val="32"/>
        </w:rPr>
        <w:t>满足《大气污染物综合排放标准》(GB16297-1996)中无组织排放监控点浓度限值</w:t>
      </w:r>
      <w:r>
        <w:rPr>
          <w:rFonts w:hint="eastAsia" w:ascii="仿宋_GB2312" w:hAnsi="仿宋_GB2312" w:eastAsia="仿宋_GB2312" w:cs="仿宋_GB2312"/>
          <w:bCs/>
          <w:color w:val="auto"/>
          <w:sz w:val="32"/>
          <w:szCs w:val="32"/>
          <w:lang w:eastAsia="zh-CN"/>
        </w:rPr>
        <w:t>。</w:t>
      </w:r>
    </w:p>
    <w:p>
      <w:pPr>
        <w:keepNext w:val="0"/>
        <w:keepLines w:val="0"/>
        <w:pageBreakBefore w:val="0"/>
        <w:widowControl w:val="0"/>
        <w:kinsoku/>
        <w:wordWrap/>
        <w:overflowPunct/>
        <w:topLinePunct w:val="0"/>
        <w:autoSpaceDE w:val="0"/>
        <w:bidi w:val="0"/>
        <w:spacing w:line="312" w:lineRule="auto"/>
        <w:ind w:firstLine="640" w:firstLineChars="200"/>
        <w:rPr>
          <w:rFonts w:hint="eastAsia" w:ascii="仿宋_GB2312" w:hAnsi="仿宋" w:eastAsia="仿宋_GB2312" w:cs="仿宋"/>
          <w:sz w:val="32"/>
          <w:szCs w:val="32"/>
        </w:rPr>
      </w:pPr>
      <w:r>
        <w:rPr>
          <w:rFonts w:hint="eastAsia" w:ascii="楷体_GB2312" w:hAnsi="楷体_GB2312" w:eastAsia="楷体_GB2312" w:cs="楷体_GB2312"/>
          <w:color w:val="000000" w:themeColor="text1"/>
          <w:sz w:val="32"/>
          <w:szCs w:val="32"/>
          <w14:textFill>
            <w14:solidFill>
              <w14:schemeClr w14:val="tx1"/>
            </w14:solidFill>
          </w14:textFill>
        </w:rPr>
        <w:t>（三）严格落实噪声污染防治措施。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项目主要噪声源</w:t>
      </w:r>
      <w:r>
        <w:rPr>
          <w:rFonts w:hint="eastAsia" w:ascii="仿宋_GB2312" w:hAnsi="仿宋_GB2312" w:eastAsia="仿宋_GB2312" w:cs="仿宋_GB2312"/>
          <w:snapToGrid w:val="0"/>
          <w:color w:val="auto"/>
          <w:sz w:val="32"/>
          <w:szCs w:val="32"/>
        </w:rPr>
        <w:t>来</w:t>
      </w:r>
      <w:r>
        <w:rPr>
          <w:rFonts w:hint="eastAsia" w:ascii="仿宋_GB2312" w:hAnsi="仿宋_GB2312" w:eastAsia="仿宋_GB2312" w:cs="仿宋_GB2312"/>
          <w:snapToGrid w:val="0"/>
          <w:color w:val="auto"/>
          <w:sz w:val="32"/>
          <w:szCs w:val="32"/>
          <w:lang w:eastAsia="zh-CN"/>
        </w:rPr>
        <w:t>自</w:t>
      </w:r>
      <w:r>
        <w:rPr>
          <w:rFonts w:hint="eastAsia" w:ascii="仿宋_GB2312" w:hAnsi="仿宋_GB2312" w:eastAsia="仿宋_GB2312" w:cs="仿宋_GB2312"/>
          <w:snapToGrid w:val="0"/>
          <w:color w:val="auto"/>
          <w:sz w:val="32"/>
          <w:szCs w:val="32"/>
        </w:rPr>
        <w:t>输送泵、空压机、水泵等</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生产设备产生的机械噪声，通过选用低噪设备，合理平面布局，加强车间密闭性，采取隔声、减振等降噪措施，定期对隔声罩、减震装置等降噪设施进行检查和维护，维持设备处于良好的运转状态，经厂房、围墙隔音及距离衰减等措施后，厂界噪声应达到《工业企业厂界环境噪声排放标准》（GB12348-2008）中2类标准</w:t>
      </w:r>
      <w:r>
        <w:rPr>
          <w:rFonts w:ascii="仿宋_GB2312" w:hAnsi="仿宋" w:eastAsia="仿宋_GB2312" w:cs="仿宋"/>
          <w:sz w:val="32"/>
          <w:szCs w:val="32"/>
        </w:rPr>
        <w:t>。</w:t>
      </w:r>
    </w:p>
    <w:p>
      <w:pPr>
        <w:keepNext w:val="0"/>
        <w:keepLines w:val="0"/>
        <w:pageBreakBefore w:val="0"/>
        <w:widowControl w:val="0"/>
        <w:kinsoku/>
        <w:wordWrap/>
        <w:overflowPunct/>
        <w:topLinePunct w:val="0"/>
        <w:bidi w:val="0"/>
        <w:spacing w:line="312" w:lineRule="auto"/>
        <w:ind w:firstLine="680"/>
        <w:rPr>
          <w:rFonts w:hint="eastAsia" w:ascii="仿宋_GB2312" w:hAnsi="仿宋" w:eastAsia="仿宋_GB2312" w:cs="仿宋"/>
          <w:sz w:val="32"/>
          <w:szCs w:val="32"/>
        </w:rPr>
      </w:pPr>
      <w:r>
        <w:rPr>
          <w:rFonts w:hint="eastAsia" w:ascii="楷体_GB2312" w:hAnsi="楷体_GB2312" w:eastAsia="楷体_GB2312" w:cs="楷体_GB2312"/>
          <w:color w:val="000000" w:themeColor="text1"/>
          <w:sz w:val="32"/>
          <w:szCs w:val="32"/>
          <w14:textFill>
            <w14:solidFill>
              <w14:schemeClr w14:val="tx1"/>
            </w14:solidFill>
          </w14:textFill>
        </w:rPr>
        <w:t>（四）严格落实固体废物分类处置和综合利用措施。</w:t>
      </w:r>
      <w:r>
        <w:rPr>
          <w:rFonts w:hint="eastAsia" w:ascii="仿宋_GB2312" w:hAnsi="仿宋" w:eastAsia="仿宋_GB2312"/>
          <w:kern w:val="0"/>
          <w:sz w:val="32"/>
          <w:szCs w:val="32"/>
        </w:rPr>
        <w:t>应按“资源化、减量化、无害化”处置原则，认真落实固废分类收集、处置和综合利用措施。严格履行危险废物转移联单等相关环保手续，具有危险废物性质的原料及产生的危险废物在贮存过程中应认真落实相关环保要求，定期委托有相应资质的单位进行综合利用或处置。项目产生的自身不能综合利用的各类危险废物应定期委托有资质的单位综合利用和处置，产生的一般工业固体废物应合法处置</w:t>
      </w:r>
      <w:r>
        <w:rPr>
          <w:rFonts w:hint="eastAsia" w:ascii="仿宋_GB2312" w:hAnsi="仿宋" w:eastAsia="仿宋_GB2312"/>
          <w:kern w:val="0"/>
          <w:sz w:val="32"/>
          <w:szCs w:val="32"/>
          <w:lang w:eastAsia="zh-CN"/>
        </w:rPr>
        <w:t>，</w:t>
      </w:r>
      <w:r>
        <w:rPr>
          <w:rFonts w:hint="eastAsia" w:ascii="仿宋_GB2312" w:hAnsi="仿宋" w:eastAsia="仿宋_GB2312"/>
          <w:kern w:val="0"/>
          <w:sz w:val="32"/>
          <w:szCs w:val="32"/>
        </w:rPr>
        <w:t>生活垃圾收集后由当地环卫部门送生活垃圾填埋场卫生填埋。</w:t>
      </w:r>
    </w:p>
    <w:p>
      <w:pPr>
        <w:keepNext w:val="0"/>
        <w:keepLines w:val="0"/>
        <w:pageBreakBefore w:val="0"/>
        <w:widowControl w:val="0"/>
        <w:kinsoku/>
        <w:wordWrap/>
        <w:overflowPunct/>
        <w:topLinePunct w:val="0"/>
        <w:autoSpaceDE w:val="0"/>
        <w:bidi w:val="0"/>
        <w:spacing w:line="312" w:lineRule="auto"/>
        <w:ind w:firstLine="640" w:firstLineChars="200"/>
        <w:rPr>
          <w:rFonts w:hint="eastAsia" w:ascii="仿宋_GB2312" w:hAnsi="仿宋" w:eastAsia="仿宋_GB2312"/>
          <w:kern w:val="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18597-2023）要求；一般工业固体废物综合利用或合理处置，一般工业固体废物暂存库设计、建设和运行必须满足《一般工业固体废物贮存和填埋污染控制标准》(GB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五</w:t>
      </w:r>
      <w:r>
        <w:rPr>
          <w:rFonts w:hint="eastAsia" w:ascii="楷体_GB2312" w:hAnsi="楷体_GB2312" w:eastAsia="楷体_GB2312" w:cs="楷体_GB2312"/>
          <w:color w:val="000000" w:themeColor="text1"/>
          <w:sz w:val="32"/>
          <w:szCs w:val="32"/>
          <w14:textFill>
            <w14:solidFill>
              <w14:schemeClr w14:val="tx1"/>
            </w14:solidFill>
          </w14:textFill>
        </w:rPr>
        <w:t>）严格落实土壤及地下水污染防治措施。</w:t>
      </w:r>
      <w:r>
        <w:rPr>
          <w:rFonts w:hint="eastAsia" w:ascii="仿宋_GB2312" w:eastAsia="仿宋_GB2312"/>
          <w:color w:val="000000" w:themeColor="text1"/>
          <w:sz w:val="32"/>
          <w:szCs w:val="32"/>
          <w14:textFill>
            <w14:solidFill>
              <w14:schemeClr w14:val="tx1"/>
            </w14:solidFill>
          </w14:textFill>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（六）严格落实环境风险防范措施。</w:t>
      </w:r>
      <w:r>
        <w:rPr>
          <w:rFonts w:hint="eastAsia" w:ascii="仿宋_GB2312" w:eastAsia="仿宋_GB2312"/>
          <w:color w:val="000000" w:themeColor="text1"/>
          <w:sz w:val="32"/>
          <w:szCs w:val="32"/>
          <w14:textFill>
            <w14:solidFill>
              <w14:schemeClr w14:val="tx1"/>
            </w14:solidFill>
          </w14:textFill>
        </w:rPr>
        <w:t>严格落实《报告书》和《评估意见》提出的各项环境风险防控措施。强化化学品从贮运、使用到生产各个环节的事故防范，物料应做到分类、分区存放。设置围堰、防渗排水沟，安装可燃气体、有毒气体监测报警仪。按环评要求规范保障足够容积的事故应急设施，事故收集装置正常情况下必须空置，一旦发生突发性事故时，企业必须立即停产，启用收集设施收集事故下的废水，待该收集池内废水全部处理完后方可恢复生产，确保突发性事故产生的各类废液、废水不进入外环境。健全企业环境风险防范与应急管理体系，制定全厂环境风险防控措施和突发环境事件应急预案，做好应急设施的检查维护，配套足够的应急物资，特别是有毒有害气体泄漏风险防范和应急处置措施、物资要保障到位。突发环境事件应急预案（须报市、县生</w:t>
      </w:r>
      <w:r>
        <w:rPr>
          <w:rFonts w:hint="eastAsia" w:ascii="仿宋_GB2312" w:hAnsi="仿宋_GB2312" w:eastAsia="仿宋_GB2312" w:cs="仿宋_GB2312"/>
          <w:color w:val="000000" w:themeColor="text1"/>
          <w:sz w:val="32"/>
          <w:szCs w:val="32"/>
          <w14:textFill>
            <w14:solidFill>
              <w14:schemeClr w14:val="tx1"/>
            </w14:solidFill>
          </w14:textFill>
        </w:rPr>
        <w:t>态环境部门备案）应与园区相邻企业、当地政府进行有效衔接，定期协同有关部门开展应急演练。</w:t>
      </w:r>
    </w:p>
    <w:p>
      <w:pPr>
        <w:keepNext w:val="0"/>
        <w:keepLines w:val="0"/>
        <w:pageBreakBefore w:val="0"/>
        <w:widowControl w:val="0"/>
        <w:kinsoku/>
        <w:wordWrap/>
        <w:overflowPunct/>
        <w:topLinePunct w:val="0"/>
        <w:autoSpaceDE w:val="0"/>
        <w:bidi w:val="0"/>
        <w:spacing w:line="312"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（七）排污口规范化和环境监测要求。</w:t>
      </w:r>
      <w:r>
        <w:rPr>
          <w:rFonts w:hint="eastAsia" w:ascii="仿宋_GB2312" w:eastAsia="仿宋_GB2312"/>
          <w:color w:val="000000" w:themeColor="text1"/>
          <w:sz w:val="32"/>
          <w:szCs w:val="32"/>
          <w14:textFill>
            <w14:solidFill>
              <w14:schemeClr w14:val="tx1"/>
            </w14:solidFill>
          </w14:textFill>
        </w:rPr>
        <w:t>按照国家有关规定设置规范的污染物排放口，并设立标志牌。项目废气和废水排放设施按要求设置永久监测采样口。</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hint="eastAsia" w:ascii="仿宋_GB2312" w:eastAsia="仿宋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（八）项目周围规划控制要求。</w:t>
      </w:r>
      <w:r>
        <w:rPr>
          <w:rFonts w:hint="eastAsia" w:ascii="仿宋_GB2312" w:eastAsia="仿宋_GB2312"/>
          <w:color w:val="000000" w:themeColor="text1"/>
          <w:sz w:val="32"/>
          <w:szCs w:val="32"/>
          <w14:textFill>
            <w14:solidFill>
              <w14:schemeClr w14:val="tx1"/>
            </w14:solidFill>
          </w14:textFill>
        </w:rPr>
        <w:t>根据《报告书》和《评估意见》结论，确定</w:t>
      </w:r>
      <w:r>
        <w:rPr>
          <w:rFonts w:hint="eastAsia" w:ascii="仿宋_GB2312" w:eastAsia="仿宋_GB2312"/>
          <w:color w:val="000000" w:themeColor="text1"/>
          <w:sz w:val="32"/>
          <w:szCs w:val="32"/>
          <w:lang w:eastAsia="zh-CN"/>
          <w14:textFill>
            <w14:solidFill>
              <w14:schemeClr w14:val="tx1"/>
            </w14:solidFill>
          </w14:textFill>
        </w:rPr>
        <w:t>本项目</w:t>
      </w:r>
      <w:r>
        <w:rPr>
          <w:rFonts w:hint="eastAsia" w:ascii="仿宋_GB2312" w:hAnsi="仿宋_GB2312" w:eastAsia="仿宋_GB2312" w:cs="仿宋_GB2312"/>
          <w:snapToGrid w:val="0"/>
          <w:color w:val="auto"/>
          <w:sz w:val="32"/>
          <w:szCs w:val="32"/>
        </w:rPr>
        <w:t>水油相制备工房、木粉加工工房、不合格品处理工房各</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50m的</w:t>
      </w:r>
      <w:r>
        <w:rPr>
          <w:rFonts w:hint="eastAsia" w:ascii="仿宋_GB2312" w:eastAsia="仿宋_GB2312"/>
          <w:color w:val="000000" w:themeColor="text1"/>
          <w:sz w:val="32"/>
          <w:szCs w:val="32"/>
          <w14:textFill>
            <w14:solidFill>
              <w14:schemeClr w14:val="tx1"/>
            </w14:solidFill>
          </w14:textFill>
        </w:rPr>
        <w:t>卫生防护距离。</w:t>
      </w:r>
      <w:r>
        <w:rPr>
          <w:rFonts w:hint="eastAsia" w:ascii="仿宋_GB2312" w:hAnsi="仿宋" w:eastAsia="仿宋_GB2312" w:cs="仿宋"/>
          <w:color w:val="000000" w:themeColor="text1"/>
          <w:sz w:val="32"/>
          <w:szCs w:val="32"/>
          <w14:textFill>
            <w14:solidFill>
              <w14:schemeClr w14:val="tx1"/>
            </w14:solidFill>
          </w14:textFill>
        </w:rPr>
        <w:t>你公司应配合政府和规划部门做好项目周边规划管控，项目卫生防护距离范围内不得</w:t>
      </w:r>
      <w:r>
        <w:rPr>
          <w:rFonts w:hint="eastAsia" w:ascii="仿宋_GB2312" w:eastAsia="仿宋_GB2312"/>
          <w:color w:val="000000" w:themeColor="text1"/>
          <w:kern w:val="0"/>
          <w:sz w:val="32"/>
          <w:szCs w:val="32"/>
          <w14:textFill>
            <w14:solidFill>
              <w14:schemeClr w14:val="tx1"/>
            </w14:solidFill>
          </w14:textFill>
        </w:rPr>
        <w:t>新建居民住宅、学校、医院等环境敏感建筑。</w:t>
      </w:r>
    </w:p>
    <w:p>
      <w:pPr>
        <w:pStyle w:val="2"/>
        <w:keepNext w:val="0"/>
        <w:keepLines w:val="0"/>
        <w:pageBreakBefore w:val="0"/>
        <w:widowControl w:val="0"/>
        <w:kinsoku/>
        <w:wordWrap/>
        <w:overflowPunct/>
        <w:topLinePunct w:val="0"/>
        <w:bidi w:val="0"/>
        <w:spacing w:line="312" w:lineRule="auto"/>
        <w:ind w:firstLine="640" w:firstLineChars="200"/>
        <w:rPr>
          <w:rFonts w:hint="eastAsia" w:eastAsia="仿宋_GB2312"/>
          <w:lang w:eastAsia="zh-CN"/>
        </w:rPr>
      </w:pPr>
      <w:r>
        <w:rPr>
          <w:rFonts w:hint="eastAsia" w:ascii="楷体_GB2312" w:hAnsi="楷体_GB2312" w:eastAsia="楷体_GB2312" w:cs="楷体_GB2312"/>
          <w:color w:val="auto"/>
          <w:sz w:val="32"/>
          <w:szCs w:val="32"/>
          <w:lang w:val="en-US" w:eastAsia="zh-CN"/>
        </w:rPr>
        <w:t>（九）严格“</w:t>
      </w:r>
      <w:bookmarkStart w:id="0" w:name="_Hlk140436559"/>
      <w:r>
        <w:rPr>
          <w:rFonts w:hint="eastAsia" w:ascii="楷体_GB2312" w:hAnsi="楷体_GB2312" w:eastAsia="楷体_GB2312" w:cs="楷体_GB2312"/>
          <w:color w:val="auto"/>
          <w:sz w:val="32"/>
          <w:szCs w:val="32"/>
          <w:lang w:val="en-US" w:eastAsia="zh-CN"/>
        </w:rPr>
        <w:t>以新带老</w:t>
      </w:r>
      <w:bookmarkEnd w:id="0"/>
      <w:r>
        <w:rPr>
          <w:rFonts w:hint="eastAsia" w:ascii="楷体_GB2312" w:hAnsi="楷体_GB2312" w:eastAsia="楷体_GB2312" w:cs="楷体_GB2312"/>
          <w:color w:val="auto"/>
          <w:sz w:val="32"/>
          <w:szCs w:val="32"/>
          <w:lang w:val="en-US" w:eastAsia="zh-CN"/>
        </w:rPr>
        <w:t>”污染防治措施。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完善厂区雨污分流设施，新建足够容积的初期雨水池和</w:t>
      </w:r>
      <w:r>
        <w:rPr>
          <w:rFonts w:hint="eastAsia" w:ascii="仿宋_GB2312" w:hAnsi="仿宋_GB2312" w:eastAsia="仿宋_GB2312" w:cs="仿宋_GB2312"/>
          <w:color w:val="auto"/>
          <w:sz w:val="32"/>
          <w:szCs w:val="32"/>
        </w:rPr>
        <w:t>生产废水回用系统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对废水处理站进行升级改造</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color w:val="auto"/>
          <w:sz w:val="32"/>
          <w:szCs w:val="32"/>
        </w:rPr>
        <w:t>拆除原有锅炉房，将其改造建设成为危废暂存间及一般固废暂存库，危废暂存间的建设应符合《危险废物贮存污染控制标准》（GB 18597-2023）的相关规定要求</w:t>
      </w:r>
      <w:r>
        <w:rPr>
          <w:rFonts w:hint="eastAsia" w:hAnsi="仿宋_GB2312" w:cs="仿宋_GB2312"/>
          <w:color w:val="auto"/>
          <w:sz w:val="32"/>
          <w:szCs w:val="32"/>
          <w:lang w:eastAsia="zh-CN"/>
        </w:rPr>
        <w:t>。</w:t>
      </w:r>
    </w:p>
    <w:p>
      <w:pPr>
        <w:keepNext w:val="0"/>
        <w:keepLines w:val="0"/>
        <w:pageBreakBefore w:val="0"/>
        <w:widowControl w:val="0"/>
        <w:kinsoku/>
        <w:wordWrap/>
        <w:overflowPunct/>
        <w:topLinePunct w:val="0"/>
        <w:autoSpaceDE w:val="0"/>
        <w:bidi w:val="0"/>
        <w:adjustRightInd w:val="0"/>
        <w:snapToGrid w:val="0"/>
        <w:spacing w:line="312" w:lineRule="auto"/>
        <w:ind w:firstLine="640" w:firstLineChars="200"/>
        <w:jc w:val="both"/>
        <w:textAlignment w:val="auto"/>
        <w:rPr>
          <w:color w:val="000000" w:themeColor="text1"/>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w:t>
      </w:r>
      <w:r>
        <w:rPr>
          <w:rFonts w:hint="eastAsia" w:ascii="楷体_GB2312" w:hAnsi="楷体_GB2312" w:eastAsia="楷体_GB2312" w:cs="楷体_GB2312"/>
          <w:color w:val="000000" w:themeColor="text1"/>
          <w:sz w:val="32"/>
          <w:szCs w:val="32"/>
          <w:lang w:eastAsia="zh-CN"/>
          <w14:textFill>
            <w14:solidFill>
              <w14:schemeClr w14:val="tx1"/>
            </w14:solidFill>
          </w14:textFill>
        </w:rPr>
        <w:t>十</w:t>
      </w:r>
      <w:r>
        <w:rPr>
          <w:rFonts w:hint="eastAsia" w:ascii="楷体_GB2312" w:hAnsi="楷体_GB2312" w:eastAsia="楷体_GB2312" w:cs="楷体_GB2312"/>
          <w:color w:val="000000" w:themeColor="text1"/>
          <w:sz w:val="32"/>
          <w:szCs w:val="32"/>
          <w14:textFill>
            <w14:solidFill>
              <w14:schemeClr w14:val="tx1"/>
            </w14:solidFill>
          </w14:textFill>
        </w:rPr>
        <w:t>）环境信息公开要求。</w:t>
      </w:r>
      <w:r>
        <w:rPr>
          <w:rFonts w:hint="eastAsia" w:ascii="仿宋_GB2312" w:eastAsia="仿宋_GB2312"/>
          <w:color w:val="000000" w:themeColor="text1"/>
          <w:kern w:val="0"/>
          <w:sz w:val="32"/>
          <w:szCs w:val="32"/>
          <w14:textFill>
            <w14:solidFill>
              <w14:schemeClr w14:val="tx1"/>
            </w14:solidFill>
          </w14:textFill>
        </w:rPr>
        <w:t>你公司应依法实施信息公开，接受社会监督</w:t>
      </w:r>
      <w:r>
        <w:rPr>
          <w:rFonts w:ascii="仿宋_GB2312" w:eastAsia="仿宋_GB2312"/>
          <w:color w:val="000000" w:themeColor="text1"/>
          <w:kern w:val="0"/>
          <w:sz w:val="32"/>
          <w:szCs w:val="32"/>
          <w14:textFill>
            <w14:solidFill>
              <w14:schemeClr w14:val="tx1"/>
            </w14:solidFill>
          </w14:textFill>
        </w:rPr>
        <w:t>。</w:t>
      </w:r>
      <w:r>
        <w:rPr>
          <w:rFonts w:hint="eastAsia" w:ascii="仿宋_GB2312" w:eastAsia="仿宋_GB2312"/>
          <w:color w:val="000000" w:themeColor="text1"/>
          <w:kern w:val="0"/>
          <w:sz w:val="32"/>
          <w:szCs w:val="32"/>
          <w14:textFill>
            <w14:solidFill>
              <w14:schemeClr w14:val="tx1"/>
            </w14:solidFill>
          </w14:textFill>
        </w:rPr>
        <w:t>项目投产后应定期公示企业环境报告，公布污染物排放和环境管理情况。</w:t>
      </w:r>
    </w:p>
    <w:p>
      <w:pPr>
        <w:keepNext w:val="0"/>
        <w:keepLines w:val="0"/>
        <w:pageBreakBefore w:val="0"/>
        <w:widowControl w:val="0"/>
        <w:numPr>
          <w:ilvl w:val="0"/>
          <w:numId w:val="2"/>
        </w:numPr>
        <w:kinsoku/>
        <w:wordWrap/>
        <w:overflowPunct/>
        <w:topLinePunct w:val="0"/>
        <w:autoSpaceDE w:val="0"/>
        <w:bidi w:val="0"/>
        <w:snapToGrid w:val="0"/>
        <w:spacing w:line="312" w:lineRule="auto"/>
        <w:ind w:firstLine="640" w:firstLineChars="200"/>
        <w:jc w:val="both"/>
        <w:textAlignment w:val="auto"/>
        <w:rPr>
          <w:rFonts w:ascii="CESI黑体-GB2312" w:hAnsi="CESI黑体-GB2312" w:eastAsia="CESI黑体-GB2312" w:cs="CESI黑体-GB2312"/>
          <w:color w:val="000000" w:themeColor="text1"/>
          <w:sz w:val="32"/>
          <w:szCs w:val="32"/>
          <w14:textFill>
            <w14:solidFill>
              <w14:schemeClr w14:val="tx1"/>
            </w14:solidFill>
          </w14:textFill>
        </w:rPr>
      </w:pPr>
      <w:r>
        <w:rPr>
          <w:rFonts w:hint="eastAsia" w:ascii="CESI黑体-GB2312" w:hAnsi="CESI黑体-GB2312" w:eastAsia="CESI黑体-GB2312" w:cs="CESI黑体-GB2312"/>
          <w:color w:val="000000" w:themeColor="text1"/>
          <w:sz w:val="32"/>
          <w:szCs w:val="32"/>
          <w14:textFill>
            <w14:solidFill>
              <w14:schemeClr w14:val="tx1"/>
            </w14:solidFill>
          </w14:textFill>
        </w:rPr>
        <w:t>项目建设和竣工验收的环保要求</w:t>
      </w:r>
    </w:p>
    <w:p>
      <w:pPr>
        <w:keepNext w:val="0"/>
        <w:keepLines w:val="0"/>
        <w:pageBreakBefore w:val="0"/>
        <w:widowControl w:val="0"/>
        <w:kinsoku/>
        <w:wordWrap/>
        <w:overflowPunct/>
        <w:topLinePunct w:val="0"/>
        <w:autoSpaceDE w:val="0"/>
        <w:bidi w:val="0"/>
        <w:spacing w:line="312"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项目建设必须严格执行环境保护设施与主体工程同时设计、同时施工、同时投入使用的环境保护“三同时”制度。</w:t>
      </w:r>
    </w:p>
    <w:p>
      <w:pPr>
        <w:keepNext w:val="0"/>
        <w:keepLines w:val="0"/>
        <w:pageBreakBefore w:val="0"/>
        <w:widowControl w:val="0"/>
        <w:kinsoku/>
        <w:wordWrap/>
        <w:overflowPunct/>
        <w:topLinePunct w:val="0"/>
        <w:autoSpaceDE w:val="0"/>
        <w:autoSpaceDN/>
        <w:bidi w:val="0"/>
        <w:adjustRightInd w:val="0"/>
        <w:spacing w:line="312"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keepNext w:val="0"/>
        <w:keepLines w:val="0"/>
        <w:pageBreakBefore w:val="0"/>
        <w:widowControl w:val="0"/>
        <w:kinsoku/>
        <w:wordWrap/>
        <w:overflowPunct/>
        <w:topLinePunct w:val="0"/>
        <w:autoSpaceDE w:val="0"/>
        <w:autoSpaceDN/>
        <w:bidi w:val="0"/>
        <w:adjustRightInd w:val="0"/>
        <w:snapToGrid w:val="0"/>
        <w:spacing w:line="312"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CESI黑体-GB2312" w:hAnsi="CESI黑体-GB2312" w:eastAsia="CESI黑体-GB2312" w:cs="CESI黑体-GB2312"/>
          <w:color w:val="000000" w:themeColor="text1"/>
          <w:sz w:val="32"/>
          <w:szCs w:val="32"/>
          <w14:textFill>
            <w14:solidFill>
              <w14:schemeClr w14:val="tx1"/>
            </w14:solidFill>
          </w14:textFill>
        </w:rPr>
        <w:t>四、其他环保要求</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（一）项目变更环保要求。</w:t>
      </w:r>
      <w:r>
        <w:rPr>
          <w:rFonts w:hint="eastAsia" w:ascii="仿宋_GB2312" w:eastAsia="仿宋_GB2312"/>
          <w:color w:val="000000" w:themeColor="text1"/>
          <w:sz w:val="32"/>
          <w:szCs w:val="32"/>
          <w14:textFill>
            <w14:solidFill>
              <w14:schemeClr w14:val="tx1"/>
            </w14:solidFill>
          </w14:textFill>
        </w:rPr>
        <w:t>本项目批准后，若项目建设性质、规模、地点、内容、采用的生产工艺或者防治污染的措施等发生重大变化应重新报批环境影响评价文件，审批后超过5年方动工建设的，应当报我局重新审核。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（二）排污许可要求。</w:t>
      </w:r>
      <w:r>
        <w:rPr>
          <w:rFonts w:hint="eastAsia" w:ascii="仿宋_GB2312" w:eastAsia="仿宋_GB2312"/>
          <w:color w:val="000000" w:themeColor="text1"/>
          <w:sz w:val="32"/>
          <w:szCs w:val="32"/>
          <w14:textFill>
            <w14:solidFill>
              <w14:schemeClr w14:val="tx1"/>
            </w14:solidFill>
          </w14:textFill>
        </w:rPr>
        <w:t>在启动生产设施或者发生实际排污行为前，按照经批准的环境影响评价文件认真梳理并确认各项环境保护措施落实后，依法申领排污许可证。建立与项目环境保护工作需求相适应的环境管理团队，完善企业各项环境管理制度，加强环境管理，做到依证排污。</w:t>
      </w:r>
    </w:p>
    <w:p>
      <w:pPr>
        <w:keepNext w:val="0"/>
        <w:keepLines w:val="0"/>
        <w:pageBreakBefore w:val="0"/>
        <w:widowControl w:val="0"/>
        <w:kinsoku/>
        <w:wordWrap/>
        <w:overflowPunct/>
        <w:topLinePunct w:val="0"/>
        <w:autoSpaceDE w:val="0"/>
        <w:bidi w:val="0"/>
        <w:snapToGrid w:val="0"/>
        <w:spacing w:line="312" w:lineRule="auto"/>
        <w:ind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（三）日常环保监管。</w:t>
      </w:r>
      <w:r>
        <w:rPr>
          <w:rFonts w:hint="eastAsia" w:ascii="仿宋_GB2312" w:eastAsia="仿宋_GB2312"/>
          <w:color w:val="000000" w:themeColor="text1"/>
          <w:sz w:val="32"/>
          <w:szCs w:val="32"/>
          <w14:textFill>
            <w14:solidFill>
              <w14:schemeClr w14:val="tx1"/>
            </w14:solidFill>
          </w14:textFill>
        </w:rPr>
        <w:t>请宜春市生态环境保护综合执法支队、宜春市</w:t>
      </w:r>
      <w:r>
        <w:rPr>
          <w:rFonts w:hint="eastAsia" w:ascii="仿宋_GB2312" w:eastAsia="仿宋_GB2312"/>
          <w:color w:val="000000" w:themeColor="text1"/>
          <w:sz w:val="32"/>
          <w:szCs w:val="32"/>
          <w:lang w:eastAsia="zh-CN"/>
          <w14:textFill>
            <w14:solidFill>
              <w14:schemeClr w14:val="tx1"/>
            </w14:solidFill>
          </w14:textFill>
        </w:rPr>
        <w:t>宜丰</w:t>
      </w:r>
      <w:r>
        <w:rPr>
          <w:rFonts w:hint="eastAsia" w:ascii="仿宋_GB2312" w:eastAsia="仿宋_GB2312"/>
          <w:color w:val="000000" w:themeColor="text1"/>
          <w:sz w:val="32"/>
          <w:szCs w:val="32"/>
          <w14:textFill>
            <w14:solidFill>
              <w14:schemeClr w14:val="tx1"/>
            </w14:solidFill>
          </w14:textFill>
        </w:rPr>
        <w:t>生态环境局负责该项目建设和运行的监管。你公司应在收到本批复后20个工作日内，将批准后的《报告书》送至宜春市</w:t>
      </w:r>
      <w:r>
        <w:rPr>
          <w:rFonts w:hint="eastAsia" w:ascii="仿宋_GB2312" w:eastAsia="仿宋_GB2312"/>
          <w:color w:val="000000" w:themeColor="text1"/>
          <w:sz w:val="32"/>
          <w:szCs w:val="32"/>
          <w:lang w:eastAsia="zh-CN"/>
          <w14:textFill>
            <w14:solidFill>
              <w14:schemeClr w14:val="tx1"/>
            </w14:solidFill>
          </w14:textFill>
        </w:rPr>
        <w:t>宜丰</w:t>
      </w:r>
      <w:r>
        <w:rPr>
          <w:rFonts w:hint="eastAsia" w:ascii="仿宋_GB2312" w:eastAsia="仿宋_GB2312"/>
          <w:color w:val="000000" w:themeColor="text1"/>
          <w:sz w:val="32"/>
          <w:szCs w:val="32"/>
          <w14:textFill>
            <w14:solidFill>
              <w14:schemeClr w14:val="tx1"/>
            </w14:solidFill>
          </w14:textFill>
        </w:rPr>
        <w:t>生态环境局并按规定接受各级环保行政主管部门的监督检查。</w:t>
      </w:r>
    </w:p>
    <w:p>
      <w:pPr>
        <w:pStyle w:val="10"/>
        <w:rPr>
          <w:rFonts w:hint="eastAsia" w:ascii="仿宋_GB2312" w:eastAsia="仿宋_GB2312"/>
          <w:color w:val="000000" w:themeColor="text1"/>
          <w:sz w:val="32"/>
          <w:szCs w:val="32"/>
          <w14:textFill>
            <w14:solidFill>
              <w14:schemeClr w14:val="tx1"/>
            </w14:solidFill>
          </w14:textFill>
        </w:rPr>
      </w:pPr>
    </w:p>
    <w:p>
      <w:pPr>
        <w:pStyle w:val="16"/>
        <w:rPr>
          <w:rFonts w:hint="eastAsia" w:ascii="仿宋_GB2312" w:eastAsia="仿宋_GB2312"/>
          <w:color w:val="000000" w:themeColor="text1"/>
          <w:sz w:val="32"/>
          <w:szCs w:val="32"/>
          <w14:textFill>
            <w14:solidFill>
              <w14:schemeClr w14:val="tx1"/>
            </w14:solidFill>
          </w14:textFill>
        </w:rPr>
      </w:pPr>
    </w:p>
    <w:p>
      <w:pPr>
        <w:rPr>
          <w:rFonts w:hint="eastAsia"/>
        </w:rPr>
      </w:pPr>
    </w:p>
    <w:p>
      <w:pPr>
        <w:spacing w:line="500" w:lineRule="exact"/>
        <w:ind w:right="111" w:rightChars="53"/>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980"/>
        </w:tabs>
        <w:spacing w:line="500" w:lineRule="exact"/>
        <w:ind w:right="111" w:rightChars="53" w:firstLine="80" w:firstLineChars="25"/>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11</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pStyle w:val="25"/>
        <w:spacing w:line="560" w:lineRule="exact"/>
        <w:outlineLvl w:val="9"/>
        <w:rPr>
          <w:rFonts w:hint="eastAsia" w:ascii="CESI仿宋-GB2312" w:hAnsi="CESI仿宋-GB2312" w:eastAsia="CESI仿宋-GB2312" w:cs="CESI仿宋-GB2312"/>
          <w:b w:val="0"/>
          <w:bCs w:val="0"/>
          <w:szCs w:val="32"/>
        </w:rPr>
      </w:pPr>
      <w:r>
        <w:rPr>
          <w:rFonts w:hint="eastAsia" w:ascii="CESI仿宋-GB2312" w:hAnsi="CESI仿宋-GB2312" w:eastAsia="CESI仿宋-GB2312" w:cs="CESI仿宋-GB2312"/>
          <w:b w:val="0"/>
          <w:bCs w:val="0"/>
          <w:szCs w:val="32"/>
        </w:rPr>
        <w:t>（</w:t>
      </w:r>
      <w:r>
        <w:rPr>
          <w:rFonts w:hint="eastAsia" w:ascii="仿宋_GB2312" w:hAnsi="仿宋_GB2312" w:eastAsia="仿宋_GB2312" w:cs="仿宋_GB2312"/>
          <w:b w:val="0"/>
          <w:bCs w:val="0"/>
          <w:szCs w:val="32"/>
        </w:rPr>
        <w:t>此件主动公开</w:t>
      </w:r>
      <w:r>
        <w:rPr>
          <w:rFonts w:hint="eastAsia" w:ascii="CESI仿宋-GB2312" w:hAnsi="CESI仿宋-GB2312" w:eastAsia="CESI仿宋-GB2312" w:cs="CESI仿宋-GB2312"/>
          <w:b w:val="0"/>
          <w:bCs w:val="0"/>
          <w:szCs w:val="32"/>
        </w:rPr>
        <w:t>）</w:t>
      </w:r>
    </w:p>
    <w:p>
      <w:pPr>
        <w:pStyle w:val="26"/>
        <w:rPr>
          <w:rFonts w:hint="eastAsia" w:ascii="CESI仿宋-GB2312" w:hAnsi="CESI仿宋-GB2312" w:eastAsia="CESI仿宋-GB2312" w:cs="CESI仿宋-GB2312"/>
          <w:b w:val="0"/>
          <w:bCs w:val="0"/>
          <w:szCs w:val="32"/>
          <w:lang w:val="en-US" w:eastAsia="zh-CN"/>
        </w:rPr>
      </w:pPr>
      <w:r>
        <w:rPr>
          <w:rFonts w:hint="eastAsia" w:ascii="CESI仿宋-GB2312" w:hAnsi="CESI仿宋-GB2312" w:eastAsia="CESI仿宋-GB2312" w:cs="CESI仿宋-GB2312"/>
          <w:b w:val="0"/>
          <w:bCs w:val="0"/>
          <w:szCs w:val="32"/>
          <w:lang w:val="en-US" w:eastAsia="zh-CN"/>
        </w:rPr>
        <w:t xml:space="preserve">               </w:t>
      </w:r>
    </w:p>
    <w:p>
      <w:pPr>
        <w:spacing w:line="140" w:lineRule="exact"/>
        <w:rPr>
          <w:rFonts w:ascii="仿宋_GB2312" w:hAnsi="Calibri" w:eastAsia="仿宋_GB2312" w:cs="Times New Roman"/>
          <w:sz w:val="32"/>
          <w:szCs w:val="32"/>
          <w:u w:val="single"/>
        </w:rPr>
      </w:pPr>
    </w:p>
    <w:p>
      <w:pPr>
        <w:spacing w:line="140" w:lineRule="exact"/>
        <w:rPr>
          <w:rFonts w:hint="eastAsia" w:ascii="仿宋_GB2312" w:hAnsi="Calibri" w:eastAsia="仿宋_GB2312" w:cs="Times New Roman"/>
          <w:sz w:val="32"/>
          <w:szCs w:val="32"/>
          <w:u w:val="single"/>
        </w:rPr>
      </w:pPr>
    </w:p>
    <w:p>
      <w:pPr>
        <w:spacing w:line="140" w:lineRule="exact"/>
        <w:rPr>
          <w:rFonts w:hint="eastAsia"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hAnsi="Calibri" w:eastAsia="仿宋_GB2312" w:cs="Times New Roman"/>
          <w:sz w:val="32"/>
          <w:szCs w:val="32"/>
          <w:u w:val="single"/>
        </w:rPr>
      </w:pP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spacing w:beforeLines="30" w:line="460" w:lineRule="exact"/>
        <w:ind w:left="840" w:hanging="840" w:hangingChars="300"/>
        <w:rPr>
          <w:rFonts w:ascii="仿宋_GB2312" w:hAnsi="仿宋_GB2312" w:eastAsia="仿宋_GB2312"/>
          <w:color w:val="000000"/>
          <w:spacing w:val="-6"/>
          <w:sz w:val="28"/>
          <w:szCs w:val="32"/>
        </w:rPr>
      </w:pPr>
      <w:r>
        <w:rPr>
          <w:rFonts w:hint="eastAsia" w:ascii="仿宋_GB2312" w:hAnsi="宋体" w:eastAsia="仿宋_GB2312"/>
          <w:bCs/>
          <w:color w:val="000000"/>
          <w:sz w:val="28"/>
          <w:szCs w:val="32"/>
        </w:rPr>
        <w:t xml:space="preserve">抄送: </w:t>
      </w:r>
      <w:r>
        <w:rPr>
          <w:rFonts w:hint="eastAsia" w:ascii="仿宋_GB2312" w:hAnsi="宋体" w:eastAsia="仿宋_GB2312"/>
          <w:bCs/>
          <w:sz w:val="28"/>
          <w:szCs w:val="32"/>
          <w:lang w:eastAsia="zh-CN"/>
        </w:rPr>
        <w:t>宜丰县人民政府，</w:t>
      </w:r>
      <w:r>
        <w:rPr>
          <w:rFonts w:hint="eastAsia" w:ascii="仿宋_GB2312" w:hAnsi="宋体" w:eastAsia="仿宋_GB2312"/>
          <w:bCs/>
          <w:sz w:val="28"/>
          <w:szCs w:val="32"/>
        </w:rPr>
        <w:t>宜春市宜丰生态环境局</w:t>
      </w:r>
      <w:r>
        <w:rPr>
          <w:rFonts w:hint="eastAsia" w:ascii="仿宋_GB2312" w:hAnsi="华文仿宋" w:eastAsia="仿宋_GB2312"/>
          <w:spacing w:val="-6"/>
          <w:sz w:val="28"/>
          <w:szCs w:val="32"/>
        </w:rPr>
        <w:t>，局相关科室，局直属有关单位，知行道合（江西）环保产业技术研究院有限公司</w:t>
      </w:r>
      <w:r>
        <w:rPr>
          <w:rFonts w:hint="eastAsia" w:ascii="仿宋_GB2312" w:hAnsi="宋体" w:eastAsia="仿宋_GB2312" w:cs="Times New Roman"/>
          <w:bCs/>
          <w:sz w:val="28"/>
          <w:szCs w:val="32"/>
        </w:rPr>
        <w:t>。</w:t>
      </w:r>
      <w:r>
        <w:rPr>
          <w:rFonts w:hint="eastAsia" w:ascii="仿宋_GB2312" w:hAnsi="仿宋_GB2312" w:eastAsia="仿宋_GB2312"/>
          <w:color w:val="000000"/>
          <w:spacing w:val="-6"/>
          <w:sz w:val="28"/>
          <w:szCs w:val="32"/>
        </w:rPr>
        <w:t>　</w:t>
      </w: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tabs>
          <w:tab w:val="left" w:pos="7938"/>
        </w:tabs>
        <w:spacing w:line="520" w:lineRule="exact"/>
        <w:rPr>
          <w:rFonts w:ascii="仿宋_GB2312" w:eastAsia="仿宋_GB2312"/>
          <w:color w:val="000000"/>
          <w:sz w:val="28"/>
          <w:szCs w:val="32"/>
        </w:rPr>
      </w:pPr>
      <w:r>
        <w:rPr>
          <w:rFonts w:hint="eastAsia" w:ascii="仿宋_GB2312" w:eastAsia="仿宋_GB2312"/>
          <w:color w:val="000000"/>
          <w:sz w:val="28"/>
          <w:szCs w:val="32"/>
        </w:rPr>
        <w:t>宜春市生态环境局秘书科　 　            　 202</w:t>
      </w:r>
      <w:r>
        <w:rPr>
          <w:rFonts w:hint="eastAsia" w:ascii="仿宋_GB2312" w:eastAsia="仿宋_GB2312"/>
          <w:color w:val="000000"/>
          <w:sz w:val="28"/>
          <w:szCs w:val="32"/>
          <w:lang w:val="en-US" w:eastAsia="zh-CN"/>
        </w:rPr>
        <w:t>3</w:t>
      </w:r>
      <w:r>
        <w:rPr>
          <w:rFonts w:hint="eastAsia" w:ascii="仿宋_GB2312" w:eastAsia="仿宋_GB2312"/>
          <w:color w:val="000000"/>
          <w:sz w:val="28"/>
          <w:szCs w:val="32"/>
        </w:rPr>
        <w:t>年</w:t>
      </w:r>
      <w:r>
        <w:rPr>
          <w:rFonts w:hint="eastAsia" w:ascii="仿宋_GB2312" w:eastAsia="仿宋_GB2312"/>
          <w:color w:val="000000"/>
          <w:sz w:val="28"/>
          <w:szCs w:val="32"/>
          <w:lang w:val="en-US" w:eastAsia="zh-CN"/>
        </w:rPr>
        <w:t>11</w:t>
      </w:r>
      <w:r>
        <w:rPr>
          <w:rFonts w:hint="eastAsia" w:ascii="仿宋_GB2312" w:eastAsia="仿宋_GB2312"/>
          <w:color w:val="000000"/>
          <w:sz w:val="28"/>
          <w:szCs w:val="32"/>
        </w:rPr>
        <w:t>月</w:t>
      </w:r>
      <w:r>
        <w:rPr>
          <w:rFonts w:hint="eastAsia" w:ascii="仿宋_GB2312" w:eastAsia="仿宋_GB2312"/>
          <w:color w:val="000000"/>
          <w:sz w:val="28"/>
          <w:szCs w:val="32"/>
          <w:lang w:val="en-US" w:eastAsia="zh-CN"/>
        </w:rPr>
        <w:t>10</w:t>
      </w:r>
      <w:r>
        <w:rPr>
          <w:rFonts w:hint="eastAsia" w:ascii="仿宋_GB2312" w:eastAsia="仿宋_GB2312"/>
          <w:color w:val="000000"/>
          <w:sz w:val="28"/>
          <w:szCs w:val="32"/>
        </w:rPr>
        <w:t>日印发</w:t>
      </w:r>
    </w:p>
    <w:p>
      <w:pPr>
        <w:spacing w:line="140" w:lineRule="exact"/>
        <w:rPr>
          <w:rFonts w:ascii="仿宋_GB2312" w:hAnsi="华文仿宋" w:eastAsia="仿宋_GB2312"/>
          <w:spacing w:val="-6"/>
          <w:sz w:val="18"/>
          <w:szCs w:val="32"/>
        </w:rPr>
      </w:pPr>
      <w:r>
        <w:rPr>
          <w:rFonts w:hint="eastAsia" w:ascii="仿宋_GB2312" w:eastAsia="仿宋_GB2312"/>
          <w:color w:val="000000"/>
          <w:sz w:val="28"/>
          <w:szCs w:val="32"/>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A3"/>
    <w:family w:val="auto"/>
    <w:pitch w:val="default"/>
    <w:sig w:usb0="00000000" w:usb1="00000000" w:usb2="00000009" w:usb3="00000000" w:csb0="400001FF" w:csb1="FFFF0000"/>
  </w:font>
  <w:font w:name="宋体">
    <w:panose1 w:val="02010600030101010101"/>
    <w:charset w:val="8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楷体">
    <w:altName w:val="方正楷体_GBK"/>
    <w:panose1 w:val="02010609060101010101"/>
    <w:charset w:val="00"/>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CESI仿宋-GB2312">
    <w:panose1 w:val="02000500000000000000"/>
    <w:charset w:val="86"/>
    <w:family w:val="auto"/>
    <w:pitch w:val="default"/>
    <w:sig w:usb0="800002AF" w:usb1="084F6CF8" w:usb2="00000010" w:usb3="00000000" w:csb0="0004000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宋体-PUA">
    <w:panose1 w:val="02010600030101010101"/>
    <w:charset w:val="86"/>
    <w:family w:val="auto"/>
    <w:pitch w:val="default"/>
    <w:sig w:usb0="00000000" w:usb1="10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8"/>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PEfOxAQAAUQ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pS4oXDFZ2+fT19/3n68YW0xZ4xpg67&#10;HiP25ekuTJxm2Ku5lDBfhE8aXPlFSQRb0Ovj1V81ZSIxuVy1q1W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1k8R87EBAABRAwAADgAAAAAAAAABACAAAAA0AQAAZHJzL2Uyb0RvYy54&#10;bWxQSwUGAAAAAAYABgBZAQAAVwUAAAAA&#10;">
              <v:fill on="f" focussize="0,0"/>
              <v:stroke on="f"/>
              <v:imagedata o:title=""/>
              <o:lock v:ext="edit" aspectratio="f"/>
              <v:textbox inset="0mm,0mm,0mm,0mm" style="mso-fit-shape-to-text:t;">
                <w:txbxContent>
                  <w:p>
                    <w:pPr>
                      <w:pStyle w:val="18"/>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FA61E"/>
    <w:multiLevelType w:val="singleLevel"/>
    <w:tmpl w:val="DDFFA61E"/>
    <w:lvl w:ilvl="0" w:tentative="0">
      <w:start w:val="1"/>
      <w:numFmt w:val="chineseCounting"/>
      <w:suff w:val="nothing"/>
      <w:lvlText w:val="%1、"/>
      <w:lvlJc w:val="left"/>
      <w:rPr>
        <w:rFonts w:hint="eastAsia"/>
        <w:lang w:val="en-US"/>
      </w:rPr>
    </w:lvl>
  </w:abstractNum>
  <w:abstractNum w:abstractNumId="1">
    <w:nsid w:val="1FDEB214"/>
    <w:multiLevelType w:val="singleLevel"/>
    <w:tmpl w:val="1FDEB214"/>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061B"/>
    <w:rsid w:val="002C1A1F"/>
    <w:rsid w:val="002D36C8"/>
    <w:rsid w:val="002D4357"/>
    <w:rsid w:val="002E6EC5"/>
    <w:rsid w:val="002F0352"/>
    <w:rsid w:val="002F47FE"/>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3680E"/>
    <w:rsid w:val="007526F5"/>
    <w:rsid w:val="007560D8"/>
    <w:rsid w:val="00771662"/>
    <w:rsid w:val="0077442E"/>
    <w:rsid w:val="00774977"/>
    <w:rsid w:val="00781170"/>
    <w:rsid w:val="00794C9D"/>
    <w:rsid w:val="007C4113"/>
    <w:rsid w:val="007C66F2"/>
    <w:rsid w:val="007D0404"/>
    <w:rsid w:val="007F7109"/>
    <w:rsid w:val="008048A6"/>
    <w:rsid w:val="00807746"/>
    <w:rsid w:val="00812F26"/>
    <w:rsid w:val="00856911"/>
    <w:rsid w:val="00874512"/>
    <w:rsid w:val="008858FF"/>
    <w:rsid w:val="00885FA8"/>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1B9C"/>
    <w:rsid w:val="00BC41E5"/>
    <w:rsid w:val="00BC45AB"/>
    <w:rsid w:val="00BC557B"/>
    <w:rsid w:val="00BD2CE5"/>
    <w:rsid w:val="00BD3CA3"/>
    <w:rsid w:val="00BD5C75"/>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6421C"/>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4"/>
    <w:rsid w:val="00F9748B"/>
    <w:rsid w:val="00FA7567"/>
    <w:rsid w:val="00FC0384"/>
    <w:rsid w:val="00FC07C2"/>
    <w:rsid w:val="00FC1B12"/>
    <w:rsid w:val="00FC3FDC"/>
    <w:rsid w:val="00FC70FE"/>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A8AD4E"/>
    <w:rsid w:val="1CBD824C"/>
    <w:rsid w:val="1CC36DA2"/>
    <w:rsid w:val="1CCD3678"/>
    <w:rsid w:val="1CED0C71"/>
    <w:rsid w:val="1CF2CF0A"/>
    <w:rsid w:val="1D1A50CE"/>
    <w:rsid w:val="1D623ECD"/>
    <w:rsid w:val="1D6F0745"/>
    <w:rsid w:val="1D70551D"/>
    <w:rsid w:val="1D7E7C7B"/>
    <w:rsid w:val="1D7F7B99"/>
    <w:rsid w:val="1DB924E9"/>
    <w:rsid w:val="1DC74215"/>
    <w:rsid w:val="1DE7DC64"/>
    <w:rsid w:val="1DF41A03"/>
    <w:rsid w:val="1E9A6476"/>
    <w:rsid w:val="1EB47D2E"/>
    <w:rsid w:val="1EBF97AF"/>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D24E"/>
    <w:rsid w:val="1FBFF046"/>
    <w:rsid w:val="1FD1682D"/>
    <w:rsid w:val="1FDF234E"/>
    <w:rsid w:val="1FEDB956"/>
    <w:rsid w:val="1FEE0E62"/>
    <w:rsid w:val="1FFF9B15"/>
    <w:rsid w:val="1FFF9DF5"/>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3FFD048"/>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8F6165"/>
    <w:rsid w:val="29AB2E6F"/>
    <w:rsid w:val="29AC13BE"/>
    <w:rsid w:val="29C0187A"/>
    <w:rsid w:val="2A0D6FEB"/>
    <w:rsid w:val="2A7C3107"/>
    <w:rsid w:val="2A826B38"/>
    <w:rsid w:val="2A951FF8"/>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EFB49FD"/>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7EA109"/>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71025"/>
    <w:rsid w:val="37FB78CB"/>
    <w:rsid w:val="37FC3623"/>
    <w:rsid w:val="37FFDFE5"/>
    <w:rsid w:val="381C450D"/>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52F69"/>
    <w:rsid w:val="3BB71564"/>
    <w:rsid w:val="3BBF06F6"/>
    <w:rsid w:val="3BE27E23"/>
    <w:rsid w:val="3BE51489"/>
    <w:rsid w:val="3BFA93EF"/>
    <w:rsid w:val="3BFCF68E"/>
    <w:rsid w:val="3C6C15EF"/>
    <w:rsid w:val="3C9B1AF4"/>
    <w:rsid w:val="3CA00EC4"/>
    <w:rsid w:val="3CA059E2"/>
    <w:rsid w:val="3CBD4165"/>
    <w:rsid w:val="3CD83CD7"/>
    <w:rsid w:val="3CD93B40"/>
    <w:rsid w:val="3CEDF9E2"/>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7F5D9B"/>
    <w:rsid w:val="3F8954B2"/>
    <w:rsid w:val="3F8D0899"/>
    <w:rsid w:val="3F911FB7"/>
    <w:rsid w:val="3F970855"/>
    <w:rsid w:val="3F9B8D70"/>
    <w:rsid w:val="3F9C704E"/>
    <w:rsid w:val="3F9EF683"/>
    <w:rsid w:val="3FAE6D2D"/>
    <w:rsid w:val="3FB7F4C3"/>
    <w:rsid w:val="3FBD71D2"/>
    <w:rsid w:val="3FBD8D6B"/>
    <w:rsid w:val="3FC111A5"/>
    <w:rsid w:val="3FC767C0"/>
    <w:rsid w:val="3FCB541B"/>
    <w:rsid w:val="3FDF44C6"/>
    <w:rsid w:val="3FE394E7"/>
    <w:rsid w:val="3FFB0E64"/>
    <w:rsid w:val="3FFB4CC3"/>
    <w:rsid w:val="3FFBE772"/>
    <w:rsid w:val="3FFD09BF"/>
    <w:rsid w:val="3FFF180E"/>
    <w:rsid w:val="3FFF3C7C"/>
    <w:rsid w:val="3FFF71D4"/>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7F2151"/>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1F616E2"/>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3FF8B3B"/>
    <w:rsid w:val="545112A5"/>
    <w:rsid w:val="54696247"/>
    <w:rsid w:val="54756E9F"/>
    <w:rsid w:val="550175B7"/>
    <w:rsid w:val="553734B8"/>
    <w:rsid w:val="55A57E46"/>
    <w:rsid w:val="55AD3E33"/>
    <w:rsid w:val="55AE42D8"/>
    <w:rsid w:val="55B20BE0"/>
    <w:rsid w:val="55C53039"/>
    <w:rsid w:val="55D949DC"/>
    <w:rsid w:val="55E9CC1A"/>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EE0E67"/>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A04162B"/>
    <w:rsid w:val="5A091DC0"/>
    <w:rsid w:val="5A145BBF"/>
    <w:rsid w:val="5A81421E"/>
    <w:rsid w:val="5A963AAD"/>
    <w:rsid w:val="5A9E2282"/>
    <w:rsid w:val="5ACFD81A"/>
    <w:rsid w:val="5AD563E4"/>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A3F4B"/>
    <w:rsid w:val="5BDC5203"/>
    <w:rsid w:val="5BF492AF"/>
    <w:rsid w:val="5BFC5543"/>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774DD"/>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3FFDF0A"/>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DCE408"/>
    <w:rsid w:val="67EDB27E"/>
    <w:rsid w:val="67EDBDA0"/>
    <w:rsid w:val="67FD3F14"/>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E1E02"/>
    <w:rsid w:val="6B7F6011"/>
    <w:rsid w:val="6B84408B"/>
    <w:rsid w:val="6BAE6F4B"/>
    <w:rsid w:val="6BB9765C"/>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549A"/>
    <w:rsid w:val="6DFB7502"/>
    <w:rsid w:val="6DFD15BA"/>
    <w:rsid w:val="6DFE3646"/>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9C0B78"/>
    <w:rsid w:val="6FB0302E"/>
    <w:rsid w:val="6FBB02AE"/>
    <w:rsid w:val="6FBF5CB5"/>
    <w:rsid w:val="6FCE37D4"/>
    <w:rsid w:val="6FDEED9E"/>
    <w:rsid w:val="6FE71825"/>
    <w:rsid w:val="6FEB3409"/>
    <w:rsid w:val="6FF2EFD2"/>
    <w:rsid w:val="6FF55067"/>
    <w:rsid w:val="6FF70C7C"/>
    <w:rsid w:val="6FF736B6"/>
    <w:rsid w:val="6FFE666F"/>
    <w:rsid w:val="6FFF58D7"/>
    <w:rsid w:val="6FFF9DD0"/>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38E5E"/>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410B"/>
    <w:rsid w:val="75670E1B"/>
    <w:rsid w:val="757E8488"/>
    <w:rsid w:val="759D5D2B"/>
    <w:rsid w:val="759DDA6E"/>
    <w:rsid w:val="75B57793"/>
    <w:rsid w:val="75B847FC"/>
    <w:rsid w:val="75DFB6E5"/>
    <w:rsid w:val="75E60986"/>
    <w:rsid w:val="75F14FA4"/>
    <w:rsid w:val="75FF6E85"/>
    <w:rsid w:val="75FFAC91"/>
    <w:rsid w:val="76067541"/>
    <w:rsid w:val="76171E85"/>
    <w:rsid w:val="761E1DD9"/>
    <w:rsid w:val="76571F4C"/>
    <w:rsid w:val="766D0A82"/>
    <w:rsid w:val="767F7BF5"/>
    <w:rsid w:val="76824B18"/>
    <w:rsid w:val="769FBAE5"/>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E95C1D"/>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B38FD3"/>
    <w:rsid w:val="7ADE746F"/>
    <w:rsid w:val="7ADF8D6D"/>
    <w:rsid w:val="7ADFEA57"/>
    <w:rsid w:val="7AEF646F"/>
    <w:rsid w:val="7AF46CCC"/>
    <w:rsid w:val="7AF80114"/>
    <w:rsid w:val="7AFBA5EB"/>
    <w:rsid w:val="7B0C378D"/>
    <w:rsid w:val="7B14665D"/>
    <w:rsid w:val="7B211BE0"/>
    <w:rsid w:val="7B3604A3"/>
    <w:rsid w:val="7B64B9A8"/>
    <w:rsid w:val="7B6C23D0"/>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FAC73"/>
    <w:rsid w:val="7C6FFDFE"/>
    <w:rsid w:val="7C805BDF"/>
    <w:rsid w:val="7C960D11"/>
    <w:rsid w:val="7C9D15C7"/>
    <w:rsid w:val="7CBE8518"/>
    <w:rsid w:val="7CD09542"/>
    <w:rsid w:val="7CD51442"/>
    <w:rsid w:val="7CEC546D"/>
    <w:rsid w:val="7CED360A"/>
    <w:rsid w:val="7CF11320"/>
    <w:rsid w:val="7CF81A8E"/>
    <w:rsid w:val="7CFF5F65"/>
    <w:rsid w:val="7D4877F9"/>
    <w:rsid w:val="7D5F766F"/>
    <w:rsid w:val="7D772C0B"/>
    <w:rsid w:val="7D7E47AD"/>
    <w:rsid w:val="7D7F3FD0"/>
    <w:rsid w:val="7D804B82"/>
    <w:rsid w:val="7D841571"/>
    <w:rsid w:val="7D9E4DCD"/>
    <w:rsid w:val="7DB44617"/>
    <w:rsid w:val="7DB912C6"/>
    <w:rsid w:val="7DCFA9AF"/>
    <w:rsid w:val="7DEF655E"/>
    <w:rsid w:val="7DEF9F51"/>
    <w:rsid w:val="7DEFDD4D"/>
    <w:rsid w:val="7DF55D84"/>
    <w:rsid w:val="7DF5E540"/>
    <w:rsid w:val="7DFB0298"/>
    <w:rsid w:val="7DFFD3A2"/>
    <w:rsid w:val="7E15D1C6"/>
    <w:rsid w:val="7E1861B4"/>
    <w:rsid w:val="7E1E6385"/>
    <w:rsid w:val="7E1FF0C7"/>
    <w:rsid w:val="7E3D5B49"/>
    <w:rsid w:val="7E3D6278"/>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4FB8"/>
    <w:rsid w:val="7EFF55D8"/>
    <w:rsid w:val="7EFFCA79"/>
    <w:rsid w:val="7EFFEADB"/>
    <w:rsid w:val="7F0B523C"/>
    <w:rsid w:val="7F1A2ADD"/>
    <w:rsid w:val="7F1FE4C4"/>
    <w:rsid w:val="7F2E9941"/>
    <w:rsid w:val="7F3F0374"/>
    <w:rsid w:val="7F3F48D2"/>
    <w:rsid w:val="7F3FBEE0"/>
    <w:rsid w:val="7F4FD5E4"/>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6C28"/>
    <w:rsid w:val="7FD7B55D"/>
    <w:rsid w:val="7FDA4A78"/>
    <w:rsid w:val="7FDBD71A"/>
    <w:rsid w:val="7FDE6D84"/>
    <w:rsid w:val="7FDF0F57"/>
    <w:rsid w:val="7FDF8A26"/>
    <w:rsid w:val="7FE45506"/>
    <w:rsid w:val="7FE74340"/>
    <w:rsid w:val="7FE777B0"/>
    <w:rsid w:val="7FEB86E8"/>
    <w:rsid w:val="7FED35EB"/>
    <w:rsid w:val="7FED80C2"/>
    <w:rsid w:val="7FEFB642"/>
    <w:rsid w:val="7FEFD588"/>
    <w:rsid w:val="7FEFF9FF"/>
    <w:rsid w:val="7FF06597"/>
    <w:rsid w:val="7FF3738C"/>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BAD3C64"/>
    <w:rsid w:val="8DFFD1AA"/>
    <w:rsid w:val="8F3E3382"/>
    <w:rsid w:val="8F7302B9"/>
    <w:rsid w:val="8FBB9A55"/>
    <w:rsid w:val="91DFE8F5"/>
    <w:rsid w:val="93DB74AF"/>
    <w:rsid w:val="97D71DFE"/>
    <w:rsid w:val="97F767A1"/>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AE96CE"/>
    <w:rsid w:val="9FBF075C"/>
    <w:rsid w:val="9FBF926B"/>
    <w:rsid w:val="9FF6030A"/>
    <w:rsid w:val="9FFFBA19"/>
    <w:rsid w:val="9FFFF6C8"/>
    <w:rsid w:val="A1FB5961"/>
    <w:rsid w:val="A4F29759"/>
    <w:rsid w:val="A56A5B4C"/>
    <w:rsid w:val="A5FD887E"/>
    <w:rsid w:val="A69E7D90"/>
    <w:rsid w:val="A798F561"/>
    <w:rsid w:val="A7F5298F"/>
    <w:rsid w:val="A9FBD03D"/>
    <w:rsid w:val="ABF7DC2D"/>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60FB"/>
    <w:rsid w:val="B7792E3B"/>
    <w:rsid w:val="B77E4031"/>
    <w:rsid w:val="B77F9227"/>
    <w:rsid w:val="B78ED157"/>
    <w:rsid w:val="B78F4E27"/>
    <w:rsid w:val="B7A2D194"/>
    <w:rsid w:val="B7BF41DE"/>
    <w:rsid w:val="B7DC0139"/>
    <w:rsid w:val="B7DF8790"/>
    <w:rsid w:val="B7EF1635"/>
    <w:rsid w:val="B7F3D556"/>
    <w:rsid w:val="B7F59EB5"/>
    <w:rsid w:val="B7FEFA43"/>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6F3259"/>
    <w:rsid w:val="BF76AA92"/>
    <w:rsid w:val="BF76E7B0"/>
    <w:rsid w:val="BF77C1A6"/>
    <w:rsid w:val="BF793CE4"/>
    <w:rsid w:val="BF7E4088"/>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792B830"/>
    <w:rsid w:val="CB339C4C"/>
    <w:rsid w:val="CB5FE9A0"/>
    <w:rsid w:val="CB7E0F7E"/>
    <w:rsid w:val="CBF68264"/>
    <w:rsid w:val="CBFFBB8F"/>
    <w:rsid w:val="CC6D41A8"/>
    <w:rsid w:val="CCE3DF2C"/>
    <w:rsid w:val="CD9379DD"/>
    <w:rsid w:val="CDD5C00D"/>
    <w:rsid w:val="CDEE0A57"/>
    <w:rsid w:val="CDF31ED5"/>
    <w:rsid w:val="CDFD62BF"/>
    <w:rsid w:val="CDFDE3EF"/>
    <w:rsid w:val="CDFE3F14"/>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7CAE7D"/>
    <w:rsid w:val="D7BBF31B"/>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30972"/>
    <w:rsid w:val="DFFB4111"/>
    <w:rsid w:val="DFFBC7E1"/>
    <w:rsid w:val="DFFCACE0"/>
    <w:rsid w:val="DFFF2B5D"/>
    <w:rsid w:val="DFFF3928"/>
    <w:rsid w:val="DFFFB827"/>
    <w:rsid w:val="E17F3390"/>
    <w:rsid w:val="E1BDB81F"/>
    <w:rsid w:val="E1EF2A08"/>
    <w:rsid w:val="E2ED36E5"/>
    <w:rsid w:val="E3DE7D86"/>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79D9"/>
    <w:rsid w:val="EAFEB82D"/>
    <w:rsid w:val="EB6B7353"/>
    <w:rsid w:val="EB7E0D37"/>
    <w:rsid w:val="EBAD28DF"/>
    <w:rsid w:val="EBB6D35F"/>
    <w:rsid w:val="EBBF4A2E"/>
    <w:rsid w:val="EBBFAF58"/>
    <w:rsid w:val="EBD957CC"/>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FFBC7"/>
    <w:rsid w:val="EFCF1850"/>
    <w:rsid w:val="EFDE05E6"/>
    <w:rsid w:val="EFDF616C"/>
    <w:rsid w:val="EFF4B0B3"/>
    <w:rsid w:val="EFF5875C"/>
    <w:rsid w:val="EFF74B30"/>
    <w:rsid w:val="EFF92E18"/>
    <w:rsid w:val="EFFB9311"/>
    <w:rsid w:val="EFFBBA0B"/>
    <w:rsid w:val="EFFBF828"/>
    <w:rsid w:val="EFFF6F19"/>
    <w:rsid w:val="F0FF9582"/>
    <w:rsid w:val="F11FEDF9"/>
    <w:rsid w:val="F17F5E1A"/>
    <w:rsid w:val="F1DFE06D"/>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BF339E"/>
    <w:rsid w:val="F4CF00A8"/>
    <w:rsid w:val="F57EA373"/>
    <w:rsid w:val="F5AB4465"/>
    <w:rsid w:val="F5AF1AAC"/>
    <w:rsid w:val="F5D6D416"/>
    <w:rsid w:val="F5EF5BA1"/>
    <w:rsid w:val="F5FFA048"/>
    <w:rsid w:val="F66E6811"/>
    <w:rsid w:val="F6F715DC"/>
    <w:rsid w:val="F6FB67AB"/>
    <w:rsid w:val="F6FC548F"/>
    <w:rsid w:val="F6FF0645"/>
    <w:rsid w:val="F70F4387"/>
    <w:rsid w:val="F73D5672"/>
    <w:rsid w:val="F75DEE87"/>
    <w:rsid w:val="F76FC34E"/>
    <w:rsid w:val="F77EAFBC"/>
    <w:rsid w:val="F79BF327"/>
    <w:rsid w:val="F7BB0BC8"/>
    <w:rsid w:val="F7BB5C28"/>
    <w:rsid w:val="F7BB7DA5"/>
    <w:rsid w:val="F7BF4B69"/>
    <w:rsid w:val="F7BFDD02"/>
    <w:rsid w:val="F7C640FC"/>
    <w:rsid w:val="F7D30B5E"/>
    <w:rsid w:val="F7D5FA45"/>
    <w:rsid w:val="F7DF177A"/>
    <w:rsid w:val="F7DFD18F"/>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FA94DA"/>
    <w:rsid w:val="F9FFCD8A"/>
    <w:rsid w:val="F9FFE9E2"/>
    <w:rsid w:val="FA673975"/>
    <w:rsid w:val="FA6F5FA1"/>
    <w:rsid w:val="FA6F7A3B"/>
    <w:rsid w:val="FA9F3B8F"/>
    <w:rsid w:val="FABB1ADF"/>
    <w:rsid w:val="FADC83E4"/>
    <w:rsid w:val="FAFB5879"/>
    <w:rsid w:val="FAFFE8B1"/>
    <w:rsid w:val="FB0FA5A1"/>
    <w:rsid w:val="FB1B2E8B"/>
    <w:rsid w:val="FB59511E"/>
    <w:rsid w:val="FB5DDB87"/>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E2DC9"/>
    <w:rsid w:val="FBFF537C"/>
    <w:rsid w:val="FBFF59BB"/>
    <w:rsid w:val="FBFF6899"/>
    <w:rsid w:val="FBFFFF9E"/>
    <w:rsid w:val="FC2F7095"/>
    <w:rsid w:val="FC45570C"/>
    <w:rsid w:val="FC5D01CF"/>
    <w:rsid w:val="FC6DD6AA"/>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E483E"/>
    <w:rsid w:val="FDCBF945"/>
    <w:rsid w:val="FDDF292B"/>
    <w:rsid w:val="FDE47190"/>
    <w:rsid w:val="FDEB5CB7"/>
    <w:rsid w:val="FDEB6716"/>
    <w:rsid w:val="FDEF2A04"/>
    <w:rsid w:val="FDF399A8"/>
    <w:rsid w:val="FDF725AC"/>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EA32D"/>
    <w:rsid w:val="FEBFBACD"/>
    <w:rsid w:val="FED376AA"/>
    <w:rsid w:val="FED76919"/>
    <w:rsid w:val="FEDB8BC8"/>
    <w:rsid w:val="FEDEB09E"/>
    <w:rsid w:val="FEEF0ED8"/>
    <w:rsid w:val="FEF608EA"/>
    <w:rsid w:val="FEF7D53C"/>
    <w:rsid w:val="FEF99CBF"/>
    <w:rsid w:val="FEFC12E3"/>
    <w:rsid w:val="FEFDAA75"/>
    <w:rsid w:val="FEFEA587"/>
    <w:rsid w:val="FEFF1DE8"/>
    <w:rsid w:val="FEFF7BD4"/>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7FE8DC"/>
    <w:rsid w:val="FF8F6649"/>
    <w:rsid w:val="FF97B671"/>
    <w:rsid w:val="FF9FA27F"/>
    <w:rsid w:val="FFA6D6F5"/>
    <w:rsid w:val="FFADDE42"/>
    <w:rsid w:val="FFAF5F11"/>
    <w:rsid w:val="FFB2CB99"/>
    <w:rsid w:val="FFB769D4"/>
    <w:rsid w:val="FFBCC349"/>
    <w:rsid w:val="FFBD8E1E"/>
    <w:rsid w:val="FFBE39BF"/>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ED8F5"/>
    <w:rsid w:val="FFDF3294"/>
    <w:rsid w:val="FFDF3930"/>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6F61C"/>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9"/>
    <w:pPr>
      <w:keepNext/>
      <w:keepLines/>
      <w:spacing w:before="260" w:after="260" w:line="416" w:lineRule="auto"/>
      <w:outlineLvl w:val="2"/>
    </w:pPr>
    <w:rPr>
      <w:bCs/>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autoSpaceDE w:val="0"/>
      <w:autoSpaceDN w:val="0"/>
      <w:adjustRightInd w:val="0"/>
    </w:pPr>
    <w:rPr>
      <w:rFonts w:ascii="仿宋_GB2312" w:eastAsia="仿宋_GB2312" w:cs="仿宋_GB2312"/>
      <w:sz w:val="24"/>
    </w:rPr>
  </w:style>
  <w:style w:type="paragraph" w:customStyle="1" w:styleId="3">
    <w:name w:val="纯文本1"/>
    <w:basedOn w:val="1"/>
    <w:qFormat/>
    <w:uiPriority w:val="0"/>
    <w:pPr>
      <w:adjustRightInd w:val="0"/>
      <w:spacing w:line="240" w:lineRule="auto"/>
      <w:textAlignment w:val="baseline"/>
    </w:pPr>
    <w:rPr>
      <w:rFonts w:ascii="Courier New" w:hAnsi="Courier New"/>
      <w:sz w:val="15"/>
    </w:rPr>
  </w:style>
  <w:style w:type="paragraph" w:styleId="4">
    <w:name w:val="List"/>
    <w:basedOn w:val="1"/>
    <w:next w:val="1"/>
    <w:qFormat/>
    <w:uiPriority w:val="0"/>
    <w:pPr>
      <w:adjustRightInd w:val="0"/>
      <w:ind w:firstLine="576" w:firstLineChars="200"/>
      <w:jc w:val="center"/>
    </w:pPr>
    <w:rPr>
      <w:rFonts w:ascii="仿宋_GB2312" w:hAnsi="Times New Roman" w:eastAsia="仿宋_GB2312"/>
      <w:spacing w:val="4"/>
      <w:kern w:val="18"/>
      <w:sz w:val="28"/>
      <w:szCs w:val="21"/>
    </w:rPr>
  </w:style>
  <w:style w:type="paragraph" w:styleId="8">
    <w:name w:val="annotation text"/>
    <w:basedOn w:val="1"/>
    <w:link w:val="27"/>
    <w:qFormat/>
    <w:uiPriority w:val="0"/>
    <w:pPr>
      <w:jc w:val="left"/>
    </w:pPr>
  </w:style>
  <w:style w:type="paragraph" w:styleId="9">
    <w:name w:val="Body Text"/>
    <w:basedOn w:val="1"/>
    <w:next w:val="1"/>
    <w:qFormat/>
    <w:uiPriority w:val="0"/>
    <w:pPr>
      <w:spacing w:after="120"/>
    </w:pPr>
  </w:style>
  <w:style w:type="paragraph" w:styleId="10">
    <w:name w:val="Body Text Indent"/>
    <w:basedOn w:val="1"/>
    <w:next w:val="11"/>
    <w:qFormat/>
    <w:uiPriority w:val="0"/>
    <w:pPr>
      <w:spacing w:line="480" w:lineRule="exact"/>
      <w:ind w:firstLine="480" w:firstLineChars="200"/>
    </w:pPr>
    <w:rPr>
      <w:rFonts w:ascii="宋体" w:hAnsi="宋体"/>
      <w:color w:val="FF0000"/>
      <w:kern w:val="0"/>
      <w:sz w:val="24"/>
    </w:rPr>
  </w:style>
  <w:style w:type="paragraph" w:styleId="11">
    <w:name w:val="header"/>
    <w:basedOn w:val="1"/>
    <w:next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样式5"/>
    <w:basedOn w:val="13"/>
    <w:qFormat/>
    <w:uiPriority w:val="0"/>
    <w:pPr>
      <w:tabs>
        <w:tab w:val="center" w:pos="4153"/>
        <w:tab w:val="right" w:pos="8306"/>
      </w:tabs>
    </w:pPr>
    <w:rPr>
      <w:sz w:val="18"/>
    </w:rPr>
  </w:style>
  <w:style w:type="paragraph" w:customStyle="1" w:styleId="13">
    <w:name w:val="正文1"/>
    <w:basedOn w:val="1"/>
    <w:next w:val="1"/>
    <w:qFormat/>
    <w:uiPriority w:val="0"/>
    <w:pPr>
      <w:snapToGrid w:val="0"/>
      <w:spacing w:line="270" w:lineRule="exact"/>
      <w:jc w:val="center"/>
    </w:pPr>
    <w:rPr>
      <w:spacing w:val="10"/>
      <w:kern w:val="21"/>
      <w:szCs w:val="20"/>
    </w:rPr>
  </w:style>
  <w:style w:type="paragraph" w:styleId="14">
    <w:name w:val="Plain Text"/>
    <w:basedOn w:val="1"/>
    <w:unhideWhenUsed/>
    <w:qFormat/>
    <w:uiPriority w:val="99"/>
    <w:rPr>
      <w:rFonts w:ascii="宋体" w:hAnsi="Courier New" w:eastAsia="宋体" w:cs="Courier New"/>
      <w:szCs w:val="21"/>
    </w:rPr>
  </w:style>
  <w:style w:type="paragraph" w:styleId="15">
    <w:name w:val="Body Text Indent 2"/>
    <w:basedOn w:val="1"/>
    <w:next w:val="16"/>
    <w:qFormat/>
    <w:uiPriority w:val="0"/>
    <w:pPr>
      <w:spacing w:line="460" w:lineRule="exact"/>
      <w:ind w:firstLine="600" w:firstLineChars="200"/>
    </w:pPr>
    <w:rPr>
      <w:rFonts w:ascii="仿宋_GB2312" w:hAnsi="宋体" w:eastAsia="仿宋_GB2312"/>
      <w:sz w:val="30"/>
      <w:szCs w:val="28"/>
    </w:rPr>
  </w:style>
  <w:style w:type="paragraph" w:styleId="16">
    <w:name w:val="Body Text First Indent 2"/>
    <w:basedOn w:val="10"/>
    <w:next w:val="1"/>
    <w:unhideWhenUsed/>
    <w:qFormat/>
    <w:uiPriority w:val="0"/>
    <w:pPr>
      <w:spacing w:after="120" w:line="240" w:lineRule="auto"/>
      <w:ind w:left="420" w:leftChars="200" w:firstLine="420"/>
    </w:pPr>
  </w:style>
  <w:style w:type="paragraph" w:styleId="17">
    <w:name w:val="Balloon Text"/>
    <w:basedOn w:val="1"/>
    <w:link w:val="29"/>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annotation subject"/>
    <w:basedOn w:val="8"/>
    <w:next w:val="8"/>
    <w:link w:val="28"/>
    <w:qFormat/>
    <w:uiPriority w:val="0"/>
    <w:rPr>
      <w:b/>
      <w:bCs/>
    </w:rPr>
  </w:style>
  <w:style w:type="paragraph" w:styleId="20">
    <w:name w:val="Body Text First Indent"/>
    <w:basedOn w:val="9"/>
    <w:unhideWhenUsed/>
    <w:qFormat/>
    <w:uiPriority w:val="99"/>
    <w:pPr>
      <w:ind w:firstLine="420" w:firstLineChars="100"/>
    </w:pPr>
    <w:rPr>
      <w:szCs w:val="22"/>
    </w:rPr>
  </w:style>
  <w:style w:type="character" w:styleId="23">
    <w:name w:val="annotation reference"/>
    <w:basedOn w:val="22"/>
    <w:qFormat/>
    <w:uiPriority w:val="0"/>
    <w:rPr>
      <w:sz w:val="21"/>
      <w:szCs w:val="21"/>
    </w:rPr>
  </w:style>
  <w:style w:type="paragraph" w:customStyle="1" w:styleId="24">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5">
    <w:name w:val="样式 标题 2"/>
    <w:basedOn w:val="6"/>
    <w:next w:val="26"/>
    <w:qFormat/>
    <w:uiPriority w:val="0"/>
    <w:pPr>
      <w:spacing w:before="50" w:after="50"/>
    </w:pPr>
    <w:rPr>
      <w:szCs w:val="28"/>
    </w:rPr>
  </w:style>
  <w:style w:type="paragraph" w:customStyle="1" w:styleId="26">
    <w:name w:val="Default1"/>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character" w:customStyle="1" w:styleId="27">
    <w:name w:val="批注文字 Char"/>
    <w:basedOn w:val="22"/>
    <w:link w:val="8"/>
    <w:qFormat/>
    <w:uiPriority w:val="0"/>
    <w:rPr>
      <w:kern w:val="2"/>
      <w:sz w:val="21"/>
      <w:szCs w:val="24"/>
    </w:rPr>
  </w:style>
  <w:style w:type="character" w:customStyle="1" w:styleId="28">
    <w:name w:val="批注主题 Char"/>
    <w:basedOn w:val="27"/>
    <w:link w:val="19"/>
    <w:qFormat/>
    <w:uiPriority w:val="0"/>
    <w:rPr>
      <w:b/>
      <w:bCs/>
      <w:kern w:val="2"/>
      <w:sz w:val="21"/>
      <w:szCs w:val="24"/>
    </w:rPr>
  </w:style>
  <w:style w:type="character" w:customStyle="1" w:styleId="29">
    <w:name w:val="批注框文本 Char"/>
    <w:basedOn w:val="22"/>
    <w:link w:val="17"/>
    <w:qFormat/>
    <w:uiPriority w:val="0"/>
    <w:rPr>
      <w:kern w:val="2"/>
      <w:sz w:val="18"/>
      <w:szCs w:val="18"/>
    </w:rPr>
  </w:style>
  <w:style w:type="paragraph" w:customStyle="1" w:styleId="30">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1">
    <w:name w:val="List Paragraph"/>
    <w:basedOn w:val="1"/>
    <w:unhideWhenUsed/>
    <w:qFormat/>
    <w:uiPriority w:val="99"/>
    <w:pPr>
      <w:ind w:firstLine="420" w:firstLineChars="200"/>
    </w:pPr>
  </w:style>
  <w:style w:type="paragraph" w:customStyle="1" w:styleId="32">
    <w:name w:val="A0正文"/>
    <w:basedOn w:val="1"/>
    <w:qFormat/>
    <w:uiPriority w:val="0"/>
    <w:pPr>
      <w:spacing w:line="560" w:lineRule="exact"/>
      <w:ind w:firstLine="200" w:firstLineChars="200"/>
    </w:pPr>
    <w:rPr>
      <w:sz w:val="24"/>
      <w:szCs w:val="20"/>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9</Pages>
  <Words>759</Words>
  <Characters>4332</Characters>
  <Lines>36</Lines>
  <Paragraphs>10</Paragraphs>
  <TotalTime>1</TotalTime>
  <ScaleCrop>false</ScaleCrop>
  <LinksUpToDate>false</LinksUpToDate>
  <CharactersWithSpaces>5081</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2022-03-05T01:25:00Z</dcterms:created>
  <dc:creator>Administrator</dc:creator>
  <cp:lastModifiedBy>admin123</cp:lastModifiedBy>
  <cp:lastPrinted>2023-09-29T09:59:00Z</cp:lastPrinted>
  <dcterms:modified xsi:type="dcterms:W3CDTF">2023-11-10T10:59:43Z</dcterms:modified>
  <cp:revision>544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FCBE9B4CC0E04C92A70FAB8A4987C073</vt:lpwstr>
  </property>
</Properties>
</file>