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spacing w:line="520" w:lineRule="exact"/>
        <w:jc w:val="center"/>
        <w:rPr>
          <w:rFonts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宜环环评〔202</w:t>
      </w:r>
      <w:r>
        <w:rPr>
          <w:rFonts w:ascii="仿宋_GB2312" w:eastAsia="仿宋_GB2312"/>
          <w:sz w:val="32"/>
        </w:rPr>
        <w:t>3</w:t>
      </w:r>
      <w:r>
        <w:rPr>
          <w:rFonts w:hint="eastAsia" w:ascii="仿宋_GB2312" w:eastAsia="仿宋_GB2312"/>
          <w:sz w:val="32"/>
        </w:rPr>
        <w:t>〕</w:t>
      </w:r>
      <w:r>
        <w:rPr>
          <w:rFonts w:hint="eastAsia" w:ascii="仿宋_GB2312" w:eastAsia="仿宋_GB2312"/>
          <w:sz w:val="32"/>
          <w:lang w:val="en-US" w:eastAsia="zh-CN"/>
        </w:rPr>
        <w:t>125</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">
                <v:fill on="f" focussize="0,0"/>
                <v:stroke weight="3pt" color="#FF0000" joinstyle="round"/>
                <v:imagedata o:title=""/>
                <o:lock v:ext="edit" aspectratio="f"/>
              </v:shape>
            </w:pict>
          </mc:Fallback>
        </mc:AlternateContent>
      </w:r>
    </w:p>
    <w:p>
      <w:pPr>
        <w:spacing w:line="520" w:lineRule="exact"/>
        <w:jc w:val="center"/>
        <w:rPr>
          <w:rFonts w:ascii="方正小标宋简体" w:hAnsi="宋体" w:eastAsia="方正小标宋简体"/>
          <w:w w:val="95"/>
          <w:sz w:val="44"/>
          <w:szCs w:val="44"/>
        </w:rPr>
      </w:pPr>
      <w:r>
        <w:rPr>
          <w:rFonts w:hint="eastAsia" w:ascii="方正小标宋简体" w:hAnsi="方正小标宋简体" w:eastAsia="方正小标宋简体" w:cs="方正小标宋简体"/>
          <w:bCs/>
          <w:color w:val="000000"/>
          <w:sz w:val="44"/>
          <w:szCs w:val="44"/>
        </w:rPr>
        <w:t>关于万载时代志存新能源材料有限公司年产200万吨含锂卤水建设项目</w:t>
      </w:r>
      <w:r>
        <w:rPr>
          <w:rFonts w:hint="eastAsia" w:ascii="方正小标宋简体" w:hAnsi="宋体" w:eastAsia="方正小标宋简体"/>
          <w:w w:val="95"/>
          <w:sz w:val="44"/>
          <w:szCs w:val="44"/>
        </w:rPr>
        <w:t>环境影响报告书的批复</w:t>
      </w:r>
      <w:bookmarkStart w:id="1" w:name="_GoBack"/>
      <w:bookmarkEnd w:id="1"/>
    </w:p>
    <w:p>
      <w:pPr>
        <w:autoSpaceDE w:val="0"/>
        <w:spacing w:line="600" w:lineRule="exact"/>
        <w:jc w:val="left"/>
        <w:rPr>
          <w:rFonts w:ascii="仿宋_GB2312" w:hAnsi="仿宋_GB2312" w:eastAsia="仿宋_GB2312" w:cs="仿宋_GB2312"/>
          <w:sz w:val="32"/>
          <w:szCs w:val="32"/>
        </w:rPr>
      </w:pPr>
    </w:p>
    <w:p>
      <w:pPr>
        <w:keepNext w:val="0"/>
        <w:keepLines w:val="0"/>
        <w:pageBreakBefore w:val="0"/>
        <w:kinsoku/>
        <w:wordWrap/>
        <w:overflowPunct/>
        <w:topLinePunct w:val="0"/>
        <w:autoSpaceDE w:val="0"/>
        <w:autoSpaceDN/>
        <w:bidi w:val="0"/>
        <w:spacing w:line="520" w:lineRule="exact"/>
        <w:textAlignment w:val="auto"/>
        <w:rPr>
          <w:rFonts w:ascii="仿宋_GB2312" w:hAnsi="仿宋" w:eastAsia="仿宋_GB2312" w:cs="仿宋"/>
          <w:sz w:val="32"/>
          <w:szCs w:val="32"/>
        </w:rPr>
      </w:pPr>
      <w:r>
        <w:rPr>
          <w:rFonts w:hint="eastAsia" w:ascii="仿宋_GB2312" w:hAnsi="仿宋" w:eastAsia="仿宋_GB2312" w:cs="仿宋"/>
          <w:sz w:val="32"/>
          <w:szCs w:val="32"/>
        </w:rPr>
        <w:t>万载时代志存新能源材料有限公司：</w:t>
      </w:r>
    </w:p>
    <w:p>
      <w:pPr>
        <w:keepNext w:val="0"/>
        <w:keepLines w:val="0"/>
        <w:pageBreakBefore w:val="0"/>
        <w:kinsoku/>
        <w:wordWrap/>
        <w:overflowPunct/>
        <w:topLinePunct w:val="0"/>
        <w:autoSpaceDE w:val="0"/>
        <w:autoSpaceDN/>
        <w:bidi w:val="0"/>
        <w:spacing w:line="52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你公司《关于请求审批〈万载时代志存新能源材料有限公司年产200万吨含锂卤水建设项目环境影响报告书〉的请示》以及相关资料收悉，经研究，批复如下：</w:t>
      </w:r>
    </w:p>
    <w:p>
      <w:pPr>
        <w:keepNext w:val="0"/>
        <w:keepLines w:val="0"/>
        <w:pageBreakBefore w:val="0"/>
        <w:kinsoku/>
        <w:wordWrap/>
        <w:overflowPunct/>
        <w:topLinePunct w:val="0"/>
        <w:autoSpaceDN/>
        <w:bidi w:val="0"/>
        <w:spacing w:line="520" w:lineRule="exact"/>
        <w:ind w:firstLine="640" w:firstLineChars="200"/>
        <w:jc w:val="left"/>
        <w:textAlignment w:val="auto"/>
        <w:rPr>
          <w:rFonts w:ascii="仿宋_GB2312" w:hAnsi="仿宋_GB2312" w:eastAsia="仿宋_GB2312" w:cs="仿宋_GB2312"/>
          <w:bCs/>
          <w:sz w:val="32"/>
          <w:szCs w:val="32"/>
        </w:rPr>
      </w:pPr>
      <w:r>
        <w:rPr>
          <w:rFonts w:hint="eastAsia" w:ascii="黑体" w:hAnsi="黑体" w:eastAsia="黑体"/>
          <w:kern w:val="0"/>
          <w:sz w:val="32"/>
          <w:szCs w:val="32"/>
        </w:rPr>
        <w:t>一、项目建设内容及批复意见</w:t>
      </w:r>
    </w:p>
    <w:p>
      <w:pPr>
        <w:keepNext w:val="0"/>
        <w:keepLines w:val="0"/>
        <w:pageBreakBefore w:val="0"/>
        <w:kinsoku/>
        <w:wordWrap/>
        <w:overflowPunct/>
        <w:topLinePunct w:val="0"/>
        <w:autoSpaceDN/>
        <w:bidi w:val="0"/>
        <w:spacing w:line="520" w:lineRule="exact"/>
        <w:ind w:firstLine="640" w:firstLineChars="200"/>
        <w:textAlignment w:val="auto"/>
        <w:rPr>
          <w:rFonts w:ascii="仿宋_GB2312" w:hAnsi="仿宋_GB2312" w:eastAsia="仿宋_GB2312" w:cs="仿宋_GB2312"/>
          <w:bCs/>
          <w:sz w:val="32"/>
          <w:szCs w:val="32"/>
        </w:rPr>
      </w:pPr>
      <w:r>
        <w:rPr>
          <w:rFonts w:hint="eastAsia" w:ascii="仿宋_GB2312" w:hAnsi="仿宋" w:eastAsia="仿宋_GB2312" w:cs="仿宋"/>
          <w:sz w:val="32"/>
          <w:szCs w:val="32"/>
        </w:rPr>
        <w:t>万载时代志存新能源材料有限公司年产200万吨含锂卤水建设项目位于江西万载工业园调区扩区范围内</w:t>
      </w:r>
      <w:r>
        <w:rPr>
          <w:rFonts w:hint="eastAsia" w:ascii="仿宋_GB2312" w:hAnsi="仿宋_GB2312" w:eastAsia="仿宋_GB2312" w:cs="仿宋_GB2312"/>
          <w:bCs/>
          <w:sz w:val="32"/>
          <w:szCs w:val="32"/>
        </w:rPr>
        <w:t>，厂区中心地理位置坐标为</w:t>
      </w:r>
      <w:r>
        <w:rPr>
          <w:rFonts w:hint="eastAsia" w:ascii="仿宋_GB2312" w:eastAsia="仿宋_GB2312"/>
          <w:snapToGrid w:val="0"/>
          <w:sz w:val="32"/>
          <w:szCs w:val="32"/>
        </w:rPr>
        <w:t>东经114°29′45.144″，北纬28°13′21.074″</w:t>
      </w:r>
      <w:r>
        <w:rPr>
          <w:rFonts w:hint="eastAsia" w:ascii="仿宋_GB2312" w:eastAsia="仿宋_GB2312"/>
          <w:sz w:val="32"/>
          <w:szCs w:val="32"/>
        </w:rPr>
        <w:t>。厂址东面为空地及南田棚，南面、西面、北面均为空地，西面偏北为正在建的和光新能源公司等，总占地约127039m</w:t>
      </w:r>
      <w:r>
        <w:rPr>
          <w:rFonts w:hint="eastAsia" w:ascii="仿宋_GB2312" w:eastAsia="仿宋_GB2312"/>
          <w:sz w:val="32"/>
          <w:szCs w:val="32"/>
          <w:vertAlign w:val="superscript"/>
        </w:rPr>
        <w:t>2</w:t>
      </w:r>
      <w:r>
        <w:rPr>
          <w:rFonts w:hint="eastAsia" w:ascii="仿宋_GB2312" w:eastAsia="仿宋_GB2312"/>
          <w:sz w:val="32"/>
          <w:szCs w:val="32"/>
        </w:rPr>
        <w:t>。</w:t>
      </w:r>
    </w:p>
    <w:p>
      <w:pPr>
        <w:pStyle w:val="36"/>
        <w:keepNext w:val="0"/>
        <w:keepLines w:val="0"/>
        <w:pageBreakBefore w:val="0"/>
        <w:kinsoku/>
        <w:wordWrap/>
        <w:overflowPunct/>
        <w:topLinePunct w:val="0"/>
        <w:autoSpaceDN/>
        <w:bidi w:val="0"/>
        <w:spacing w:line="520" w:lineRule="exact"/>
        <w:ind w:firstLine="640"/>
        <w:textAlignment w:val="auto"/>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rPr>
        <w:t>本项目为</w:t>
      </w:r>
      <w:r>
        <w:rPr>
          <w:rFonts w:hint="eastAsia" w:ascii="仿宋_GB2312" w:hAnsi="仿宋_GB2312" w:eastAsia="仿宋_GB2312" w:cs="仿宋_GB2312"/>
          <w:bCs/>
          <w:sz w:val="32"/>
          <w:szCs w:val="32"/>
          <w:lang w:val="en-US" w:eastAsia="zh-CN"/>
        </w:rPr>
        <w:t>新建</w:t>
      </w:r>
      <w:r>
        <w:rPr>
          <w:rFonts w:hint="eastAsia" w:ascii="仿宋_GB2312" w:hAnsi="仿宋_GB2312" w:eastAsia="仿宋_GB2312" w:cs="仿宋_GB2312"/>
          <w:bCs/>
          <w:sz w:val="32"/>
          <w:szCs w:val="32"/>
        </w:rPr>
        <w:t>工程，</w:t>
      </w:r>
      <w:r>
        <w:rPr>
          <w:rFonts w:hint="eastAsia" w:ascii="仿宋_GB2312" w:hAnsi="仿宋_GB2312" w:eastAsia="仿宋_GB2312" w:cs="仿宋_GB2312"/>
          <w:bCs/>
          <w:sz w:val="32"/>
          <w:szCs w:val="32"/>
          <w:lang w:val="en-US"/>
        </w:rPr>
        <w:t>项目以锂云母为原料，与硫酸钾钠混盐等焙烧后通过破碎、湿磨、浸出、过滤</w:t>
      </w:r>
      <w:r>
        <w:rPr>
          <w:rFonts w:hint="eastAsia" w:ascii="仿宋_GB2312" w:hAnsi="仿宋_GB2312" w:eastAsia="仿宋_GB2312" w:cs="仿宋_GB2312"/>
          <w:bCs/>
          <w:sz w:val="32"/>
          <w:szCs w:val="32"/>
          <w:lang w:val="en-US" w:eastAsia="zh-CN"/>
        </w:rPr>
        <w:t>、洗涤</w:t>
      </w:r>
      <w:r>
        <w:rPr>
          <w:rFonts w:hint="eastAsia" w:ascii="仿宋_GB2312" w:hAnsi="仿宋_GB2312" w:eastAsia="仿宋_GB2312" w:cs="仿宋_GB2312"/>
          <w:bCs/>
          <w:sz w:val="32"/>
          <w:szCs w:val="32"/>
          <w:lang w:val="en-US"/>
        </w:rPr>
        <w:t>等单元操作，得到含锂卤水产品。</w:t>
      </w:r>
    </w:p>
    <w:p>
      <w:pPr>
        <w:pStyle w:val="36"/>
        <w:keepNext w:val="0"/>
        <w:keepLines w:val="0"/>
        <w:pageBreakBefore w:val="0"/>
        <w:kinsoku/>
        <w:wordWrap/>
        <w:overflowPunct/>
        <w:topLinePunct w:val="0"/>
        <w:autoSpaceDN/>
        <w:bidi w:val="0"/>
        <w:spacing w:line="520" w:lineRule="exact"/>
        <w:ind w:firstLine="640"/>
        <w:textAlignment w:val="auto"/>
        <w:rPr>
          <w:rFonts w:ascii="Times New Roman" w:hAnsi="Times New Roman" w:eastAsia="仿宋_GB2312"/>
          <w:bCs/>
          <w:sz w:val="32"/>
          <w:szCs w:val="32"/>
          <w:lang w:val="en-US"/>
        </w:rPr>
      </w:pPr>
      <w:r>
        <w:rPr>
          <w:rFonts w:ascii="Times New Roman" w:hAnsi="Times New Roman" w:eastAsia="仿宋_GB2312"/>
          <w:sz w:val="32"/>
          <w:szCs w:val="32"/>
        </w:rPr>
        <w:t>产品方</w:t>
      </w:r>
      <w:r>
        <w:rPr>
          <w:rFonts w:ascii="Times New Roman" w:hAnsi="Times New Roman" w:eastAsia="仿宋_GB2312"/>
          <w:bCs/>
          <w:sz w:val="32"/>
          <w:szCs w:val="32"/>
        </w:rPr>
        <w:t>案：</w:t>
      </w:r>
      <w:r>
        <w:rPr>
          <w:rFonts w:hint="eastAsia" w:ascii="仿宋_GB2312" w:hAnsi="仿宋" w:eastAsia="仿宋_GB2312" w:cs="仿宋"/>
          <w:sz w:val="32"/>
          <w:szCs w:val="32"/>
          <w:lang w:val="en-US"/>
        </w:rPr>
        <w:t>年产200万吨含锂卤水</w:t>
      </w:r>
      <w:r>
        <w:rPr>
          <w:rFonts w:hint="eastAsia" w:ascii="Times New Roman" w:hAnsi="Times New Roman" w:eastAsia="仿宋_GB2312"/>
          <w:bCs/>
          <w:sz w:val="32"/>
          <w:szCs w:val="32"/>
          <w:lang w:val="en-US"/>
        </w:rPr>
        <w:t>。</w:t>
      </w:r>
    </w:p>
    <w:p>
      <w:pPr>
        <w:keepNext w:val="0"/>
        <w:keepLines w:val="0"/>
        <w:pageBreakBefore w:val="0"/>
        <w:kinsoku/>
        <w:wordWrap/>
        <w:overflowPunct/>
        <w:topLinePunct w:val="0"/>
        <w:autoSpaceDN/>
        <w:bidi w:val="0"/>
        <w:adjustRightInd w:val="0"/>
        <w:snapToGrid w:val="0"/>
        <w:spacing w:line="52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本项目总投资</w:t>
      </w:r>
      <w:r>
        <w:rPr>
          <w:rFonts w:hint="eastAsia" w:ascii="仿宋_GB2312" w:hAnsi="仿宋_GB2312" w:eastAsia="仿宋_GB2312" w:cs="仿宋_GB2312"/>
          <w:bCs/>
          <w:color w:val="000000"/>
          <w:sz w:val="32"/>
          <w:szCs w:val="32"/>
        </w:rPr>
        <w:t>86079万元人民币，环保投资4440</w:t>
      </w:r>
      <w:r>
        <w:rPr>
          <w:rFonts w:hint="eastAsia" w:ascii="仿宋_GB2312" w:hAnsi="仿宋" w:eastAsia="仿宋_GB2312" w:cs="仿宋"/>
          <w:sz w:val="32"/>
          <w:szCs w:val="32"/>
        </w:rPr>
        <w:t>万元，占总投资5.16%。</w:t>
      </w:r>
    </w:p>
    <w:p>
      <w:pPr>
        <w:keepNext w:val="0"/>
        <w:keepLines w:val="0"/>
        <w:pageBreakBefore w:val="0"/>
        <w:kinsoku/>
        <w:wordWrap/>
        <w:overflowPunct/>
        <w:topLinePunct w:val="0"/>
        <w:autoSpaceDN/>
        <w:bidi w:val="0"/>
        <w:adjustRightInd w:val="0"/>
        <w:snapToGrid w:val="0"/>
        <w:spacing w:line="520" w:lineRule="exact"/>
        <w:ind w:firstLine="640" w:firstLineChars="200"/>
        <w:jc w:val="left"/>
        <w:textAlignment w:val="auto"/>
        <w:rPr>
          <w:color w:val="000000"/>
        </w:rPr>
      </w:pPr>
      <w:r>
        <w:rPr>
          <w:rFonts w:hint="eastAsia" w:ascii="仿宋_GB2312" w:hAnsi="仿宋_GB2312" w:eastAsia="仿宋_GB2312" w:cs="仿宋_GB2312"/>
          <w:color w:val="000000"/>
          <w:sz w:val="32"/>
          <w:szCs w:val="32"/>
        </w:rPr>
        <w:t>你公司应全面落实《</w:t>
      </w:r>
      <w:r>
        <w:rPr>
          <w:rFonts w:hint="eastAsia" w:ascii="仿宋_GB2312" w:hAnsi="仿宋" w:eastAsia="仿宋_GB2312" w:cs="仿宋"/>
          <w:sz w:val="32"/>
          <w:szCs w:val="32"/>
        </w:rPr>
        <w:t>万载时代志存新能源材料有限公司年产200万吨含锂卤水建设项目环境影响报告书</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以下简称《报告书》）、《</w:t>
      </w:r>
      <w:r>
        <w:rPr>
          <w:rFonts w:hint="eastAsia" w:ascii="仿宋_GB2312" w:hAnsi="仿宋" w:eastAsia="仿宋_GB2312" w:cs="仿宋"/>
          <w:sz w:val="32"/>
          <w:szCs w:val="32"/>
        </w:rPr>
        <w:t>万载时代志存新能源材料有限公司年产200万吨含锂卤水建设项目环境影响报告书</w:t>
      </w:r>
      <w:r>
        <w:rPr>
          <w:rFonts w:hint="eastAsia" w:ascii="仿宋_GB2312" w:eastAsia="仿宋_GB2312"/>
          <w:color w:val="000000"/>
          <w:sz w:val="32"/>
          <w:szCs w:val="32"/>
        </w:rPr>
        <w:t>评估意见》（以下简称《评估意见》）</w:t>
      </w:r>
      <w:r>
        <w:rPr>
          <w:rFonts w:hint="eastAsia" w:ascii="仿宋_GB2312" w:hAnsi="仿宋_GB2312" w:eastAsia="仿宋_GB2312" w:cs="仿宋_GB2312"/>
          <w:color w:val="000000"/>
          <w:sz w:val="32"/>
          <w:szCs w:val="32"/>
        </w:rPr>
        <w:t>提出的各项污染防治措施以及环境风险防范措施，缓解和控制不利环境影响。从环境保护角度我局原则同意《报告书》中所列工程性质、地点、规模、生产工艺和环境保护对策措施</w:t>
      </w:r>
      <w:r>
        <w:rPr>
          <w:rFonts w:hint="eastAsia" w:ascii="仿宋_GB2312" w:eastAsia="仿宋_GB2312"/>
          <w:color w:val="000000"/>
          <w:sz w:val="32"/>
          <w:szCs w:val="32"/>
        </w:rPr>
        <w:t>。</w:t>
      </w:r>
    </w:p>
    <w:p>
      <w:pPr>
        <w:keepNext w:val="0"/>
        <w:keepLines w:val="0"/>
        <w:pageBreakBefore w:val="0"/>
        <w:kinsoku/>
        <w:wordWrap/>
        <w:overflowPunct/>
        <w:topLinePunct w:val="0"/>
        <w:autoSpaceDN/>
        <w:bidi w:val="0"/>
        <w:spacing w:line="520" w:lineRule="exact"/>
        <w:ind w:firstLine="640" w:firstLineChars="200"/>
        <w:textAlignment w:val="auto"/>
        <w:rPr>
          <w:rFonts w:ascii="黑体" w:hAnsi="黑体" w:eastAsia="黑体" w:cs="仿宋_GB2312"/>
          <w:bCs/>
          <w:kern w:val="0"/>
          <w:sz w:val="32"/>
          <w:szCs w:val="32"/>
        </w:rPr>
      </w:pPr>
      <w:r>
        <w:rPr>
          <w:rFonts w:hint="eastAsia" w:ascii="黑体" w:hAnsi="黑体" w:eastAsia="黑体" w:cs="仿宋_GB2312"/>
          <w:bCs/>
          <w:kern w:val="0"/>
          <w:sz w:val="32"/>
          <w:szCs w:val="32"/>
        </w:rPr>
        <w:t>二、污染防治措施及要求</w:t>
      </w:r>
    </w:p>
    <w:p>
      <w:pPr>
        <w:keepNext w:val="0"/>
        <w:keepLines w:val="0"/>
        <w:pageBreakBefore w:val="0"/>
        <w:kinsoku/>
        <w:wordWrap/>
        <w:overflowPunct/>
        <w:topLinePunct w:val="0"/>
        <w:autoSpaceDE w:val="0"/>
        <w:autoSpaceDN/>
        <w:bidi w:val="0"/>
        <w:spacing w:line="52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项目在工程设计、建设和生产过程中必须认真落实《报告书》提出的各项环保要求，严格执行市环委会办公室下发的《宜春市涉锂电主要行业生态环境监管标准（试行）》要求进行建设，重点做好以下几项工作：</w:t>
      </w:r>
    </w:p>
    <w:p>
      <w:pPr>
        <w:keepNext w:val="0"/>
        <w:keepLines w:val="0"/>
        <w:pageBreakBefore w:val="0"/>
        <w:kinsoku/>
        <w:wordWrap/>
        <w:overflowPunct/>
        <w:topLinePunct w:val="0"/>
        <w:autoSpaceDE w:val="0"/>
        <w:autoSpaceDN/>
        <w:bidi w:val="0"/>
        <w:spacing w:line="520" w:lineRule="exact"/>
        <w:ind w:firstLine="640" w:firstLineChars="200"/>
        <w:textAlignment w:val="auto"/>
        <w:rPr>
          <w:rFonts w:ascii="仿宋_GB2312" w:hAnsi="仿宋" w:eastAsia="仿宋_GB2312" w:cs="仿宋"/>
          <w:sz w:val="32"/>
          <w:szCs w:val="32"/>
        </w:rPr>
      </w:pPr>
      <w:r>
        <w:rPr>
          <w:rFonts w:hint="eastAsia" w:ascii="楷体" w:hAnsi="楷体" w:eastAsia="楷体" w:cs="楷体"/>
          <w:color w:val="000000"/>
          <w:sz w:val="32"/>
          <w:szCs w:val="32"/>
        </w:rPr>
        <w:t>（一）严格落实水污染防治措施。</w:t>
      </w:r>
      <w:r>
        <w:rPr>
          <w:rFonts w:hint="eastAsia" w:ascii="仿宋_GB2312" w:hAnsi="仿宋" w:eastAsia="仿宋_GB2312" w:cs="仿宋"/>
          <w:sz w:val="32"/>
          <w:szCs w:val="32"/>
        </w:rPr>
        <w:t>按“清污分流、雨污分流、分质处理、一水多用”原则，合理制定废水收集、处理方案</w:t>
      </w:r>
      <w:r>
        <w:rPr>
          <w:rFonts w:hint="eastAsia" w:ascii="仿宋_GB2312" w:hAnsi="仿宋_GB2312" w:eastAsia="仿宋_GB2312" w:cs="仿宋_GB2312"/>
          <w:bCs/>
          <w:color w:val="000000"/>
          <w:sz w:val="32"/>
          <w:szCs w:val="32"/>
        </w:rPr>
        <w:t>。项目废水主要为浸出渣洗涤废水、废气处理废水、地面冲洗废水、车辆清洗</w:t>
      </w:r>
      <w:r>
        <w:rPr>
          <w:rFonts w:hint="eastAsia" w:ascii="仿宋_GB2312" w:hAnsi="仿宋_GB2312" w:eastAsia="仿宋_GB2312" w:cs="仿宋_GB2312"/>
          <w:bCs/>
          <w:color w:val="000000"/>
          <w:sz w:val="32"/>
          <w:szCs w:val="32"/>
          <w:lang w:eastAsia="zh-CN"/>
        </w:rPr>
        <w:t>废水</w:t>
      </w:r>
      <w:r>
        <w:rPr>
          <w:rFonts w:hint="eastAsia" w:ascii="仿宋_GB2312" w:hAnsi="仿宋_GB2312" w:eastAsia="仿宋_GB2312" w:cs="仿宋_GB2312"/>
          <w:bCs/>
          <w:color w:val="000000"/>
          <w:sz w:val="32"/>
          <w:szCs w:val="32"/>
        </w:rPr>
        <w:t>、设备循环冷却水</w:t>
      </w:r>
      <w:r>
        <w:rPr>
          <w:rFonts w:hint="eastAsia" w:ascii="仿宋_GB2312" w:hAnsi="仿宋" w:eastAsia="仿宋_GB2312" w:cs="仿宋"/>
          <w:sz w:val="32"/>
          <w:szCs w:val="32"/>
        </w:rPr>
        <w:t>、生活污水及初期雨水等。</w:t>
      </w:r>
    </w:p>
    <w:p>
      <w:pPr>
        <w:pStyle w:val="10"/>
        <w:keepNext w:val="0"/>
        <w:keepLines w:val="0"/>
        <w:pageBreakBefore w:val="0"/>
        <w:kinsoku/>
        <w:wordWrap/>
        <w:overflowPunct/>
        <w:topLinePunct w:val="0"/>
        <w:autoSpaceDN/>
        <w:bidi w:val="0"/>
        <w:spacing w:after="0" w:line="520" w:lineRule="exact"/>
        <w:ind w:firstLine="640" w:firstLineChars="200"/>
        <w:textAlignment w:val="auto"/>
        <w:rPr>
          <w:rFonts w:ascii="仿宋_GB2312" w:eastAsia="仿宋_GB2312"/>
          <w:bCs/>
          <w:sz w:val="32"/>
          <w:szCs w:val="32"/>
        </w:rPr>
      </w:pPr>
      <w:r>
        <w:rPr>
          <w:rFonts w:hint="eastAsia" w:ascii="仿宋_GB2312" w:hAnsi="仿宋_GB2312" w:eastAsia="仿宋_GB2312" w:cs="仿宋_GB2312"/>
          <w:bCs/>
          <w:color w:val="000000"/>
          <w:sz w:val="32"/>
          <w:szCs w:val="32"/>
        </w:rPr>
        <w:t>浸出渣洗涤废水</w:t>
      </w:r>
      <w:r>
        <w:rPr>
          <w:rFonts w:hint="eastAsia" w:ascii="仿宋_GB2312" w:hAnsi="仿宋_GB2312" w:eastAsia="仿宋_GB2312" w:cs="仿宋_GB2312"/>
          <w:bCs/>
          <w:sz w:val="32"/>
          <w:szCs w:val="32"/>
        </w:rPr>
        <w:t>回用于生产不外排；废气</w:t>
      </w:r>
      <w:r>
        <w:rPr>
          <w:rFonts w:hint="eastAsia" w:ascii="仿宋_GB2312" w:hAnsi="仿宋_GB2312" w:eastAsia="仿宋_GB2312" w:cs="仿宋_GB2312"/>
          <w:bCs/>
          <w:color w:val="000000"/>
          <w:sz w:val="32"/>
          <w:szCs w:val="32"/>
        </w:rPr>
        <w:t>处理废水经预处理（采用“调节池+除氟一体化设施+除铊一体化设施”</w:t>
      </w:r>
      <w:r>
        <w:rPr>
          <w:rFonts w:hint="eastAsia" w:ascii="仿宋_GB2312" w:hAnsi="仿宋_GB2312" w:eastAsia="仿宋_GB2312" w:cs="仿宋_GB2312"/>
          <w:bCs/>
          <w:sz w:val="32"/>
          <w:szCs w:val="32"/>
        </w:rPr>
        <w:t>或采取其他更为成熟稳定工艺处理</w:t>
      </w:r>
      <w:r>
        <w:rPr>
          <w:rFonts w:hint="eastAsia" w:ascii="仿宋_GB2312" w:hAnsi="仿宋_GB2312" w:eastAsia="仿宋_GB2312" w:cs="仿宋_GB2312"/>
          <w:bCs/>
          <w:color w:val="000000"/>
          <w:sz w:val="32"/>
          <w:szCs w:val="32"/>
        </w:rPr>
        <w:t>）后与</w:t>
      </w:r>
      <w:r>
        <w:rPr>
          <w:rFonts w:hint="eastAsia" w:ascii="仿宋_GB2312" w:hAnsi="仿宋_GB2312" w:eastAsia="仿宋_GB2312" w:cs="仿宋_GB2312"/>
          <w:bCs/>
          <w:sz w:val="32"/>
          <w:szCs w:val="32"/>
        </w:rPr>
        <w:t>地面冲洗废水、</w:t>
      </w:r>
      <w:r>
        <w:rPr>
          <w:rFonts w:hint="eastAsia" w:ascii="仿宋_GB2312" w:hAnsi="仿宋_GB2312" w:eastAsia="仿宋_GB2312" w:cs="仿宋_GB2312"/>
          <w:bCs/>
          <w:color w:val="000000"/>
          <w:sz w:val="32"/>
          <w:szCs w:val="32"/>
        </w:rPr>
        <w:t>车辆清洗水、初期雨水</w:t>
      </w:r>
      <w:r>
        <w:rPr>
          <w:rFonts w:hint="eastAsia" w:ascii="仿宋_GB2312" w:hAnsi="仿宋_GB2312" w:eastAsia="仿宋_GB2312" w:cs="仿宋_GB2312"/>
          <w:bCs/>
          <w:sz w:val="32"/>
          <w:szCs w:val="32"/>
        </w:rPr>
        <w:t>进入厂区污水处理站采用“除氟一体化设施+除铊一体化设施+pH调节”工艺处理，或采取其他更为成熟稳定工艺处理；</w:t>
      </w:r>
      <w:r>
        <w:rPr>
          <w:rFonts w:hint="eastAsia" w:ascii="仿宋_GB2312" w:hAnsi="仿宋_GB2312" w:eastAsia="仿宋_GB2312" w:cs="仿宋_GB2312"/>
          <w:bCs/>
          <w:snapToGrid w:val="0"/>
          <w:sz w:val="32"/>
          <w:szCs w:val="32"/>
        </w:rPr>
        <w:t>生活污</w:t>
      </w:r>
      <w:r>
        <w:rPr>
          <w:rFonts w:hint="eastAsia" w:ascii="仿宋_GB2312" w:hAnsi="仿宋_GB2312" w:eastAsia="仿宋_GB2312" w:cs="仿宋_GB2312"/>
          <w:bCs/>
          <w:snapToGrid w:val="0"/>
          <w:color w:val="000000"/>
          <w:sz w:val="32"/>
          <w:szCs w:val="32"/>
        </w:rPr>
        <w:t>水经化粪池预处理后与设备循环冷却水及处理后的废气处理废水、地面冲洗废水</w:t>
      </w:r>
      <w:r>
        <w:rPr>
          <w:rFonts w:hint="eastAsia" w:ascii="仿宋_GB2312" w:hAnsi="仿宋_GB2312" w:eastAsia="仿宋_GB2312" w:cs="仿宋_GB2312"/>
          <w:bCs/>
          <w:sz w:val="32"/>
          <w:szCs w:val="32"/>
        </w:rPr>
        <w:t>、</w:t>
      </w:r>
      <w:r>
        <w:rPr>
          <w:rFonts w:hint="eastAsia" w:ascii="仿宋_GB2312" w:hAnsi="仿宋_GB2312" w:eastAsia="仿宋_GB2312" w:cs="仿宋_GB2312"/>
          <w:bCs/>
          <w:color w:val="000000"/>
          <w:sz w:val="32"/>
          <w:szCs w:val="32"/>
        </w:rPr>
        <w:t>车辆清洗水、初期雨水</w:t>
      </w:r>
      <w:r>
        <w:rPr>
          <w:rFonts w:hint="eastAsia" w:ascii="仿宋_GB2312" w:hAnsi="仿宋_GB2312" w:eastAsia="仿宋_GB2312" w:cs="仿宋_GB2312"/>
          <w:bCs/>
          <w:snapToGrid w:val="0"/>
          <w:color w:val="000000"/>
          <w:sz w:val="32"/>
          <w:szCs w:val="32"/>
        </w:rPr>
        <w:t>一并经总排口排入园区污水管网</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废水中</w:t>
      </w:r>
      <w:r>
        <w:rPr>
          <w:rFonts w:hint="eastAsia" w:ascii="仿宋_GB2312" w:hAnsi="仿宋_GB2312" w:eastAsia="仿宋_GB2312" w:cs="仿宋_GB2312"/>
          <w:bCs/>
          <w:snapToGrid w:val="0"/>
          <w:color w:val="000000"/>
          <w:sz w:val="32"/>
          <w:szCs w:val="32"/>
        </w:rPr>
        <w:t>COD、BOD</w:t>
      </w:r>
      <w:r>
        <w:rPr>
          <w:rFonts w:hint="eastAsia" w:ascii="仿宋_GB2312" w:hAnsi="仿宋_GB2312" w:eastAsia="仿宋_GB2312" w:cs="仿宋_GB2312"/>
          <w:bCs/>
          <w:snapToGrid w:val="0"/>
          <w:color w:val="000000"/>
          <w:sz w:val="32"/>
          <w:szCs w:val="32"/>
          <w:vertAlign w:val="subscript"/>
        </w:rPr>
        <w:t>5</w:t>
      </w:r>
      <w:r>
        <w:rPr>
          <w:rFonts w:hint="eastAsia" w:ascii="仿宋_GB2312" w:hAnsi="仿宋_GB2312" w:eastAsia="仿宋_GB2312" w:cs="仿宋_GB2312"/>
          <w:bCs/>
          <w:snapToGrid w:val="0"/>
          <w:color w:val="000000"/>
          <w:sz w:val="32"/>
          <w:szCs w:val="32"/>
        </w:rPr>
        <w:t>、SS、NH</w:t>
      </w:r>
      <w:r>
        <w:rPr>
          <w:rFonts w:hint="eastAsia" w:ascii="仿宋_GB2312" w:hAnsi="仿宋_GB2312" w:eastAsia="仿宋_GB2312" w:cs="仿宋_GB2312"/>
          <w:bCs/>
          <w:snapToGrid w:val="0"/>
          <w:color w:val="000000"/>
          <w:sz w:val="32"/>
          <w:szCs w:val="32"/>
          <w:vertAlign w:val="subscript"/>
        </w:rPr>
        <w:t>3</w:t>
      </w:r>
      <w:r>
        <w:rPr>
          <w:rFonts w:hint="eastAsia" w:ascii="仿宋_GB2312" w:hAnsi="仿宋_GB2312" w:eastAsia="仿宋_GB2312" w:cs="仿宋_GB2312"/>
          <w:bCs/>
          <w:snapToGrid w:val="0"/>
          <w:color w:val="000000"/>
          <w:sz w:val="32"/>
          <w:szCs w:val="32"/>
        </w:rPr>
        <w:t>-N、全盐量、氟化物、铊、TN、TP</w:t>
      </w:r>
      <w:r>
        <w:rPr>
          <w:rFonts w:hint="eastAsia" w:ascii="仿宋_GB2312" w:eastAsia="仿宋_GB2312"/>
          <w:sz w:val="32"/>
          <w:szCs w:val="32"/>
        </w:rPr>
        <w:t>执行</w:t>
      </w:r>
      <w:r>
        <w:rPr>
          <w:rFonts w:hint="eastAsia" w:ascii="仿宋_GB2312" w:eastAsia="仿宋_GB2312"/>
          <w:bCs/>
          <w:sz w:val="32"/>
          <w:szCs w:val="32"/>
        </w:rPr>
        <w:t>《无机化学工业污染物排放标准》（G</w:t>
      </w:r>
      <w:r>
        <w:rPr>
          <w:rFonts w:ascii="仿宋_GB2312" w:eastAsia="仿宋_GB2312"/>
          <w:bCs/>
          <w:sz w:val="32"/>
          <w:szCs w:val="32"/>
        </w:rPr>
        <w:t>B31573-2015</w:t>
      </w:r>
      <w:r>
        <w:rPr>
          <w:rFonts w:hint="eastAsia" w:ascii="仿宋_GB2312" w:eastAsia="仿宋_GB2312"/>
          <w:bCs/>
          <w:sz w:val="32"/>
          <w:szCs w:val="32"/>
        </w:rPr>
        <w:t>）表1中间接排放标准，</w:t>
      </w:r>
      <w:r>
        <w:rPr>
          <w:rFonts w:hint="eastAsia" w:ascii="仿宋_GB2312" w:hAnsi="仿宋_GB2312" w:eastAsia="仿宋_GB2312" w:cs="仿宋_GB2312"/>
          <w:bCs/>
          <w:snapToGrid w:val="0"/>
          <w:sz w:val="32"/>
          <w:szCs w:val="32"/>
        </w:rPr>
        <w:t>铊在车间</w:t>
      </w:r>
      <w:r>
        <w:rPr>
          <w:rFonts w:hint="eastAsia" w:ascii="仿宋_GB2312" w:eastAsia="仿宋_GB2312"/>
          <w:bCs/>
          <w:sz w:val="32"/>
          <w:szCs w:val="32"/>
        </w:rPr>
        <w:t>排口、厂区排口执行《工业废水铊污染物排放标准》（D</w:t>
      </w:r>
      <w:r>
        <w:rPr>
          <w:rFonts w:ascii="仿宋_GB2312" w:eastAsia="仿宋_GB2312"/>
          <w:bCs/>
          <w:sz w:val="32"/>
          <w:szCs w:val="32"/>
        </w:rPr>
        <w:t>B36/1149-2019</w:t>
      </w:r>
      <w:r>
        <w:rPr>
          <w:rFonts w:hint="eastAsia" w:ascii="仿宋_GB2312" w:eastAsia="仿宋_GB2312"/>
          <w:bCs/>
          <w:sz w:val="32"/>
          <w:szCs w:val="32"/>
        </w:rPr>
        <w:t>）</w:t>
      </w:r>
      <w:r>
        <w:rPr>
          <w:rFonts w:hint="eastAsia" w:ascii="仿宋_GB2312" w:hAnsi="仿宋_GB2312" w:eastAsia="仿宋_GB2312" w:cs="仿宋_GB2312"/>
          <w:bCs/>
          <w:snapToGrid w:val="0"/>
          <w:sz w:val="32"/>
          <w:szCs w:val="32"/>
        </w:rPr>
        <w:t>），</w:t>
      </w:r>
      <w:r>
        <w:rPr>
          <w:rFonts w:hint="eastAsia" w:ascii="仿宋_GB2312" w:hAnsi="仿宋_GB2312" w:eastAsia="仿宋_GB2312" w:cs="仿宋_GB2312"/>
          <w:sz w:val="32"/>
          <w:szCs w:val="32"/>
        </w:rPr>
        <w:t>铍</w:t>
      </w:r>
      <w:r>
        <w:rPr>
          <w:rFonts w:hint="eastAsia" w:ascii="仿宋_GB2312" w:eastAsia="仿宋_GB2312"/>
          <w:bCs/>
          <w:sz w:val="32"/>
          <w:szCs w:val="32"/>
        </w:rPr>
        <w:t>执行</w:t>
      </w:r>
      <w:r>
        <w:rPr>
          <w:rFonts w:hint="eastAsia" w:ascii="仿宋_GB2312" w:hAnsi="仿宋_GB2312" w:eastAsia="仿宋_GB2312" w:cs="仿宋_GB2312"/>
          <w:sz w:val="32"/>
          <w:szCs w:val="32"/>
        </w:rPr>
        <w:t>《污水综合排放标准》（GB 8978-1996），</w:t>
      </w:r>
      <w:r>
        <w:rPr>
          <w:rFonts w:hint="eastAsia" w:ascii="仿宋_GB2312" w:eastAsia="仿宋_GB2312"/>
          <w:bCs/>
          <w:sz w:val="32"/>
          <w:szCs w:val="32"/>
        </w:rPr>
        <w:t>经园区污水管网排入</w:t>
      </w:r>
      <w:r>
        <w:rPr>
          <w:rFonts w:hint="eastAsia" w:ascii="仿宋_GB2312" w:hAnsi="仿宋_GB2312" w:eastAsia="仿宋_GB2312" w:cs="仿宋_GB2312"/>
          <w:bCs/>
          <w:sz w:val="32"/>
          <w:szCs w:val="32"/>
        </w:rPr>
        <w:t>万载县鹅峰污水处理厂</w:t>
      </w:r>
      <w:r>
        <w:rPr>
          <w:rFonts w:hint="eastAsia" w:ascii="仿宋_GB2312" w:eastAsia="仿宋_GB2312"/>
          <w:bCs/>
          <w:sz w:val="32"/>
          <w:szCs w:val="32"/>
        </w:rPr>
        <w:t>进一步处理后排入锦江。</w:t>
      </w:r>
    </w:p>
    <w:p>
      <w:pPr>
        <w:pStyle w:val="10"/>
        <w:keepNext w:val="0"/>
        <w:keepLines w:val="0"/>
        <w:pageBreakBefore w:val="0"/>
        <w:kinsoku/>
        <w:wordWrap/>
        <w:overflowPunct/>
        <w:topLinePunct w:val="0"/>
        <w:autoSpaceDN/>
        <w:bidi w:val="0"/>
        <w:spacing w:after="0" w:line="520" w:lineRule="exact"/>
        <w:ind w:firstLine="640" w:firstLineChars="200"/>
        <w:textAlignment w:val="auto"/>
        <w:rPr>
          <w:sz w:val="32"/>
          <w:szCs w:val="32"/>
        </w:rPr>
      </w:pPr>
      <w:r>
        <w:rPr>
          <w:rFonts w:hint="eastAsia" w:ascii="仿宋_GB2312" w:hAnsi="仿宋" w:eastAsia="仿宋_GB2312" w:cs="仿宋"/>
          <w:sz w:val="32"/>
          <w:szCs w:val="32"/>
        </w:rPr>
        <w:t>本项目厂区污水总排口排放量</w:t>
      </w:r>
      <w:r>
        <w:rPr>
          <w:rFonts w:hint="eastAsia" w:ascii="仿宋_GB2312" w:eastAsia="仿宋_GB2312" w:cs="Times New Roman"/>
          <w:bCs/>
          <w:sz w:val="32"/>
          <w:szCs w:val="32"/>
        </w:rPr>
        <w:t>为COD≤15.63t/a，</w:t>
      </w:r>
      <w:r>
        <w:rPr>
          <w:rFonts w:hint="eastAsia" w:ascii="仿宋_GB2312" w:eastAsia="仿宋_GB2312" w:cs="Times New Roman"/>
          <w:bCs/>
          <w:sz w:val="32"/>
          <w:szCs w:val="32"/>
          <w:lang w:val="en-US" w:eastAsia="zh-CN"/>
        </w:rPr>
        <w:t>NH</w:t>
      </w:r>
      <w:r>
        <w:rPr>
          <w:rFonts w:hint="eastAsia" w:ascii="仿宋_GB2312" w:eastAsia="仿宋_GB2312" w:cs="Times New Roman"/>
          <w:bCs/>
          <w:sz w:val="32"/>
          <w:szCs w:val="32"/>
          <w:vertAlign w:val="subscript"/>
          <w:lang w:val="en-US" w:eastAsia="zh-CN"/>
        </w:rPr>
        <w:t>3</w:t>
      </w:r>
      <w:r>
        <w:rPr>
          <w:rFonts w:hint="eastAsia" w:ascii="仿宋_GB2312" w:eastAsia="仿宋_GB2312" w:cs="Times New Roman"/>
          <w:bCs/>
          <w:sz w:val="32"/>
          <w:szCs w:val="32"/>
          <w:lang w:val="en-US" w:eastAsia="zh-CN"/>
        </w:rPr>
        <w:t>-N</w:t>
      </w:r>
      <w:r>
        <w:rPr>
          <w:rFonts w:hint="eastAsia" w:ascii="仿宋_GB2312" w:eastAsia="仿宋_GB2312" w:cs="Times New Roman"/>
          <w:bCs/>
          <w:sz w:val="32"/>
          <w:szCs w:val="32"/>
        </w:rPr>
        <w:t>≤2.16t/a，万载县鹅峰污水处理厂处理达标后尾水中污染物排放量为COD≤13.63t/a，</w:t>
      </w:r>
      <w:r>
        <w:rPr>
          <w:rFonts w:hint="eastAsia" w:ascii="仿宋_GB2312" w:eastAsia="仿宋_GB2312" w:cs="Times New Roman"/>
          <w:bCs/>
          <w:sz w:val="32"/>
          <w:szCs w:val="32"/>
          <w:lang w:val="en-US" w:eastAsia="zh-CN"/>
        </w:rPr>
        <w:t>NH</w:t>
      </w:r>
      <w:r>
        <w:rPr>
          <w:rFonts w:hint="eastAsia" w:ascii="仿宋_GB2312" w:eastAsia="仿宋_GB2312" w:cs="Times New Roman"/>
          <w:bCs/>
          <w:sz w:val="32"/>
          <w:szCs w:val="32"/>
          <w:vertAlign w:val="subscript"/>
          <w:lang w:val="en-US" w:eastAsia="zh-CN"/>
        </w:rPr>
        <w:t>3</w:t>
      </w:r>
      <w:r>
        <w:rPr>
          <w:rFonts w:hint="eastAsia" w:ascii="仿宋_GB2312" w:eastAsia="仿宋_GB2312" w:cs="Times New Roman"/>
          <w:bCs/>
          <w:sz w:val="32"/>
          <w:szCs w:val="32"/>
          <w:lang w:val="en-US" w:eastAsia="zh-CN"/>
        </w:rPr>
        <w:t>-N</w:t>
      </w:r>
      <w:r>
        <w:rPr>
          <w:rFonts w:hint="eastAsia" w:ascii="仿宋_GB2312" w:eastAsia="仿宋_GB2312" w:cs="Times New Roman"/>
          <w:bCs/>
          <w:sz w:val="32"/>
          <w:szCs w:val="32"/>
        </w:rPr>
        <w:t>≤1.31t/a。</w:t>
      </w:r>
    </w:p>
    <w:p>
      <w:pPr>
        <w:keepNext w:val="0"/>
        <w:keepLines w:val="0"/>
        <w:pageBreakBefore w:val="0"/>
        <w:kinsoku/>
        <w:wordWrap/>
        <w:overflowPunct/>
        <w:topLinePunct w:val="0"/>
        <w:autoSpaceDN/>
        <w:bidi w:val="0"/>
        <w:spacing w:line="520" w:lineRule="exact"/>
        <w:ind w:firstLine="640" w:firstLineChars="200"/>
        <w:textAlignment w:val="auto"/>
        <w:rPr>
          <w:rFonts w:ascii="仿宋_GB2312" w:hAnsi="仿宋_GB2312" w:eastAsia="仿宋_GB2312" w:cs="仿宋_GB2312"/>
          <w:kern w:val="0"/>
          <w:sz w:val="32"/>
          <w:szCs w:val="32"/>
        </w:rPr>
      </w:pPr>
      <w:r>
        <w:rPr>
          <w:rFonts w:hint="eastAsia" w:ascii="楷体" w:hAnsi="楷体" w:eastAsia="楷体" w:cs="楷体"/>
          <w:color w:val="000000"/>
          <w:sz w:val="32"/>
          <w:szCs w:val="32"/>
        </w:rPr>
        <w:t>（二）严格落实大气污染防治措施。</w:t>
      </w:r>
      <w:r>
        <w:rPr>
          <w:rFonts w:ascii="Times New Roman" w:hAnsi="Times New Roman" w:eastAsia="仿宋_GB2312"/>
          <w:bCs/>
          <w:sz w:val="32"/>
          <w:szCs w:val="32"/>
        </w:rPr>
        <w:t>项目</w:t>
      </w:r>
      <w:r>
        <w:rPr>
          <w:rFonts w:hint="eastAsia" w:ascii="仿宋_GB2312" w:hAnsi="宋体" w:eastAsia="仿宋_GB2312"/>
          <w:sz w:val="32"/>
        </w:rPr>
        <w:t>运营期废气主要为</w:t>
      </w:r>
      <w:r>
        <w:rPr>
          <w:rFonts w:hint="eastAsia" w:ascii="仿宋_GB2312" w:hAnsi="仿宋_GB2312" w:eastAsia="仿宋_GB2312" w:cs="仿宋_GB2312"/>
          <w:bCs/>
          <w:color w:val="000000"/>
          <w:sz w:val="32"/>
          <w:szCs w:val="32"/>
        </w:rPr>
        <w:t>配料废气、输送废气、焙烧烟气、烘干烟气、筛分破碎废气</w:t>
      </w:r>
      <w:r>
        <w:rPr>
          <w:rFonts w:hint="eastAsia" w:ascii="仿宋_GB2312" w:hAnsi="Times New Roman" w:eastAsia="仿宋_GB2312"/>
          <w:sz w:val="32"/>
          <w:szCs w:val="32"/>
        </w:rPr>
        <w:t>和</w:t>
      </w:r>
      <w:r>
        <w:rPr>
          <w:rFonts w:ascii="仿宋_GB2312" w:hAnsi="仿宋_GB2312" w:eastAsia="仿宋_GB2312" w:cs="仿宋_GB2312"/>
          <w:kern w:val="0"/>
          <w:sz w:val="32"/>
          <w:szCs w:val="32"/>
        </w:rPr>
        <w:t>无组织</w:t>
      </w:r>
      <w:r>
        <w:rPr>
          <w:rFonts w:hint="eastAsia" w:ascii="仿宋_GB2312" w:hAnsi="仿宋_GB2312" w:eastAsia="仿宋_GB2312" w:cs="仿宋_GB2312"/>
          <w:kern w:val="0"/>
          <w:sz w:val="32"/>
          <w:szCs w:val="32"/>
        </w:rPr>
        <w:t>排放</w:t>
      </w:r>
      <w:r>
        <w:rPr>
          <w:rFonts w:ascii="仿宋_GB2312" w:hAnsi="仿宋_GB2312" w:eastAsia="仿宋_GB2312" w:cs="仿宋_GB2312"/>
          <w:kern w:val="0"/>
          <w:sz w:val="32"/>
          <w:szCs w:val="32"/>
        </w:rPr>
        <w:t>废气。</w:t>
      </w:r>
    </w:p>
    <w:p>
      <w:pPr>
        <w:keepNext w:val="0"/>
        <w:keepLines w:val="0"/>
        <w:pageBreakBefore w:val="0"/>
        <w:kinsoku/>
        <w:wordWrap/>
        <w:overflowPunct/>
        <w:topLinePunct w:val="0"/>
        <w:autoSpaceDN/>
        <w:bidi w:val="0"/>
        <w:adjustRightInd w:val="0"/>
        <w:snapToGrid w:val="0"/>
        <w:spacing w:line="520" w:lineRule="exact"/>
        <w:ind w:firstLine="640" w:firstLineChars="200"/>
        <w:textAlignment w:val="auto"/>
        <w:rPr>
          <w:rFonts w:ascii="仿宋_GB2312" w:hAnsi="宋体" w:eastAsia="仿宋_GB2312"/>
          <w:color w:val="000000"/>
          <w:sz w:val="32"/>
          <w:szCs w:val="32"/>
        </w:rPr>
      </w:pPr>
      <w:bookmarkStart w:id="0" w:name="_Hlk56763128"/>
      <w:r>
        <w:rPr>
          <w:rFonts w:hint="eastAsia" w:ascii="仿宋_GB2312" w:hAnsi="宋体" w:eastAsia="仿宋_GB2312"/>
          <w:color w:val="000000"/>
          <w:sz w:val="32"/>
          <w:szCs w:val="32"/>
        </w:rPr>
        <w:t>配料废气、输送废气主要成分为颗粒物，分别采用“集气罩+低压脉冲布袋除尘器处理装置”</w:t>
      </w:r>
      <w:r>
        <w:rPr>
          <w:rFonts w:hint="eastAsia" w:ascii="仿宋_GB2312" w:hAnsi="宋体" w:eastAsia="仿宋_GB2312" w:cs="仿宋_GB2312"/>
          <w:snapToGrid w:val="0"/>
          <w:spacing w:val="4"/>
          <w:sz w:val="32"/>
          <w:szCs w:val="32"/>
        </w:rPr>
        <w:t>或其他更为成熟稳定工艺处理后</w:t>
      </w:r>
      <w:r>
        <w:rPr>
          <w:rFonts w:hint="eastAsia" w:ascii="仿宋_GB2312" w:hAnsi="宋体" w:eastAsia="仿宋_GB2312"/>
          <w:color w:val="000000"/>
          <w:sz w:val="32"/>
          <w:szCs w:val="32"/>
        </w:rPr>
        <w:t>，执行《无机化学工业污染物排放标准》（GB31573－2015）表3标准限值。</w:t>
      </w:r>
    </w:p>
    <w:p>
      <w:pPr>
        <w:keepNext w:val="0"/>
        <w:keepLines w:val="0"/>
        <w:pageBreakBefore w:val="0"/>
        <w:kinsoku/>
        <w:wordWrap/>
        <w:overflowPunct/>
        <w:topLinePunct w:val="0"/>
        <w:autoSpaceDN/>
        <w:bidi w:val="0"/>
        <w:adjustRightInd w:val="0"/>
        <w:snapToGrid w:val="0"/>
        <w:spacing w:line="52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回转窑采用天然气为燃料，焙烧烟气作为原料锂云母烘干热源，主要污染物为颗粒物、二氧化硫、氮氧化物、氟化物、铊及其化合物等，回转窑</w:t>
      </w:r>
      <w:r>
        <w:rPr>
          <w:rFonts w:hint="eastAsia" w:ascii="仿宋_GB2312" w:hAnsi="仿宋_GB2312" w:eastAsia="仿宋_GB2312" w:cs="仿宋_GB2312"/>
          <w:bCs/>
          <w:color w:val="000000"/>
          <w:sz w:val="32"/>
          <w:szCs w:val="32"/>
        </w:rPr>
        <w:t>焙烧烟气及烘干烟气</w:t>
      </w:r>
      <w:r>
        <w:rPr>
          <w:rFonts w:hint="eastAsia" w:ascii="仿宋_GB2312" w:hAnsi="宋体" w:eastAsia="仿宋_GB2312"/>
          <w:color w:val="000000"/>
          <w:sz w:val="32"/>
          <w:szCs w:val="32"/>
        </w:rPr>
        <w:t>采用“高温金属布袋除尘+SCR脱销+布袋除尘+水喷淋+石灰—石膏脱硫脱氟+湿电除尘除雾装置”</w:t>
      </w:r>
      <w:r>
        <w:rPr>
          <w:rFonts w:hint="eastAsia" w:ascii="仿宋_GB2312" w:hAnsi="宋体" w:eastAsia="仿宋_GB2312" w:cs="仿宋_GB2312"/>
          <w:snapToGrid w:val="0"/>
          <w:spacing w:val="4"/>
          <w:sz w:val="32"/>
          <w:szCs w:val="32"/>
        </w:rPr>
        <w:t>或其他更为成熟稳定工艺处理后执行《无机化学工业污染物排放标准》（GB31573-2015）表3标准要求。</w:t>
      </w:r>
    </w:p>
    <w:p>
      <w:pPr>
        <w:keepNext w:val="0"/>
        <w:keepLines w:val="0"/>
        <w:pageBreakBefore w:val="0"/>
        <w:kinsoku/>
        <w:wordWrap/>
        <w:overflowPunct/>
        <w:topLinePunct w:val="0"/>
        <w:autoSpaceDE w:val="0"/>
        <w:autoSpaceDN/>
        <w:bidi w:val="0"/>
        <w:spacing w:line="520" w:lineRule="exact"/>
        <w:ind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原料焙烧后破碎筛分废气主要成分为颗粒物，采用“覆膜长袋低压脉冲布袋除尘器”</w:t>
      </w:r>
      <w:r>
        <w:rPr>
          <w:rFonts w:hint="eastAsia" w:ascii="仿宋_GB2312" w:hAnsi="宋体" w:eastAsia="仿宋_GB2312" w:cs="仿宋_GB2312"/>
          <w:snapToGrid w:val="0"/>
          <w:spacing w:val="4"/>
          <w:sz w:val="32"/>
          <w:szCs w:val="32"/>
        </w:rPr>
        <w:t>或其他更为成熟稳定工艺处理后执行《无机化学工业污染物排放标准》（GB31573-2015）表3标准要求。</w:t>
      </w:r>
    </w:p>
    <w:p>
      <w:pPr>
        <w:pStyle w:val="12"/>
        <w:keepNext w:val="0"/>
        <w:keepLines w:val="0"/>
        <w:pageBreakBefore w:val="0"/>
        <w:kinsoku/>
        <w:wordWrap/>
        <w:overflowPunct/>
        <w:topLinePunct w:val="0"/>
        <w:autoSpaceDN/>
        <w:bidi w:val="0"/>
        <w:adjustRightInd w:val="0"/>
        <w:snapToGrid w:val="0"/>
        <w:spacing w:line="520" w:lineRule="exact"/>
        <w:ind w:firstLine="656"/>
        <w:textAlignment w:val="auto"/>
        <w:rPr>
          <w:rFonts w:hint="eastAsia"/>
          <w:sz w:val="32"/>
          <w:szCs w:val="32"/>
        </w:rPr>
      </w:pPr>
      <w:r>
        <w:rPr>
          <w:rFonts w:hint="eastAsia" w:cs="仿宋_GB2312"/>
          <w:snapToGrid w:val="0"/>
          <w:spacing w:val="4"/>
          <w:sz w:val="32"/>
          <w:szCs w:val="32"/>
        </w:rPr>
        <w:t>无组织废气主要为</w:t>
      </w:r>
      <w:r>
        <w:rPr>
          <w:rFonts w:hint="eastAsia" w:hAnsi="仿宋_GB2312" w:cs="仿宋_GB2312"/>
          <w:color w:val="000000"/>
          <w:sz w:val="32"/>
          <w:szCs w:val="32"/>
        </w:rPr>
        <w:t>辅料库、配料、输送系统未收集到的粉尘。通过总图合理布局，</w:t>
      </w:r>
      <w:r>
        <w:rPr>
          <w:rFonts w:ascii="Times New Roman" w:hAnsi="Times New Roman"/>
          <w:color w:val="000000"/>
          <w:sz w:val="32"/>
          <w:szCs w:val="32"/>
        </w:rPr>
        <w:t>各工艺操作应尽可能采用密闭设备，减少敞开式操作；投料系统尽量采用手套箱或密闭投料系统，对设备、管道、阀门经常检查、检修，保持装置气密性良好</w:t>
      </w:r>
      <w:r>
        <w:rPr>
          <w:rFonts w:hint="eastAsia" w:ascii="Times New Roman" w:hAnsi="Times New Roman"/>
          <w:color w:val="000000"/>
          <w:sz w:val="32"/>
          <w:szCs w:val="32"/>
        </w:rPr>
        <w:t>，</w:t>
      </w:r>
      <w:r>
        <w:rPr>
          <w:rFonts w:hint="eastAsia" w:hAnsi="仿宋_GB2312" w:cs="仿宋_GB2312"/>
          <w:color w:val="000000"/>
          <w:sz w:val="32"/>
          <w:szCs w:val="32"/>
        </w:rPr>
        <w:t>对原料库采取定</w:t>
      </w:r>
      <w:r>
        <w:rPr>
          <w:rFonts w:hint="eastAsia" w:ascii="Times New Roman" w:hAnsi="Times New Roman"/>
          <w:color w:val="000000"/>
          <w:sz w:val="32"/>
          <w:szCs w:val="32"/>
        </w:rPr>
        <w:t>时洒水抑尘，提高</w:t>
      </w:r>
      <w:r>
        <w:rPr>
          <w:rFonts w:hint="eastAsia" w:hAnsi="仿宋_GB2312" w:cs="仿宋_GB2312"/>
          <w:color w:val="000000"/>
          <w:sz w:val="32"/>
          <w:szCs w:val="32"/>
        </w:rPr>
        <w:t>车间内粉尘收集率等措施后，项目</w:t>
      </w:r>
      <w:r>
        <w:rPr>
          <w:rFonts w:hint="eastAsia" w:hAnsi="仿宋_GB2312" w:cs="仿宋_GB2312"/>
          <w:snapToGrid w:val="0"/>
          <w:color w:val="000000"/>
          <w:sz w:val="32"/>
          <w:szCs w:val="32"/>
        </w:rPr>
        <w:t>颗粒物</w:t>
      </w:r>
      <w:r>
        <w:rPr>
          <w:rFonts w:hint="eastAsia" w:cs="仿宋_GB2312"/>
          <w:snapToGrid w:val="0"/>
          <w:spacing w:val="4"/>
          <w:sz w:val="32"/>
          <w:szCs w:val="32"/>
        </w:rPr>
        <w:t>无组织排放</w:t>
      </w:r>
      <w:r>
        <w:rPr>
          <w:rFonts w:hint="eastAsia" w:hAnsi="仿宋_GB2312" w:cs="仿宋_GB2312"/>
          <w:snapToGrid w:val="0"/>
          <w:color w:val="000000"/>
          <w:sz w:val="32"/>
          <w:szCs w:val="32"/>
        </w:rPr>
        <w:t>执行</w:t>
      </w:r>
      <w:r>
        <w:rPr>
          <w:rFonts w:hint="eastAsia" w:hAnsi="仿宋_GB2312" w:cs="仿宋_GB2312"/>
          <w:color w:val="000000"/>
          <w:sz w:val="32"/>
          <w:szCs w:val="32"/>
        </w:rPr>
        <w:t>《大气污染物综合排放标准》（GB16297-1996）表2中二级标准中无组织排放监控浓度限值要求</w:t>
      </w:r>
      <w:r>
        <w:rPr>
          <w:rFonts w:hint="eastAsia"/>
          <w:sz w:val="32"/>
          <w:szCs w:val="32"/>
        </w:rPr>
        <w:t>。</w:t>
      </w:r>
    </w:p>
    <w:p>
      <w:pPr>
        <w:pStyle w:val="12"/>
        <w:keepNext w:val="0"/>
        <w:keepLines w:val="0"/>
        <w:pageBreakBefore w:val="0"/>
        <w:kinsoku/>
        <w:wordWrap/>
        <w:overflowPunct/>
        <w:topLinePunct w:val="0"/>
        <w:autoSpaceDN/>
        <w:bidi w:val="0"/>
        <w:adjustRightInd w:val="0"/>
        <w:snapToGrid w:val="0"/>
        <w:spacing w:line="520" w:lineRule="exact"/>
        <w:ind w:firstLine="656"/>
        <w:textAlignment w:val="auto"/>
      </w:pPr>
      <w:r>
        <w:rPr>
          <w:rFonts w:hint="eastAsia" w:hAnsi="宋体" w:cs="仿宋_GB2312"/>
          <w:snapToGrid w:val="0"/>
          <w:spacing w:val="4"/>
          <w:sz w:val="32"/>
          <w:szCs w:val="32"/>
          <w:lang w:val="en-US" w:eastAsia="zh-CN"/>
        </w:rPr>
        <w:t>本项目厂区废气排放</w:t>
      </w:r>
      <w:r>
        <w:rPr>
          <w:rFonts w:hint="eastAsia" w:ascii="Times New Roman" w:hAnsi="Times New Roman"/>
          <w:color w:val="000000"/>
          <w:sz w:val="32"/>
          <w:szCs w:val="32"/>
          <w:lang w:val="en-US" w:eastAsia="zh-CN"/>
        </w:rPr>
        <w:t>量为</w:t>
      </w:r>
      <w:r>
        <w:rPr>
          <w:rFonts w:hint="eastAsia" w:ascii="仿宋_GB2312" w:hAnsi="宋体" w:eastAsia="仿宋_GB2312" w:cs="仿宋_GB2312"/>
          <w:snapToGrid w:val="0"/>
          <w:spacing w:val="4"/>
          <w:kern w:val="2"/>
          <w:sz w:val="32"/>
          <w:szCs w:val="32"/>
          <w:lang w:val="en-US" w:eastAsia="zh-CN" w:bidi="ar-SA"/>
        </w:rPr>
        <w:t>NO</w:t>
      </w:r>
      <w:r>
        <w:rPr>
          <w:rFonts w:hint="eastAsia" w:cs="仿宋_GB2312"/>
          <w:snapToGrid w:val="0"/>
          <w:spacing w:val="4"/>
          <w:kern w:val="2"/>
          <w:sz w:val="32"/>
          <w:szCs w:val="32"/>
          <w:vertAlign w:val="subscript"/>
          <w:lang w:val="en-US" w:eastAsia="zh-CN" w:bidi="ar-SA"/>
        </w:rPr>
        <w:t>x</w:t>
      </w:r>
      <w:r>
        <w:rPr>
          <w:rFonts w:hint="eastAsia" w:ascii="仿宋_GB2312" w:hAnsi="宋体" w:eastAsia="仿宋_GB2312" w:cs="仿宋_GB2312"/>
          <w:snapToGrid w:val="0"/>
          <w:spacing w:val="4"/>
          <w:kern w:val="2"/>
          <w:sz w:val="32"/>
          <w:szCs w:val="32"/>
          <w:lang w:val="en-US" w:eastAsia="zh-CN" w:bidi="ar-SA"/>
        </w:rPr>
        <w:t>≤54.16t/a。</w:t>
      </w:r>
    </w:p>
    <w:bookmarkEnd w:id="0"/>
    <w:p>
      <w:pPr>
        <w:keepNext w:val="0"/>
        <w:keepLines w:val="0"/>
        <w:pageBreakBefore w:val="0"/>
        <w:widowControl/>
        <w:kinsoku/>
        <w:wordWrap/>
        <w:overflowPunct/>
        <w:topLinePunct w:val="0"/>
        <w:autoSpaceDN/>
        <w:bidi w:val="0"/>
        <w:spacing w:line="520" w:lineRule="exact"/>
        <w:ind w:firstLine="640" w:firstLineChars="200"/>
        <w:jc w:val="left"/>
        <w:textAlignment w:val="auto"/>
        <w:rPr>
          <w:rFonts w:ascii="仿宋_GB2312" w:hAnsi="仿宋_GB2312" w:eastAsia="仿宋_GB2312" w:cs="仿宋_GB2312"/>
          <w:kern w:val="0"/>
          <w:sz w:val="32"/>
          <w:szCs w:val="32"/>
        </w:rPr>
      </w:pPr>
      <w:r>
        <w:rPr>
          <w:rFonts w:hint="eastAsia" w:ascii="楷体" w:hAnsi="楷体" w:eastAsia="楷体" w:cs="楷体"/>
          <w:color w:val="000000"/>
          <w:sz w:val="32"/>
          <w:szCs w:val="32"/>
        </w:rPr>
        <w:t>（三）严格落实土壤和地下水污染防治措施。</w:t>
      </w:r>
      <w:r>
        <w:rPr>
          <w:rFonts w:ascii="仿宋_GB2312" w:hAnsi="仿宋_GB2312" w:eastAsia="仿宋_GB2312" w:cs="仿宋_GB2312"/>
          <w:kern w:val="0"/>
          <w:sz w:val="32"/>
          <w:szCs w:val="32"/>
        </w:rPr>
        <w:t>按照“源头防控、分区防治、污染监控、应急响应”的原则进行土壤和地下水污染防治。严格按照《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影响。</w:t>
      </w:r>
    </w:p>
    <w:p>
      <w:pPr>
        <w:pStyle w:val="11"/>
        <w:keepNext w:val="0"/>
        <w:keepLines w:val="0"/>
        <w:pageBreakBefore w:val="0"/>
        <w:kinsoku/>
        <w:wordWrap/>
        <w:overflowPunct/>
        <w:topLinePunct w:val="0"/>
        <w:autoSpaceDN/>
        <w:bidi w:val="0"/>
        <w:spacing w:line="520" w:lineRule="exact"/>
        <w:ind w:firstLine="640" w:firstLineChars="200"/>
        <w:textAlignment w:val="auto"/>
        <w:rPr>
          <w:rFonts w:ascii="仿宋_GB2312" w:hAnsi="仿宋" w:eastAsia="仿宋_GB2312" w:cs="Times New Roman"/>
          <w:color w:val="000000"/>
          <w:kern w:val="0"/>
          <w:sz w:val="32"/>
          <w:szCs w:val="32"/>
        </w:rPr>
      </w:pPr>
      <w:r>
        <w:rPr>
          <w:rFonts w:hint="eastAsia" w:ascii="楷体" w:hAnsi="楷体" w:eastAsia="楷体" w:cs="楷体"/>
          <w:color w:val="000000"/>
          <w:sz w:val="32"/>
          <w:szCs w:val="32"/>
        </w:rPr>
        <w:t>（四）严格落实固体废物分类处置和综合利用措施</w:t>
      </w:r>
      <w:r>
        <w:rPr>
          <w:rFonts w:hint="eastAsia" w:ascii="仿宋_GB2312" w:hAnsi="仿宋" w:eastAsia="仿宋_GB2312" w:cs="Times New Roman"/>
          <w:color w:val="000000"/>
          <w:kern w:val="0"/>
          <w:sz w:val="32"/>
          <w:szCs w:val="32"/>
        </w:rPr>
        <w:t>。应按“资源化、减量化、无害化”处置原则，认真落实固废分类收集、处置和综合利用措施。危险废物应及时委托有资质单位进行综合利用或处置，转移应办理相关环保手续。厂区内应设置足够容积的一般工业固体废物暂存库和危险废物暂存库。危险废物暂存库设计、建设和运行必须满足《危险废物贮存污染控制标准》（GB 18597-2023）要求；一般工业固体废物综合利用或合理处置，一般工业固体废物暂存库设计、建设和运行必须满足《一般工业固体废物贮存和填埋污染控制标准》(GB 18599-2020)要求。</w:t>
      </w:r>
    </w:p>
    <w:p>
      <w:pPr>
        <w:keepNext w:val="0"/>
        <w:keepLines w:val="0"/>
        <w:pageBreakBefore w:val="0"/>
        <w:kinsoku/>
        <w:wordWrap/>
        <w:overflowPunct/>
        <w:topLinePunct w:val="0"/>
        <w:autoSpaceDE w:val="0"/>
        <w:autoSpaceDN/>
        <w:bidi w:val="0"/>
        <w:adjustRightInd w:val="0"/>
        <w:snapToGrid w:val="0"/>
        <w:spacing w:line="520" w:lineRule="exact"/>
        <w:ind w:firstLine="640" w:firstLineChars="200"/>
        <w:textAlignment w:val="auto"/>
        <w:rPr>
          <w:rFonts w:ascii="仿宋_GB2312" w:hAnsi="仿宋" w:eastAsia="仿宋_GB2312" w:cs="仿宋"/>
          <w:color w:val="000000"/>
          <w:sz w:val="32"/>
          <w:szCs w:val="32"/>
        </w:rPr>
      </w:pPr>
      <w:r>
        <w:rPr>
          <w:rFonts w:hint="eastAsia" w:ascii="楷体" w:hAnsi="楷体" w:eastAsia="楷体" w:cs="楷体"/>
          <w:color w:val="000000"/>
          <w:sz w:val="32"/>
          <w:szCs w:val="32"/>
        </w:rPr>
        <w:t>（五）严格落实噪声污染防治措施。</w:t>
      </w:r>
      <w:r>
        <w:rPr>
          <w:rFonts w:hint="eastAsia" w:ascii="仿宋_GB2312" w:hAnsi="仿宋_GB2312" w:eastAsia="仿宋_GB2312" w:cs="仿宋_GB2312"/>
          <w:sz w:val="32"/>
          <w:szCs w:val="32"/>
        </w:rPr>
        <w:t>应选用低噪声设备，采用减震、隔声、吸声、消声措施，同时加强设备的维护和管理，合理规划平面布置，加强厂区绿化，厂界噪声需满足《工业企业厂界环境噪声排放标准》（GB 12348-2008）中3类标准要求。</w:t>
      </w:r>
    </w:p>
    <w:p>
      <w:pPr>
        <w:keepNext w:val="0"/>
        <w:keepLines w:val="0"/>
        <w:pageBreakBefore w:val="0"/>
        <w:kinsoku/>
        <w:wordWrap/>
        <w:overflowPunct/>
        <w:topLinePunct w:val="0"/>
        <w:autoSpaceDE w:val="0"/>
        <w:autoSpaceDN/>
        <w:bidi w:val="0"/>
        <w:spacing w:line="520" w:lineRule="exact"/>
        <w:ind w:firstLine="640" w:firstLineChars="200"/>
        <w:jc w:val="left"/>
        <w:textAlignment w:val="auto"/>
        <w:rPr>
          <w:rFonts w:ascii="仿宋_GB2312" w:hAnsi="仿宋" w:eastAsia="仿宋_GB2312" w:cs="仿宋"/>
          <w:sz w:val="32"/>
          <w:szCs w:val="32"/>
        </w:rPr>
      </w:pPr>
      <w:r>
        <w:rPr>
          <w:rFonts w:hint="eastAsia" w:ascii="楷体" w:hAnsi="楷体" w:eastAsia="楷体" w:cs="楷体"/>
          <w:color w:val="000000"/>
          <w:sz w:val="32"/>
          <w:szCs w:val="32"/>
        </w:rPr>
        <w:t>（六）严格落实环境风险防范措施。</w:t>
      </w:r>
      <w:r>
        <w:rPr>
          <w:rFonts w:hint="eastAsia" w:ascii="仿宋_GB2312" w:hAnsi="仿宋_GB2312" w:eastAsia="仿宋_GB2312" w:cs="仿宋_GB2312"/>
          <w:color w:val="000000"/>
          <w:sz w:val="32"/>
          <w:szCs w:val="32"/>
        </w:rPr>
        <w:t>严格落实《报告书》和《评估意见》提出的各项环境风险防控措施。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水不进入外环境。健全企业环境风险防范与应急管理体系，制定全厂环境风险防控措施和突发环境事件应急预案。突发环境事件应急预案（须报当地生态环境部门备案）应与相邻企业、当地政府进行有效衔接，定期协同有关部门开展应急演练。</w:t>
      </w:r>
    </w:p>
    <w:p>
      <w:pPr>
        <w:keepNext w:val="0"/>
        <w:keepLines w:val="0"/>
        <w:pageBreakBefore w:val="0"/>
        <w:kinsoku/>
        <w:wordWrap/>
        <w:overflowPunct/>
        <w:topLinePunct w:val="0"/>
        <w:autoSpaceDE w:val="0"/>
        <w:autoSpaceDN/>
        <w:bidi w:val="0"/>
        <w:spacing w:line="520" w:lineRule="exact"/>
        <w:ind w:firstLine="640" w:firstLineChars="200"/>
        <w:textAlignment w:val="auto"/>
        <w:rPr>
          <w:rFonts w:ascii="仿宋_GB2312" w:hAnsi="宋体" w:eastAsia="仿宋_GB2312" w:cs="宋体"/>
          <w:kern w:val="0"/>
          <w:sz w:val="32"/>
          <w:szCs w:val="32"/>
        </w:rPr>
      </w:pPr>
      <w:r>
        <w:rPr>
          <w:rFonts w:hint="eastAsia" w:ascii="楷体" w:hAnsi="楷体" w:eastAsia="楷体" w:cs="楷体"/>
          <w:color w:val="000000"/>
          <w:sz w:val="32"/>
          <w:szCs w:val="32"/>
        </w:rPr>
        <w:t>（七）落实规范排污口和环境监测要求。</w:t>
      </w:r>
      <w:r>
        <w:rPr>
          <w:rFonts w:hint="eastAsia" w:ascii="仿宋_GB2312" w:hAnsi="宋体" w:eastAsia="仿宋_GB2312" w:cs="宋体"/>
          <w:kern w:val="0"/>
          <w:sz w:val="32"/>
          <w:szCs w:val="32"/>
        </w:rPr>
        <w:t>按国家和省、市排污口规范化要求设置各类排污口和标识并建档。你公司应按要求在厂区内安装废水、废气在线监控设施。</w:t>
      </w:r>
    </w:p>
    <w:p>
      <w:pPr>
        <w:keepNext w:val="0"/>
        <w:keepLines w:val="0"/>
        <w:pageBreakBefore w:val="0"/>
        <w:kinsoku/>
        <w:wordWrap/>
        <w:overflowPunct/>
        <w:topLinePunct w:val="0"/>
        <w:autoSpaceDN/>
        <w:bidi w:val="0"/>
        <w:adjustRightInd w:val="0"/>
        <w:snapToGrid w:val="0"/>
        <w:spacing w:line="520" w:lineRule="exact"/>
        <w:ind w:firstLine="640" w:firstLineChars="200"/>
        <w:textAlignment w:val="auto"/>
        <w:rPr>
          <w:rFonts w:ascii="Times New Roman" w:hAnsi="Times New Roman" w:eastAsia="仿宋_GB2312"/>
          <w:sz w:val="32"/>
          <w:szCs w:val="32"/>
        </w:rPr>
      </w:pPr>
      <w:r>
        <w:rPr>
          <w:rFonts w:hint="eastAsia" w:ascii="楷体" w:hAnsi="楷体" w:eastAsia="楷体" w:cs="楷体"/>
          <w:color w:val="000000"/>
          <w:sz w:val="32"/>
          <w:szCs w:val="32"/>
        </w:rPr>
        <w:t>（八）项目周围规划控制要求。</w:t>
      </w:r>
      <w:r>
        <w:rPr>
          <w:rFonts w:hint="eastAsia" w:ascii="仿宋_GB2312" w:hAnsi="宋体" w:eastAsia="仿宋_GB2312" w:cs="宋体"/>
          <w:kern w:val="0"/>
          <w:sz w:val="32"/>
          <w:szCs w:val="32"/>
        </w:rPr>
        <w:t>根据《报告书》和《评估意见》结论</w:t>
      </w:r>
      <w:r>
        <w:rPr>
          <w:rFonts w:hint="eastAsia" w:ascii="仿宋_GB2312" w:hAnsi="仿宋_GB2312" w:eastAsia="仿宋_GB2312" w:cs="仿宋_GB2312"/>
          <w:bCs/>
          <w:sz w:val="32"/>
          <w:szCs w:val="32"/>
        </w:rPr>
        <w:t>，确定以项目</w:t>
      </w:r>
      <w:r>
        <w:rPr>
          <w:rFonts w:hint="eastAsia" w:ascii="仿宋_GB2312" w:hAnsi="仿宋_GB2312" w:eastAsia="仿宋_GB2312" w:cs="仿宋_GB2312"/>
          <w:color w:val="000000"/>
          <w:sz w:val="32"/>
          <w:szCs w:val="32"/>
          <w:lang w:bidi="en-US"/>
        </w:rPr>
        <w:t>辅料库、配料、输送系统</w:t>
      </w:r>
      <w:r>
        <w:rPr>
          <w:rFonts w:hint="eastAsia" w:ascii="仿宋_GB2312" w:hAnsi="仿宋_GB2312" w:eastAsia="仿宋_GB2312" w:cs="仿宋_GB2312"/>
          <w:bCs/>
          <w:sz w:val="32"/>
          <w:szCs w:val="32"/>
        </w:rPr>
        <w:t>设置50m卫生防护距离</w:t>
      </w:r>
      <w:r>
        <w:rPr>
          <w:rFonts w:hint="eastAsia" w:ascii="Times New Roman" w:hAnsi="Times New Roman" w:eastAsia="仿宋_GB2312"/>
          <w:sz w:val="32"/>
          <w:szCs w:val="32"/>
        </w:rPr>
        <w:t>。</w:t>
      </w:r>
      <w:r>
        <w:rPr>
          <w:rFonts w:ascii="Times New Roman" w:hAnsi="Times New Roman" w:eastAsia="仿宋_GB2312"/>
          <w:sz w:val="32"/>
          <w:szCs w:val="32"/>
        </w:rPr>
        <w:t>你公司应配合规划部门，严格控制好本项目周边规划，项目卫生防护距离范围内不得新建居民住宅、学校及医院等环境敏感建筑</w:t>
      </w:r>
      <w:r>
        <w:rPr>
          <w:rFonts w:hint="eastAsia" w:ascii="Times New Roman" w:hAnsi="Times New Roman" w:eastAsia="仿宋_GB2312"/>
          <w:sz w:val="32"/>
          <w:szCs w:val="32"/>
        </w:rPr>
        <w:t>。</w:t>
      </w:r>
    </w:p>
    <w:p>
      <w:pPr>
        <w:keepNext w:val="0"/>
        <w:keepLines w:val="0"/>
        <w:pageBreakBefore w:val="0"/>
        <w:kinsoku/>
        <w:wordWrap/>
        <w:overflowPunct/>
        <w:topLinePunct w:val="0"/>
        <w:autoSpaceDN/>
        <w:bidi w:val="0"/>
        <w:adjustRightInd w:val="0"/>
        <w:snapToGrid w:val="0"/>
        <w:spacing w:line="520" w:lineRule="exact"/>
        <w:ind w:firstLine="640" w:firstLineChars="200"/>
        <w:textAlignment w:val="auto"/>
        <w:rPr>
          <w:rFonts w:ascii="仿宋_GB2312" w:hAnsi="仿宋" w:eastAsia="仿宋_GB2312" w:cs="仿宋"/>
          <w:sz w:val="32"/>
          <w:szCs w:val="32"/>
        </w:rPr>
      </w:pPr>
      <w:r>
        <w:rPr>
          <w:rFonts w:hint="eastAsia" w:ascii="楷体" w:hAnsi="楷体" w:eastAsia="楷体" w:cs="楷体"/>
          <w:color w:val="000000"/>
          <w:sz w:val="32"/>
          <w:szCs w:val="32"/>
        </w:rPr>
        <w:t>（九）信息公开要求。</w:t>
      </w:r>
      <w:r>
        <w:rPr>
          <w:rFonts w:hint="eastAsia" w:ascii="仿宋_GB2312" w:hAnsi="仿宋" w:eastAsia="仿宋_GB2312" w:cs="仿宋"/>
          <w:sz w:val="32"/>
          <w:szCs w:val="32"/>
        </w:rPr>
        <w:t>你公司应依法实施信息公开，接受社会监督。项目投产后应定期公示企业环境报告，公布污染物排放和环境管理情况。</w:t>
      </w:r>
    </w:p>
    <w:p>
      <w:pPr>
        <w:keepNext w:val="0"/>
        <w:keepLines w:val="0"/>
        <w:pageBreakBefore w:val="0"/>
        <w:kinsoku/>
        <w:wordWrap/>
        <w:overflowPunct/>
        <w:topLinePunct w:val="0"/>
        <w:autoSpaceDN/>
        <w:bidi w:val="0"/>
        <w:spacing w:line="52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三、项目运行和竣工验收的环保要求</w:t>
      </w:r>
    </w:p>
    <w:p>
      <w:pPr>
        <w:keepNext w:val="0"/>
        <w:keepLines w:val="0"/>
        <w:pageBreakBefore w:val="0"/>
        <w:kinsoku/>
        <w:wordWrap/>
        <w:overflowPunct/>
        <w:topLinePunct w:val="0"/>
        <w:autoSpaceDE w:val="0"/>
        <w:autoSpaceDN/>
        <w:bidi w:val="0"/>
        <w:spacing w:line="52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kinsoku/>
        <w:wordWrap/>
        <w:overflowPunct/>
        <w:topLinePunct w:val="0"/>
        <w:autoSpaceDN/>
        <w:bidi w:val="0"/>
        <w:spacing w:line="52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四、其他环保要求</w:t>
      </w:r>
    </w:p>
    <w:p>
      <w:pPr>
        <w:keepNext w:val="0"/>
        <w:keepLines w:val="0"/>
        <w:pageBreakBefore w:val="0"/>
        <w:kinsoku/>
        <w:wordWrap/>
        <w:overflowPunct/>
        <w:topLinePunct w:val="0"/>
        <w:autoSpaceDE w:val="0"/>
        <w:autoSpaceDN/>
        <w:bidi w:val="0"/>
        <w:adjustRightInd w:val="0"/>
        <w:snapToGrid w:val="0"/>
        <w:spacing w:line="520" w:lineRule="exact"/>
        <w:ind w:firstLine="640" w:firstLineChars="200"/>
        <w:textAlignment w:val="auto"/>
        <w:rPr>
          <w:rFonts w:ascii="仿宋_GB2312" w:eastAsia="仿宋_GB2312"/>
          <w:color w:val="000000"/>
          <w:sz w:val="32"/>
          <w:szCs w:val="32"/>
        </w:rPr>
      </w:pPr>
      <w:r>
        <w:rPr>
          <w:rFonts w:hint="eastAsia" w:ascii="楷体" w:hAnsi="楷体" w:eastAsia="楷体" w:cs="楷体"/>
          <w:color w:val="000000"/>
          <w:sz w:val="32"/>
          <w:szCs w:val="32"/>
        </w:rPr>
        <w:t>（一）项目变更环保要求。</w:t>
      </w:r>
      <w:r>
        <w:rPr>
          <w:rFonts w:hint="eastAsia" w:ascii="仿宋_GB2312" w:eastAsia="仿宋_GB2312"/>
          <w:color w:val="000000"/>
          <w:sz w:val="32"/>
          <w:szCs w:val="32"/>
        </w:rPr>
        <w:t>本项目批准后，若项目建设性质、规模、地点、内容、采用的生产工艺或者防治污染的措施等发生重大变化应重新报批环境影响评价文件，审批后超过5年方动工建设的，应当报我局重新审核。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kinsoku/>
        <w:wordWrap/>
        <w:overflowPunct/>
        <w:topLinePunct w:val="0"/>
        <w:autoSpaceDN/>
        <w:bidi w:val="0"/>
        <w:spacing w:line="520" w:lineRule="exact"/>
        <w:ind w:firstLine="640" w:firstLineChars="200"/>
        <w:textAlignment w:val="auto"/>
        <w:rPr>
          <w:rFonts w:ascii="仿宋_GB2312" w:hAnsi="仿宋_GB2312" w:eastAsia="仿宋_GB2312" w:cs="仿宋_GB2312"/>
          <w:bCs/>
          <w:color w:val="000000"/>
          <w:sz w:val="32"/>
          <w:szCs w:val="32"/>
        </w:rPr>
      </w:pPr>
      <w:r>
        <w:rPr>
          <w:rFonts w:hint="eastAsia" w:ascii="楷体" w:hAnsi="楷体" w:eastAsia="楷体" w:cs="楷体"/>
          <w:color w:val="000000"/>
          <w:sz w:val="32"/>
          <w:szCs w:val="32"/>
        </w:rPr>
        <w:t>（二）排污许可要求。</w:t>
      </w:r>
      <w:r>
        <w:rPr>
          <w:rFonts w:hint="eastAsia" w:ascii="仿宋_GB2312" w:hAnsi="仿宋_GB2312" w:eastAsia="仿宋_GB2312" w:cs="仿宋_GB2312"/>
          <w:bCs/>
          <w:color w:val="000000"/>
          <w:sz w:val="32"/>
          <w:szCs w:val="32"/>
        </w:rPr>
        <w:t>你公司应在启动生产设施或者发生实际排污之前申请取得排污许可证或填报排污登记表。</w:t>
      </w:r>
    </w:p>
    <w:p>
      <w:pPr>
        <w:keepNext w:val="0"/>
        <w:keepLines w:val="0"/>
        <w:pageBreakBefore w:val="0"/>
        <w:kinsoku/>
        <w:wordWrap/>
        <w:overflowPunct/>
        <w:topLinePunct w:val="0"/>
        <w:autoSpaceDE w:val="0"/>
        <w:autoSpaceDN/>
        <w:bidi w:val="0"/>
        <w:spacing w:line="520" w:lineRule="exact"/>
        <w:ind w:firstLine="640" w:firstLineChars="200"/>
        <w:textAlignment w:val="auto"/>
        <w:rPr>
          <w:rFonts w:ascii="仿宋_GB2312" w:eastAsia="仿宋_GB2312"/>
          <w:color w:val="000000"/>
          <w:sz w:val="32"/>
          <w:szCs w:val="32"/>
        </w:rPr>
      </w:pPr>
      <w:r>
        <w:rPr>
          <w:rFonts w:hint="eastAsia" w:ascii="楷体" w:hAnsi="楷体" w:eastAsia="楷体" w:cs="楷体"/>
          <w:color w:val="000000"/>
          <w:sz w:val="32"/>
          <w:szCs w:val="32"/>
        </w:rPr>
        <w:t>（三）日常环保监管。</w:t>
      </w:r>
      <w:r>
        <w:rPr>
          <w:rFonts w:hint="eastAsia" w:ascii="仿宋_GB2312" w:eastAsia="仿宋_GB2312"/>
          <w:color w:val="000000"/>
          <w:sz w:val="32"/>
          <w:szCs w:val="32"/>
        </w:rPr>
        <w:t>请宜春市生态环境保护综合执法支</w:t>
      </w:r>
      <w:r>
        <w:rPr>
          <w:rFonts w:hint="eastAsia" w:ascii="仿宋_GB2312" w:hAnsi="仿宋_GB2312" w:eastAsia="仿宋_GB2312" w:cs="仿宋_GB2312"/>
          <w:bCs/>
          <w:color w:val="000000"/>
          <w:sz w:val="32"/>
          <w:szCs w:val="32"/>
        </w:rPr>
        <w:t>队和宜春市</w:t>
      </w:r>
      <w:r>
        <w:rPr>
          <w:rFonts w:hint="eastAsia" w:ascii="仿宋_GB2312" w:hAnsi="仿宋_GB2312" w:eastAsia="仿宋_GB2312" w:cs="仿宋_GB2312"/>
          <w:bCs/>
          <w:color w:val="000000"/>
          <w:sz w:val="32"/>
          <w:szCs w:val="32"/>
          <w:lang w:eastAsia="zh-CN"/>
        </w:rPr>
        <w:t>万载</w:t>
      </w:r>
      <w:r>
        <w:rPr>
          <w:rFonts w:hint="eastAsia" w:ascii="仿宋_GB2312" w:hAnsi="仿宋_GB2312" w:eastAsia="仿宋_GB2312" w:cs="仿宋_GB2312"/>
          <w:bCs/>
          <w:color w:val="000000"/>
          <w:sz w:val="32"/>
          <w:szCs w:val="32"/>
        </w:rPr>
        <w:t>生态环境局加强对该项目的环境监管，你公司应在收到本批复后20个工作日内，将批准后的《报告书》送至宜春市</w:t>
      </w:r>
      <w:r>
        <w:rPr>
          <w:rFonts w:hint="eastAsia" w:ascii="仿宋_GB2312" w:hAnsi="仿宋_GB2312" w:eastAsia="仿宋_GB2312" w:cs="仿宋_GB2312"/>
          <w:bCs/>
          <w:color w:val="000000"/>
          <w:sz w:val="32"/>
          <w:szCs w:val="32"/>
          <w:lang w:eastAsia="zh-CN"/>
        </w:rPr>
        <w:t>万载</w:t>
      </w:r>
      <w:r>
        <w:rPr>
          <w:rFonts w:hint="eastAsia" w:ascii="仿宋_GB2312" w:hAnsi="仿宋_GB2312" w:eastAsia="仿宋_GB2312" w:cs="仿宋_GB2312"/>
          <w:bCs/>
          <w:color w:val="000000"/>
          <w:sz w:val="32"/>
          <w:szCs w:val="32"/>
        </w:rPr>
        <w:t>生态环境局并按</w:t>
      </w:r>
      <w:r>
        <w:rPr>
          <w:rFonts w:hint="eastAsia" w:ascii="仿宋_GB2312" w:eastAsia="仿宋_GB2312"/>
          <w:color w:val="000000"/>
          <w:sz w:val="32"/>
          <w:szCs w:val="32"/>
        </w:rPr>
        <w:t>规定接受各级生态环境主管部门的监督检查。</w:t>
      </w:r>
    </w:p>
    <w:p>
      <w:pPr>
        <w:pStyle w:val="11"/>
        <w:keepNext w:val="0"/>
        <w:keepLines w:val="0"/>
        <w:pageBreakBefore w:val="0"/>
        <w:kinsoku/>
        <w:wordWrap/>
        <w:overflowPunct/>
        <w:topLinePunct w:val="0"/>
        <w:autoSpaceDN/>
        <w:bidi w:val="0"/>
        <w:spacing w:line="520" w:lineRule="exact"/>
        <w:ind w:firstLine="640" w:firstLineChars="200"/>
        <w:textAlignment w:val="auto"/>
        <w:rPr>
          <w:rFonts w:eastAsia="仿宋_GB2312"/>
        </w:rPr>
      </w:pPr>
      <w:r>
        <w:rPr>
          <w:rFonts w:hint="eastAsia" w:ascii="楷体" w:hAnsi="楷体" w:eastAsia="楷体" w:cs="楷体"/>
          <w:color w:val="000000"/>
          <w:sz w:val="32"/>
          <w:szCs w:val="32"/>
        </w:rPr>
        <w:t>（四）其他管理要求</w:t>
      </w:r>
      <w:r>
        <w:rPr>
          <w:rFonts w:hint="eastAsia" w:ascii="仿宋_GB2312" w:hAnsi="仿宋_GB2312" w:eastAsia="仿宋_GB2312" w:cs="仿宋_GB2312"/>
          <w:bCs/>
          <w:color w:val="000000"/>
          <w:sz w:val="32"/>
          <w:szCs w:val="32"/>
        </w:rPr>
        <w:t>。你公司应严格落实《中共宜春市委 宜春市人民政府印发&lt;关于以生态环境高水平保护推动锂电新能源等产业高质量发展的二十条措施》（宜发〔2022〕24号）和《宜春市生态环境保护委员会关于印发&lt;宜春市涉锂电主要行业生态环境监管标准(试行）&gt;的通知》（宜环委办字〔2023〕2号）的环境保护措施要求</w:t>
      </w:r>
      <w:r>
        <w:rPr>
          <w:rFonts w:hint="eastAsia" w:ascii="仿宋_GB2312" w:hAnsi="仿宋" w:eastAsia="仿宋_GB2312" w:cs="Times New Roman"/>
          <w:color w:val="000000"/>
          <w:kern w:val="0"/>
          <w:sz w:val="32"/>
          <w:szCs w:val="32"/>
        </w:rPr>
        <w:t>。</w:t>
      </w:r>
    </w:p>
    <w:p>
      <w:pPr>
        <w:spacing w:line="520" w:lineRule="exact"/>
        <w:ind w:right="1077"/>
        <w:jc w:val="right"/>
        <w:rPr>
          <w:rFonts w:ascii="仿宋_GB2312" w:hAnsi="华文仿宋" w:eastAsia="仿宋_GB2312"/>
          <w:sz w:val="32"/>
          <w:szCs w:val="32"/>
        </w:rPr>
      </w:pPr>
    </w:p>
    <w:p>
      <w:pPr>
        <w:spacing w:line="520" w:lineRule="exact"/>
        <w:ind w:right="1077"/>
        <w:rPr>
          <w:rFonts w:ascii="仿宋_GB2312" w:hAnsi="华文仿宋" w:eastAsia="仿宋_GB2312"/>
          <w:sz w:val="32"/>
          <w:szCs w:val="32"/>
        </w:rPr>
      </w:pPr>
    </w:p>
    <w:p>
      <w:pPr>
        <w:pStyle w:val="2"/>
      </w:pPr>
    </w:p>
    <w:p>
      <w:pPr>
        <w:pStyle w:val="3"/>
      </w:pPr>
    </w:p>
    <w:p>
      <w:pPr>
        <w:pStyle w:val="23"/>
      </w:pPr>
    </w:p>
    <w:p>
      <w:pPr>
        <w:spacing w:line="520" w:lineRule="exact"/>
        <w:ind w:right="1077"/>
        <w:jc w:val="right"/>
        <w:rPr>
          <w:rFonts w:ascii="仿宋_GB2312" w:hAnsi="华文仿宋" w:eastAsia="仿宋_GB2312"/>
          <w:sz w:val="32"/>
          <w:szCs w:val="32"/>
        </w:rPr>
      </w:pPr>
      <w:r>
        <w:rPr>
          <w:rFonts w:hint="eastAsia" w:ascii="仿宋_GB2312" w:hAnsi="华文仿宋" w:eastAsia="仿宋_GB2312"/>
          <w:sz w:val="32"/>
          <w:szCs w:val="32"/>
        </w:rPr>
        <w:t>宜春市生态环境局</w:t>
      </w:r>
    </w:p>
    <w:p>
      <w:pPr>
        <w:tabs>
          <w:tab w:val="left" w:pos="7655"/>
          <w:tab w:val="left" w:pos="7797"/>
        </w:tabs>
        <w:spacing w:line="520" w:lineRule="exact"/>
        <w:ind w:firstLine="80" w:firstLineChars="25"/>
        <w:rPr>
          <w:rFonts w:ascii="仿宋_GB2312" w:hAnsi="华文仿宋" w:eastAsia="仿宋_GB2312"/>
          <w:sz w:val="32"/>
          <w:szCs w:val="32"/>
        </w:rPr>
      </w:pPr>
      <w:r>
        <w:rPr>
          <w:rFonts w:hint="eastAsia" w:ascii="仿宋_GB2312" w:eastAsia="仿宋_GB2312"/>
          <w:sz w:val="32"/>
          <w:szCs w:val="32"/>
        </w:rPr>
        <w:t xml:space="preserve">  　　　　 　　　  　          </w:t>
      </w:r>
      <w:r>
        <w:rPr>
          <w:rFonts w:hint="eastAsia" w:ascii="仿宋_GB2312" w:eastAsia="仿宋_GB2312"/>
          <w:color w:val="FF0000"/>
          <w:sz w:val="32"/>
          <w:szCs w:val="32"/>
        </w:rPr>
        <w:t xml:space="preserve"> </w:t>
      </w:r>
      <w:r>
        <w:rPr>
          <w:rFonts w:hint="eastAsia" w:ascii="仿宋_GB2312" w:hAnsi="华文仿宋" w:eastAsia="仿宋_GB2312"/>
          <w:sz w:val="32"/>
          <w:szCs w:val="32"/>
        </w:rPr>
        <w:t>2023年1</w:t>
      </w:r>
      <w:r>
        <w:rPr>
          <w:rFonts w:hint="eastAsia" w:ascii="仿宋_GB2312" w:hAnsi="华文仿宋" w:eastAsia="仿宋_GB2312"/>
          <w:sz w:val="32"/>
          <w:szCs w:val="32"/>
          <w:lang w:eastAsia="zh-CN"/>
        </w:rPr>
        <w:t>1</w:t>
      </w:r>
      <w:r>
        <w:rPr>
          <w:rFonts w:hint="eastAsia" w:ascii="仿宋_GB2312" w:hAnsi="华文仿宋" w:eastAsia="仿宋_GB2312"/>
          <w:sz w:val="32"/>
          <w:szCs w:val="32"/>
        </w:rPr>
        <w:t>月</w:t>
      </w:r>
      <w:r>
        <w:rPr>
          <w:rFonts w:hint="eastAsia" w:ascii="仿宋_GB2312" w:hAnsi="华文仿宋" w:eastAsia="仿宋_GB2312"/>
          <w:sz w:val="32"/>
          <w:szCs w:val="32"/>
          <w:lang w:val="en-US" w:eastAsia="zh-CN"/>
        </w:rPr>
        <w:t>10</w:t>
      </w:r>
      <w:r>
        <w:rPr>
          <w:rFonts w:hint="eastAsia" w:ascii="仿宋_GB2312" w:hAnsi="华文仿宋" w:eastAsia="仿宋_GB2312"/>
          <w:sz w:val="32"/>
          <w:szCs w:val="32"/>
        </w:rPr>
        <w:t>日</w:t>
      </w:r>
    </w:p>
    <w:p>
      <w:pPr>
        <w:pStyle w:val="12"/>
      </w:pPr>
    </w:p>
    <w:p>
      <w:pPr>
        <w:pStyle w:val="17"/>
        <w:widowControl/>
        <w:spacing w:line="560" w:lineRule="exact"/>
        <w:ind w:right="840" w:rightChars="400" w:firstLine="640" w:firstLineChars="200"/>
        <w:rPr>
          <w:rFonts w:ascii="仿宋_GB2312" w:hAnsi="仿宋" w:eastAsia="仿宋_GB2312"/>
          <w:sz w:val="32"/>
        </w:rPr>
      </w:pPr>
      <w:r>
        <w:rPr>
          <w:rFonts w:hint="eastAsia" w:ascii="仿宋_GB2312" w:hAnsi="仿宋" w:eastAsia="仿宋_GB2312"/>
          <w:sz w:val="32"/>
        </w:rPr>
        <w:t>（此件主动公开）</w:t>
      </w:r>
    </w:p>
    <w:p>
      <w:pPr>
        <w:pStyle w:val="17"/>
        <w:widowControl/>
        <w:spacing w:line="560" w:lineRule="exact"/>
        <w:ind w:right="840" w:rightChars="400" w:firstLine="640" w:firstLineChars="200"/>
        <w:rPr>
          <w:rFonts w:ascii="仿宋_GB2312" w:hAnsi="仿宋" w:eastAsia="仿宋_GB2312"/>
          <w:sz w:val="32"/>
        </w:rPr>
      </w:pPr>
    </w:p>
    <w:p>
      <w:pPr>
        <w:pStyle w:val="17"/>
        <w:widowControl/>
        <w:spacing w:line="560" w:lineRule="exact"/>
        <w:ind w:right="840" w:rightChars="400" w:firstLine="640" w:firstLineChars="200"/>
        <w:rPr>
          <w:rFonts w:ascii="仿宋_GB2312" w:hAnsi="仿宋" w:eastAsia="仿宋_GB2312"/>
          <w:sz w:val="32"/>
        </w:rPr>
      </w:pPr>
    </w:p>
    <w:p>
      <w:pPr>
        <w:pStyle w:val="17"/>
        <w:widowControl/>
        <w:spacing w:line="560" w:lineRule="exact"/>
        <w:ind w:right="840" w:rightChars="400" w:firstLine="640" w:firstLineChars="200"/>
        <w:rPr>
          <w:rFonts w:ascii="仿宋_GB2312" w:hAnsi="仿宋" w:eastAsia="仿宋_GB2312"/>
          <w:sz w:val="32"/>
        </w:rPr>
      </w:pPr>
    </w:p>
    <w:p>
      <w:pPr>
        <w:pStyle w:val="17"/>
        <w:widowControl/>
        <w:spacing w:line="560" w:lineRule="exact"/>
        <w:ind w:right="840" w:rightChars="400" w:firstLine="640" w:firstLineChars="200"/>
        <w:rPr>
          <w:rFonts w:ascii="仿宋_GB2312" w:hAnsi="仿宋" w:eastAsia="仿宋_GB2312"/>
          <w:sz w:val="32"/>
        </w:rPr>
      </w:pPr>
    </w:p>
    <w:p>
      <w:pPr>
        <w:pStyle w:val="17"/>
        <w:widowControl/>
        <w:spacing w:line="560" w:lineRule="exact"/>
        <w:ind w:right="840" w:rightChars="400" w:firstLine="640" w:firstLineChars="200"/>
        <w:rPr>
          <w:rFonts w:ascii="仿宋_GB2312" w:hAnsi="仿宋" w:eastAsia="仿宋_GB2312"/>
          <w:sz w:val="32"/>
        </w:rPr>
      </w:pPr>
    </w:p>
    <w:p>
      <w:pPr>
        <w:spacing w:line="100" w:lineRule="exact"/>
        <w:rPr>
          <w:rFonts w:ascii="仿宋_GB2312" w:hAnsi="仿宋" w:eastAsia="仿宋_GB2312" w:cs="仿宋"/>
          <w:color w:val="000000"/>
          <w:sz w:val="30"/>
          <w:szCs w:val="30"/>
          <w:u w:val="single"/>
        </w:rPr>
      </w:pPr>
    </w:p>
    <w:p>
      <w:pPr>
        <w:spacing w:line="100" w:lineRule="exact"/>
        <w:rPr>
          <w:rFonts w:ascii="仿宋_GB2312" w:hAnsi="仿宋" w:eastAsia="仿宋_GB2312" w:cs="仿宋"/>
          <w:color w:val="000000"/>
          <w:sz w:val="30"/>
          <w:szCs w:val="30"/>
          <w:u w:val="single"/>
        </w:rPr>
      </w:pPr>
    </w:p>
    <w:p>
      <w:pPr>
        <w:spacing w:line="100" w:lineRule="exact"/>
        <w:rPr>
          <w:rFonts w:ascii="仿宋_GB2312" w:hAnsi="仿宋" w:eastAsia="仿宋_GB2312" w:cs="仿宋"/>
          <w:color w:val="000000"/>
          <w:sz w:val="30"/>
          <w:szCs w:val="30"/>
          <w:u w:val="single"/>
        </w:rPr>
      </w:pPr>
    </w:p>
    <w:p>
      <w:pPr>
        <w:spacing w:line="100" w:lineRule="exact"/>
        <w:rPr>
          <w:rFonts w:ascii="仿宋_GB2312" w:hAnsi="仿宋" w:eastAsia="仿宋_GB2312" w:cs="仿宋"/>
          <w:color w:val="000000"/>
          <w:sz w:val="30"/>
          <w:szCs w:val="30"/>
          <w:u w:val="single"/>
        </w:rPr>
      </w:pPr>
    </w:p>
    <w:p>
      <w:pPr>
        <w:spacing w:line="100" w:lineRule="exact"/>
        <w:rPr>
          <w:rFonts w:ascii="仿宋_GB2312" w:hAnsi="仿宋" w:eastAsia="仿宋_GB2312" w:cs="仿宋"/>
          <w:color w:val="000000"/>
          <w:sz w:val="30"/>
          <w:szCs w:val="30"/>
          <w:u w:val="single"/>
        </w:rPr>
      </w:pPr>
    </w:p>
    <w:p/>
    <w:p>
      <w:pPr>
        <w:pStyle w:val="2"/>
      </w:pPr>
    </w:p>
    <w:p>
      <w:pPr>
        <w:pStyle w:val="3"/>
      </w:pPr>
    </w:p>
    <w:p/>
    <w:p>
      <w:pPr>
        <w:pStyle w:val="2"/>
      </w:pPr>
    </w:p>
    <w:p>
      <w:pPr>
        <w:pStyle w:val="3"/>
      </w:pPr>
    </w:p>
    <w:p/>
    <w:p>
      <w:pPr>
        <w:pStyle w:val="2"/>
      </w:pPr>
    </w:p>
    <w:p>
      <w:pPr>
        <w:pStyle w:val="3"/>
      </w:pPr>
    </w:p>
    <w:p/>
    <w:p>
      <w:pPr>
        <w:pStyle w:val="2"/>
      </w:pPr>
    </w:p>
    <w:p>
      <w:pPr>
        <w:pStyle w:val="3"/>
      </w:pPr>
    </w:p>
    <w:p>
      <w:pPr>
        <w:pStyle w:val="2"/>
        <w:ind w:left="0" w:leftChars="0" w:firstLine="0" w:firstLineChars="0"/>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p>
    <w:p>
      <w:pPr>
        <w:spacing w:line="460" w:lineRule="exact"/>
        <w:ind w:left="910" w:leftChars="100" w:right="210" w:rightChars="100" w:hanging="700" w:hangingChars="250"/>
        <w:rPr>
          <w:rFonts w:ascii="仿宋_GB2312" w:eastAsia="仿宋_GB2312"/>
          <w:spacing w:val="-6"/>
          <w:sz w:val="28"/>
          <w:szCs w:val="28"/>
        </w:rPr>
      </w:pPr>
      <w:r>
        <w:rPr>
          <w:rFonts w:hint="eastAsia" w:ascii="仿宋_GB2312" w:hAnsi="宋体" w:eastAsia="仿宋_GB2312"/>
          <w:sz w:val="28"/>
          <w:szCs w:val="28"/>
        </w:rPr>
        <w:t>抄送:万载县人民政府、</w:t>
      </w:r>
      <w:r>
        <w:rPr>
          <w:rFonts w:hint="eastAsia" w:ascii="仿宋_GB2312" w:hAnsi="华文仿宋" w:eastAsia="仿宋_GB2312"/>
          <w:spacing w:val="-6"/>
          <w:sz w:val="28"/>
          <w:szCs w:val="32"/>
        </w:rPr>
        <w:t>宜春市万载生态</w:t>
      </w:r>
      <w:r>
        <w:rPr>
          <w:rFonts w:hint="eastAsia" w:ascii="仿宋_GB2312" w:eastAsia="仿宋_GB2312"/>
          <w:sz w:val="28"/>
          <w:szCs w:val="32"/>
        </w:rPr>
        <w:t>环境局，局相关科室，局直属相关单位</w:t>
      </w:r>
      <w:r>
        <w:rPr>
          <w:rFonts w:hint="eastAsia" w:ascii="仿宋_GB2312" w:hAnsi="华文仿宋" w:eastAsia="仿宋_GB2312"/>
          <w:spacing w:val="-6"/>
          <w:sz w:val="28"/>
          <w:szCs w:val="32"/>
        </w:rPr>
        <w:t>，</w:t>
      </w:r>
      <w:r>
        <w:rPr>
          <w:rFonts w:hint="eastAsia" w:ascii="Times New Roman" w:hAnsi="Times New Roman" w:eastAsia="仿宋_GB2312"/>
          <w:bCs/>
          <w:sz w:val="28"/>
          <w:szCs w:val="28"/>
        </w:rPr>
        <w:t>中国瑞林工程技术股份有限公司</w:t>
      </w:r>
      <w:r>
        <w:rPr>
          <w:rFonts w:hint="eastAsia" w:ascii="仿宋_GB2312" w:hAnsi="华文仿宋" w:eastAsia="仿宋_GB2312"/>
          <w:spacing w:val="-6"/>
          <w:sz w:val="28"/>
          <w:szCs w:val="32"/>
        </w:rPr>
        <w:t>。</w:t>
      </w:r>
    </w:p>
    <w:p>
      <w:pPr>
        <w:spacing w:line="140" w:lineRule="exact"/>
        <w:rPr>
          <w:rFonts w:ascii="仿宋_GB2312" w:eastAsia="仿宋_GB2312"/>
          <w:sz w:val="32"/>
          <w:szCs w:val="32"/>
        </w:rPr>
      </w:pPr>
      <w:r>
        <w:rPr>
          <w:rFonts w:hint="eastAsia" w:ascii="仿宋_GB2312" w:eastAsia="仿宋_GB2312"/>
          <w:sz w:val="28"/>
          <w:szCs w:val="28"/>
          <w:u w:val="single"/>
        </w:rPr>
        <w:t xml:space="preserve">                                                                </w:t>
      </w:r>
    </w:p>
    <w:p>
      <w:pPr>
        <w:spacing w:line="460" w:lineRule="exact"/>
        <w:ind w:left="1050" w:leftChars="100" w:right="210" w:rightChars="100" w:hanging="840" w:hangingChars="300"/>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宜春市生态环境局秘书科                 2</w:t>
      </w:r>
      <w:r>
        <w:rPr>
          <w:rFonts w:hint="eastAsia" w:ascii="仿宋_GB2312" w:hAnsi="宋体" w:eastAsia="仿宋_GB2312"/>
          <w:bCs/>
          <w:color w:val="000000" w:themeColor="text1"/>
          <w:sz w:val="28"/>
          <w:szCs w:val="32"/>
          <w14:textFill>
            <w14:solidFill>
              <w14:schemeClr w14:val="tx1"/>
            </w14:solidFill>
          </w14:textFill>
        </w:rPr>
        <w:t>023年1</w:t>
      </w:r>
      <w:r>
        <w:rPr>
          <w:rFonts w:hint="eastAsia" w:ascii="仿宋_GB2312" w:hAnsi="宋体" w:eastAsia="仿宋_GB2312"/>
          <w:bCs/>
          <w:color w:val="000000" w:themeColor="text1"/>
          <w:sz w:val="28"/>
          <w:szCs w:val="32"/>
          <w:lang w:eastAsia="zh-CN"/>
          <w14:textFill>
            <w14:solidFill>
              <w14:schemeClr w14:val="tx1"/>
            </w14:solidFill>
          </w14:textFill>
        </w:rPr>
        <w:t>1</w:t>
      </w:r>
      <w:r>
        <w:rPr>
          <w:rFonts w:hint="eastAsia" w:ascii="仿宋_GB2312" w:hAnsi="宋体" w:eastAsia="仿宋_GB2312"/>
          <w:bCs/>
          <w:color w:val="000000" w:themeColor="text1"/>
          <w:sz w:val="28"/>
          <w:szCs w:val="32"/>
          <w14:textFill>
            <w14:solidFill>
              <w14:schemeClr w14:val="tx1"/>
            </w14:solidFill>
          </w14:textFill>
        </w:rPr>
        <w:t>月</w:t>
      </w:r>
      <w:r>
        <w:rPr>
          <w:rFonts w:hint="eastAsia" w:ascii="仿宋_GB2312" w:hAnsi="宋体" w:eastAsia="仿宋_GB2312"/>
          <w:bCs/>
          <w:color w:val="000000" w:themeColor="text1"/>
          <w:sz w:val="28"/>
          <w:szCs w:val="32"/>
          <w:lang w:val="en-US" w:eastAsia="zh-CN"/>
          <w14:textFill>
            <w14:solidFill>
              <w14:schemeClr w14:val="tx1"/>
            </w14:solidFill>
          </w14:textFill>
        </w:rPr>
        <w:t>10</w:t>
      </w:r>
      <w:r>
        <w:rPr>
          <w:rFonts w:hint="eastAsia" w:ascii="仿宋_GB2312" w:hAnsi="宋体" w:eastAsia="仿宋_GB2312"/>
          <w:bCs/>
          <w:color w:val="000000" w:themeColor="text1"/>
          <w:sz w:val="28"/>
          <w:szCs w:val="32"/>
          <w14:textFill>
            <w14:solidFill>
              <w14:schemeClr w14:val="tx1"/>
            </w14:solidFill>
          </w14:textFill>
        </w:rPr>
        <w:t>日印发</w:t>
      </w:r>
    </w:p>
    <w:p>
      <w:pPr>
        <w:spacing w:line="100" w:lineRule="exact"/>
        <w:ind w:left="1050" w:hanging="1050" w:hangingChars="350"/>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p>
    <w:sectPr>
      <w:footerReference r:id="rId3" w:type="default"/>
      <w:pgSz w:w="11906" w:h="16838"/>
      <w:pgMar w:top="2098" w:right="1587" w:bottom="1984" w:left="1587" w:header="851" w:footer="170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8"/>
    <w:family w:val="roman"/>
    <w:pitch w:val="default"/>
    <w:sig w:usb0="00000000" w:usb1="00000000" w:usb2="00000009" w:usb3="00000000" w:csb0="400001FF" w:csb1="FFFF0000"/>
  </w:font>
  <w:font w:name="宋体">
    <w:panose1 w:val="02010600030101010101"/>
    <w:charset w:val="88"/>
    <w:family w:val="modern"/>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Arial Unicode MS">
    <w:altName w:val="Nimbus Roman No9 L"/>
    <w:panose1 w:val="020B0604020202020204"/>
    <w:charset w:val="86"/>
    <w:family w:val="auto"/>
    <w:pitch w:val="default"/>
    <w:sig w:usb0="00000000" w:usb1="00000000" w:usb2="0000003F" w:usb3="00000000" w:csb0="603F01FF" w:csb1="FFFF0000"/>
  </w:font>
  <w:font w:name="新宋体">
    <w:panose1 w:val="02010609030101010101"/>
    <w:charset w:val="86"/>
    <w:family w:val="modern"/>
    <w:pitch w:val="default"/>
    <w:sig w:usb0="00000003" w:usb1="080E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汉仪仿宋简">
    <w:panose1 w:val="02010600000101010101"/>
    <w:charset w:val="86"/>
    <w:family w:val="auto"/>
    <w:pitch w:val="default"/>
    <w:sig w:usb0="00000001" w:usb1="080E0800" w:usb2="00000002"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pcRlnAAQAAj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2cg1ILw5Jixc+smoE9RcDKdUGM0bldfg8b1kPfxF&#10;2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">
              <v:fill on="f" focussize="0,0"/>
              <v:stroke on="f"/>
              <v:imagedata o:title=""/>
              <o:lock v:ext="edit" aspectratio="f"/>
              <v:textbox inset="0mm,0mm,0mm,0mm" style="mso-fit-shape-to-text:t;">
                <w:txbxContent>
                  <w:p>
                    <w:pPr>
                      <w:pStyle w:val="14"/>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8B783"/>
    <w:multiLevelType w:val="multilevel"/>
    <w:tmpl w:val="54B8B783"/>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ascii="宋体" w:hAnsi="宋体" w:eastAsia="宋体" w:cs="宋体"/>
      </w:rPr>
    </w:lvl>
    <w:lvl w:ilvl="2" w:tentative="0">
      <w:start w:val="1"/>
      <w:numFmt w:val="decimal"/>
      <w:lvlText w:val="%1.%2.%3."/>
      <w:lvlJc w:val="left"/>
      <w:pPr>
        <w:tabs>
          <w:tab w:val="left" w:pos="709"/>
        </w:tabs>
        <w:ind w:left="709" w:hanging="709"/>
      </w:pPr>
      <w:rPr>
        <w:rFonts w:hint="default" w:ascii="宋体" w:hAnsi="宋体" w:eastAsia="宋体" w:cs="宋体"/>
      </w:rPr>
    </w:lvl>
    <w:lvl w:ilvl="3" w:tentative="0">
      <w:start w:val="1"/>
      <w:numFmt w:val="decimal"/>
      <w:pStyle w:val="7"/>
      <w:lvlText w:val="%1.%2.%3.%4."/>
      <w:lvlJc w:val="left"/>
      <w:pPr>
        <w:tabs>
          <w:tab w:val="left" w:pos="850"/>
        </w:tabs>
        <w:ind w:left="850" w:hanging="850"/>
      </w:pPr>
      <w:rPr>
        <w:rFonts w:hint="default" w:ascii="宋体" w:hAnsi="宋体" w:eastAsia="宋体" w:cs="宋体"/>
      </w:rPr>
    </w:lvl>
    <w:lvl w:ilvl="4" w:tentative="0">
      <w:start w:val="1"/>
      <w:numFmt w:val="decimal"/>
      <w:lvlText w:val="%1.%2.%3.%4.%5."/>
      <w:lvlJc w:val="left"/>
      <w:pPr>
        <w:tabs>
          <w:tab w:val="left" w:pos="991"/>
        </w:tabs>
        <w:ind w:left="991" w:hanging="991"/>
      </w:pPr>
      <w:rPr>
        <w:rFonts w:hint="default" w:ascii="宋体" w:hAnsi="宋体" w:eastAsia="宋体" w:cs="宋体"/>
      </w:rPr>
    </w:lvl>
    <w:lvl w:ilvl="5" w:tentative="0">
      <w:start w:val="1"/>
      <w:numFmt w:val="decimal"/>
      <w:lvlText w:val="%1.%2.%3.%4.%5.%6."/>
      <w:lvlJc w:val="left"/>
      <w:pPr>
        <w:tabs>
          <w:tab w:val="left" w:pos="1134"/>
        </w:tabs>
        <w:ind w:left="1134" w:hanging="1134"/>
      </w:pPr>
      <w:rPr>
        <w:rFonts w:hint="default" w:ascii="宋体" w:hAnsi="宋体" w:eastAsia="宋体" w:cs="宋体"/>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lYzVmMjM2Mjc1NzYzM2U5NzU0MTczZWJmNzBhYzUifQ=="/>
  </w:docVars>
  <w:rsids>
    <w:rsidRoot w:val="006B467D"/>
    <w:rsid w:val="00041B93"/>
    <w:rsid w:val="001806A7"/>
    <w:rsid w:val="001C3BC7"/>
    <w:rsid w:val="001F081D"/>
    <w:rsid w:val="001F4AD4"/>
    <w:rsid w:val="00231263"/>
    <w:rsid w:val="00264DFF"/>
    <w:rsid w:val="0029574C"/>
    <w:rsid w:val="002A6121"/>
    <w:rsid w:val="002D36C8"/>
    <w:rsid w:val="003A09F5"/>
    <w:rsid w:val="00460A78"/>
    <w:rsid w:val="0057560A"/>
    <w:rsid w:val="005E59AF"/>
    <w:rsid w:val="00633380"/>
    <w:rsid w:val="00644899"/>
    <w:rsid w:val="006B467D"/>
    <w:rsid w:val="007560D8"/>
    <w:rsid w:val="0077442E"/>
    <w:rsid w:val="00914FB4"/>
    <w:rsid w:val="009402E4"/>
    <w:rsid w:val="00987F9E"/>
    <w:rsid w:val="009B44DF"/>
    <w:rsid w:val="009C4711"/>
    <w:rsid w:val="00A24AA7"/>
    <w:rsid w:val="00A37078"/>
    <w:rsid w:val="00A415B5"/>
    <w:rsid w:val="00A60CA5"/>
    <w:rsid w:val="00B31BAC"/>
    <w:rsid w:val="00B60F18"/>
    <w:rsid w:val="00B77C27"/>
    <w:rsid w:val="00B849F8"/>
    <w:rsid w:val="00BB13A5"/>
    <w:rsid w:val="00BB5BB4"/>
    <w:rsid w:val="00BD2CE5"/>
    <w:rsid w:val="00C04E94"/>
    <w:rsid w:val="00C23D98"/>
    <w:rsid w:val="00CD1C8B"/>
    <w:rsid w:val="00D0459C"/>
    <w:rsid w:val="00D06919"/>
    <w:rsid w:val="00D22F21"/>
    <w:rsid w:val="00D406FB"/>
    <w:rsid w:val="00D738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C31DC"/>
    <w:rsid w:val="058D3327"/>
    <w:rsid w:val="05B16C1D"/>
    <w:rsid w:val="05E730FB"/>
    <w:rsid w:val="061E31B0"/>
    <w:rsid w:val="063C3559"/>
    <w:rsid w:val="0653327E"/>
    <w:rsid w:val="067A04E9"/>
    <w:rsid w:val="06A55FC9"/>
    <w:rsid w:val="06AB37A3"/>
    <w:rsid w:val="06EB18BE"/>
    <w:rsid w:val="06F91373"/>
    <w:rsid w:val="07127C1C"/>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89709B"/>
    <w:rsid w:val="0F8E0D44"/>
    <w:rsid w:val="0FB96372"/>
    <w:rsid w:val="0FC37304"/>
    <w:rsid w:val="0FCE6CA6"/>
    <w:rsid w:val="0FDF7909"/>
    <w:rsid w:val="0FEF586D"/>
    <w:rsid w:val="0FFED1D8"/>
    <w:rsid w:val="100E61F1"/>
    <w:rsid w:val="10714BCA"/>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D777E7"/>
    <w:rsid w:val="14032E0E"/>
    <w:rsid w:val="1411085C"/>
    <w:rsid w:val="14120302"/>
    <w:rsid w:val="144F64EE"/>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5F8C384"/>
    <w:rsid w:val="169D6C0C"/>
    <w:rsid w:val="16A060B1"/>
    <w:rsid w:val="16BD7BFC"/>
    <w:rsid w:val="16C00BCF"/>
    <w:rsid w:val="16C200A7"/>
    <w:rsid w:val="16C54EE5"/>
    <w:rsid w:val="16C54FCF"/>
    <w:rsid w:val="16E06F52"/>
    <w:rsid w:val="16F05CB3"/>
    <w:rsid w:val="16F7346E"/>
    <w:rsid w:val="17006955"/>
    <w:rsid w:val="1703397C"/>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BD4F55"/>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E7DC64"/>
    <w:rsid w:val="1DF41A03"/>
    <w:rsid w:val="1DF722E9"/>
    <w:rsid w:val="1E7ED145"/>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9F32DA"/>
    <w:rsid w:val="25A26B9E"/>
    <w:rsid w:val="25B50677"/>
    <w:rsid w:val="25CD625A"/>
    <w:rsid w:val="25DF9CD3"/>
    <w:rsid w:val="25E31ACB"/>
    <w:rsid w:val="2603596E"/>
    <w:rsid w:val="261457E5"/>
    <w:rsid w:val="2614741E"/>
    <w:rsid w:val="26526993"/>
    <w:rsid w:val="265C71AB"/>
    <w:rsid w:val="265E6149"/>
    <w:rsid w:val="26A2644A"/>
    <w:rsid w:val="26BF2702"/>
    <w:rsid w:val="26D72A9C"/>
    <w:rsid w:val="26D9450D"/>
    <w:rsid w:val="270B55FD"/>
    <w:rsid w:val="2718473C"/>
    <w:rsid w:val="275405E2"/>
    <w:rsid w:val="276F60D3"/>
    <w:rsid w:val="277E2115"/>
    <w:rsid w:val="278A6AED"/>
    <w:rsid w:val="27B330D3"/>
    <w:rsid w:val="27D73FB5"/>
    <w:rsid w:val="27DD1AC9"/>
    <w:rsid w:val="280E4DA9"/>
    <w:rsid w:val="2821102E"/>
    <w:rsid w:val="28360750"/>
    <w:rsid w:val="284B1866"/>
    <w:rsid w:val="28966573"/>
    <w:rsid w:val="289E7F40"/>
    <w:rsid w:val="28EE20F0"/>
    <w:rsid w:val="28F79117"/>
    <w:rsid w:val="2902463D"/>
    <w:rsid w:val="290D041C"/>
    <w:rsid w:val="291B3CEF"/>
    <w:rsid w:val="29363C40"/>
    <w:rsid w:val="29443FB0"/>
    <w:rsid w:val="29513A4C"/>
    <w:rsid w:val="296F53A2"/>
    <w:rsid w:val="29797096"/>
    <w:rsid w:val="29837114"/>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821"/>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97C55F"/>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6F9A83"/>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ED0573"/>
    <w:rsid w:val="35FEE9D5"/>
    <w:rsid w:val="35FF882F"/>
    <w:rsid w:val="36044BB8"/>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DC7AE8"/>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B7C61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090F6A"/>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729DE"/>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C57C74"/>
    <w:rsid w:val="44E71F3D"/>
    <w:rsid w:val="44EF286E"/>
    <w:rsid w:val="457654BD"/>
    <w:rsid w:val="45781435"/>
    <w:rsid w:val="458F461A"/>
    <w:rsid w:val="45A809B5"/>
    <w:rsid w:val="45B2422F"/>
    <w:rsid w:val="45B51851"/>
    <w:rsid w:val="45BD31FC"/>
    <w:rsid w:val="45BF1B18"/>
    <w:rsid w:val="45C03E43"/>
    <w:rsid w:val="45CF606B"/>
    <w:rsid w:val="45DA659D"/>
    <w:rsid w:val="45E63C2A"/>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BFD9DF"/>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A91C91"/>
    <w:rsid w:val="4DB9F78C"/>
    <w:rsid w:val="4DCA17BE"/>
    <w:rsid w:val="4DE52F92"/>
    <w:rsid w:val="4DE777E6"/>
    <w:rsid w:val="4DED67BF"/>
    <w:rsid w:val="4E6DB298"/>
    <w:rsid w:val="4E7816D4"/>
    <w:rsid w:val="4EAFD821"/>
    <w:rsid w:val="4EBC0FDC"/>
    <w:rsid w:val="4EBE67B2"/>
    <w:rsid w:val="4F260F14"/>
    <w:rsid w:val="4F3374B4"/>
    <w:rsid w:val="4F3DFD49"/>
    <w:rsid w:val="4F4F65BB"/>
    <w:rsid w:val="4F6036C3"/>
    <w:rsid w:val="4F77A3DB"/>
    <w:rsid w:val="4F7B626C"/>
    <w:rsid w:val="4FB60EB6"/>
    <w:rsid w:val="4FC9436C"/>
    <w:rsid w:val="4FD72B41"/>
    <w:rsid w:val="4FF36A56"/>
    <w:rsid w:val="4FF41F1D"/>
    <w:rsid w:val="4FFE1847"/>
    <w:rsid w:val="4FFF086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5112A5"/>
    <w:rsid w:val="54756E9F"/>
    <w:rsid w:val="54BEB7BD"/>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C6473B"/>
    <w:rsid w:val="56CC6EAB"/>
    <w:rsid w:val="56D74735"/>
    <w:rsid w:val="56DE000D"/>
    <w:rsid w:val="56F33945"/>
    <w:rsid w:val="56F6DAB0"/>
    <w:rsid w:val="571D495C"/>
    <w:rsid w:val="574645BE"/>
    <w:rsid w:val="576919EA"/>
    <w:rsid w:val="57732AC1"/>
    <w:rsid w:val="577D65AF"/>
    <w:rsid w:val="577F6FDC"/>
    <w:rsid w:val="57843B76"/>
    <w:rsid w:val="57A52339"/>
    <w:rsid w:val="57AC5A1C"/>
    <w:rsid w:val="57B66A9F"/>
    <w:rsid w:val="57B95083"/>
    <w:rsid w:val="57D9D5BC"/>
    <w:rsid w:val="57DD7529"/>
    <w:rsid w:val="57DE385A"/>
    <w:rsid w:val="57DF2C92"/>
    <w:rsid w:val="57F306A6"/>
    <w:rsid w:val="57F7D34F"/>
    <w:rsid w:val="57F8EF97"/>
    <w:rsid w:val="57FD6F33"/>
    <w:rsid w:val="57FE9A6A"/>
    <w:rsid w:val="57FF410E"/>
    <w:rsid w:val="57FF62C0"/>
    <w:rsid w:val="581727A0"/>
    <w:rsid w:val="583BBBA1"/>
    <w:rsid w:val="5873337D"/>
    <w:rsid w:val="58741794"/>
    <w:rsid w:val="587E07B8"/>
    <w:rsid w:val="58AF4E41"/>
    <w:rsid w:val="58B41022"/>
    <w:rsid w:val="58B97F29"/>
    <w:rsid w:val="58C46B40"/>
    <w:rsid w:val="58DA705B"/>
    <w:rsid w:val="58E72F20"/>
    <w:rsid w:val="58FB1F94"/>
    <w:rsid w:val="592D53E5"/>
    <w:rsid w:val="59482DC3"/>
    <w:rsid w:val="594C2C9B"/>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A3F4B"/>
    <w:rsid w:val="5BDC5203"/>
    <w:rsid w:val="5BEE2622"/>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51100"/>
    <w:rsid w:val="5EBD085D"/>
    <w:rsid w:val="5EBFC788"/>
    <w:rsid w:val="5EC50CAA"/>
    <w:rsid w:val="5ECA649A"/>
    <w:rsid w:val="5ECFC980"/>
    <w:rsid w:val="5EDB06B5"/>
    <w:rsid w:val="5EE70D55"/>
    <w:rsid w:val="5EF09A9F"/>
    <w:rsid w:val="5EFD8B08"/>
    <w:rsid w:val="5EFE6967"/>
    <w:rsid w:val="5EFFEE16"/>
    <w:rsid w:val="5F0757FB"/>
    <w:rsid w:val="5F0C3810"/>
    <w:rsid w:val="5F143E66"/>
    <w:rsid w:val="5F195058"/>
    <w:rsid w:val="5F2008EF"/>
    <w:rsid w:val="5F2D5298"/>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BFE689"/>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8B5661"/>
    <w:rsid w:val="629B6D4B"/>
    <w:rsid w:val="62B76960"/>
    <w:rsid w:val="62E654A9"/>
    <w:rsid w:val="631B7965"/>
    <w:rsid w:val="633E09DF"/>
    <w:rsid w:val="63441EDC"/>
    <w:rsid w:val="634B7CDF"/>
    <w:rsid w:val="637B471D"/>
    <w:rsid w:val="63904125"/>
    <w:rsid w:val="63B55F66"/>
    <w:rsid w:val="63D461A2"/>
    <w:rsid w:val="63F6AF09"/>
    <w:rsid w:val="63F75FE1"/>
    <w:rsid w:val="6407213A"/>
    <w:rsid w:val="64200576"/>
    <w:rsid w:val="6432530E"/>
    <w:rsid w:val="647B80EC"/>
    <w:rsid w:val="64A2696B"/>
    <w:rsid w:val="64C748BF"/>
    <w:rsid w:val="64CA6A88"/>
    <w:rsid w:val="64D709CE"/>
    <w:rsid w:val="6507390C"/>
    <w:rsid w:val="651D1CF3"/>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53B605"/>
    <w:rsid w:val="6763731F"/>
    <w:rsid w:val="6772763E"/>
    <w:rsid w:val="6775352F"/>
    <w:rsid w:val="677EA2CA"/>
    <w:rsid w:val="67875BEC"/>
    <w:rsid w:val="6797C3E4"/>
    <w:rsid w:val="67981E55"/>
    <w:rsid w:val="679A30E1"/>
    <w:rsid w:val="67BB5DCF"/>
    <w:rsid w:val="67CF4B12"/>
    <w:rsid w:val="67D56C7D"/>
    <w:rsid w:val="67DB7D86"/>
    <w:rsid w:val="67EDB27E"/>
    <w:rsid w:val="67EDBDA0"/>
    <w:rsid w:val="67FF0E94"/>
    <w:rsid w:val="68835F71"/>
    <w:rsid w:val="68EE5790"/>
    <w:rsid w:val="690432A4"/>
    <w:rsid w:val="6915146D"/>
    <w:rsid w:val="692F6DAF"/>
    <w:rsid w:val="69787C50"/>
    <w:rsid w:val="697FCD9D"/>
    <w:rsid w:val="6987583A"/>
    <w:rsid w:val="69964C41"/>
    <w:rsid w:val="69C26DD9"/>
    <w:rsid w:val="69D45A86"/>
    <w:rsid w:val="69E80CC5"/>
    <w:rsid w:val="69F63C71"/>
    <w:rsid w:val="69F6F957"/>
    <w:rsid w:val="6A1F4150"/>
    <w:rsid w:val="6A2D1CCF"/>
    <w:rsid w:val="6A7E092E"/>
    <w:rsid w:val="6A904237"/>
    <w:rsid w:val="6AB5277B"/>
    <w:rsid w:val="6AEBD79B"/>
    <w:rsid w:val="6AF040E0"/>
    <w:rsid w:val="6AF711C0"/>
    <w:rsid w:val="6AFAFFD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EFC8D0"/>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D3F1C"/>
    <w:rsid w:val="6E6F13E2"/>
    <w:rsid w:val="6E7F4EDF"/>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DF893A"/>
    <w:rsid w:val="6FE70858"/>
    <w:rsid w:val="6FE71825"/>
    <w:rsid w:val="6FEB3409"/>
    <w:rsid w:val="6FF2EFD2"/>
    <w:rsid w:val="6FF55067"/>
    <w:rsid w:val="6FF70C7C"/>
    <w:rsid w:val="6FF736B6"/>
    <w:rsid w:val="6FF9061E"/>
    <w:rsid w:val="6FFE666F"/>
    <w:rsid w:val="6FFEE4E9"/>
    <w:rsid w:val="704A5458"/>
    <w:rsid w:val="705F6570"/>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3F77A"/>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E77EFD"/>
    <w:rsid w:val="74FB735B"/>
    <w:rsid w:val="7519F0F1"/>
    <w:rsid w:val="753A75CE"/>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D76BDA"/>
    <w:rsid w:val="76E9CBF5"/>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EA7643"/>
    <w:rsid w:val="77FB1360"/>
    <w:rsid w:val="77FBF545"/>
    <w:rsid w:val="77FC65BD"/>
    <w:rsid w:val="77FD2258"/>
    <w:rsid w:val="77FDAFC9"/>
    <w:rsid w:val="77FDD67D"/>
    <w:rsid w:val="77FFAA62"/>
    <w:rsid w:val="78267840"/>
    <w:rsid w:val="7884684B"/>
    <w:rsid w:val="788F6003"/>
    <w:rsid w:val="78A6232C"/>
    <w:rsid w:val="78BE02B4"/>
    <w:rsid w:val="78BF6301"/>
    <w:rsid w:val="78FD9EBC"/>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211BE0"/>
    <w:rsid w:val="7B3604A3"/>
    <w:rsid w:val="7B64B9A8"/>
    <w:rsid w:val="7B77B281"/>
    <w:rsid w:val="7B7E3534"/>
    <w:rsid w:val="7B975221"/>
    <w:rsid w:val="7BA47726"/>
    <w:rsid w:val="7BB23E9F"/>
    <w:rsid w:val="7BBE7689"/>
    <w:rsid w:val="7BCA5CF9"/>
    <w:rsid w:val="7BCF053D"/>
    <w:rsid w:val="7BCFB8A0"/>
    <w:rsid w:val="7BDB8B1C"/>
    <w:rsid w:val="7BDE04C2"/>
    <w:rsid w:val="7BDF1B52"/>
    <w:rsid w:val="7BDFF045"/>
    <w:rsid w:val="7BE627E0"/>
    <w:rsid w:val="7BED0A2D"/>
    <w:rsid w:val="7BEF63A1"/>
    <w:rsid w:val="7BF2732B"/>
    <w:rsid w:val="7BF36A1C"/>
    <w:rsid w:val="7BF73FA3"/>
    <w:rsid w:val="7BF7FA5E"/>
    <w:rsid w:val="7BF84618"/>
    <w:rsid w:val="7BF98F73"/>
    <w:rsid w:val="7BFBE961"/>
    <w:rsid w:val="7BFCCF9A"/>
    <w:rsid w:val="7BFD23BE"/>
    <w:rsid w:val="7BFF1252"/>
    <w:rsid w:val="7BFF4CBB"/>
    <w:rsid w:val="7BFF804B"/>
    <w:rsid w:val="7BFFBEF3"/>
    <w:rsid w:val="7BFFFB61"/>
    <w:rsid w:val="7C199E8E"/>
    <w:rsid w:val="7C1E4662"/>
    <w:rsid w:val="7C51667B"/>
    <w:rsid w:val="7C6FAC73"/>
    <w:rsid w:val="7C805BDF"/>
    <w:rsid w:val="7C960D11"/>
    <w:rsid w:val="7C9D15C7"/>
    <w:rsid w:val="7CBE8518"/>
    <w:rsid w:val="7CD09542"/>
    <w:rsid w:val="7CD51442"/>
    <w:rsid w:val="7CEC546D"/>
    <w:rsid w:val="7CF11320"/>
    <w:rsid w:val="7CF81A8E"/>
    <w:rsid w:val="7CFE4646"/>
    <w:rsid w:val="7D4877F9"/>
    <w:rsid w:val="7D5F766F"/>
    <w:rsid w:val="7D772C0B"/>
    <w:rsid w:val="7D7F3FD0"/>
    <w:rsid w:val="7D804B82"/>
    <w:rsid w:val="7D841571"/>
    <w:rsid w:val="7D9E4DCD"/>
    <w:rsid w:val="7DAE0760"/>
    <w:rsid w:val="7DB44617"/>
    <w:rsid w:val="7DB912C6"/>
    <w:rsid w:val="7DCDEB79"/>
    <w:rsid w:val="7DCFA9AF"/>
    <w:rsid w:val="7DEFDD4D"/>
    <w:rsid w:val="7DF55D84"/>
    <w:rsid w:val="7DF5E540"/>
    <w:rsid w:val="7DFFD3A2"/>
    <w:rsid w:val="7E15D1C6"/>
    <w:rsid w:val="7E1861B4"/>
    <w:rsid w:val="7E1E6385"/>
    <w:rsid w:val="7E1FF0C7"/>
    <w:rsid w:val="7E3D5B49"/>
    <w:rsid w:val="7E3D6278"/>
    <w:rsid w:val="7E47238B"/>
    <w:rsid w:val="7E4F8CD2"/>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5995"/>
    <w:rsid w:val="7EFFCA79"/>
    <w:rsid w:val="7F0B523C"/>
    <w:rsid w:val="7F1A2ADD"/>
    <w:rsid w:val="7F1FE4C4"/>
    <w:rsid w:val="7F2E9941"/>
    <w:rsid w:val="7F3AC36D"/>
    <w:rsid w:val="7F3F0374"/>
    <w:rsid w:val="7F3F48D2"/>
    <w:rsid w:val="7F3F8307"/>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AD3878"/>
    <w:rsid w:val="7FAF19EE"/>
    <w:rsid w:val="7FB9C803"/>
    <w:rsid w:val="7FBA1318"/>
    <w:rsid w:val="7FBBD329"/>
    <w:rsid w:val="7FBD0D9F"/>
    <w:rsid w:val="7FBD0DDC"/>
    <w:rsid w:val="7FBD3C31"/>
    <w:rsid w:val="7FBD6887"/>
    <w:rsid w:val="7FBF10A2"/>
    <w:rsid w:val="7FBF4759"/>
    <w:rsid w:val="7FC7B7AE"/>
    <w:rsid w:val="7FCB0E86"/>
    <w:rsid w:val="7FCDBC4D"/>
    <w:rsid w:val="7FCFE3A1"/>
    <w:rsid w:val="7FD7B55D"/>
    <w:rsid w:val="7FDA4A78"/>
    <w:rsid w:val="7FDBD71A"/>
    <w:rsid w:val="7FDE6D84"/>
    <w:rsid w:val="7FDF0F57"/>
    <w:rsid w:val="7FDF8A26"/>
    <w:rsid w:val="7FDF9583"/>
    <w:rsid w:val="7FE45506"/>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DA9F"/>
    <w:rsid w:val="7FFFEDA8"/>
    <w:rsid w:val="7FFFFFF5"/>
    <w:rsid w:val="80FFD23B"/>
    <w:rsid w:val="87647AF8"/>
    <w:rsid w:val="87FBEAE8"/>
    <w:rsid w:val="8BAD3C64"/>
    <w:rsid w:val="8DFFD1AA"/>
    <w:rsid w:val="8EEFB323"/>
    <w:rsid w:val="8F3E3382"/>
    <w:rsid w:val="8F7302B9"/>
    <w:rsid w:val="8FBB9A55"/>
    <w:rsid w:val="91DFE8F5"/>
    <w:rsid w:val="93DB74AF"/>
    <w:rsid w:val="97D71DFE"/>
    <w:rsid w:val="99ED0C9D"/>
    <w:rsid w:val="99FEE736"/>
    <w:rsid w:val="9A1E0A07"/>
    <w:rsid w:val="9B1F6BC4"/>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DFF670"/>
    <w:rsid w:val="9FF6BE78"/>
    <w:rsid w:val="9FFFBA19"/>
    <w:rsid w:val="9FFFF6C8"/>
    <w:rsid w:val="A4F29759"/>
    <w:rsid w:val="A56A5B4C"/>
    <w:rsid w:val="A5FD887E"/>
    <w:rsid w:val="A69E7D90"/>
    <w:rsid w:val="A798F561"/>
    <w:rsid w:val="A7CF7B0F"/>
    <w:rsid w:val="A7F5298F"/>
    <w:rsid w:val="A9FBD03D"/>
    <w:rsid w:val="ABF7DC2D"/>
    <w:rsid w:val="ABFDE009"/>
    <w:rsid w:val="ABFFE5E5"/>
    <w:rsid w:val="AD6D9B49"/>
    <w:rsid w:val="ADFA5E98"/>
    <w:rsid w:val="AEAF57D7"/>
    <w:rsid w:val="AEBFBB0B"/>
    <w:rsid w:val="AEF841E1"/>
    <w:rsid w:val="AF3EBA8C"/>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743D77"/>
    <w:rsid w:val="B6F78BBC"/>
    <w:rsid w:val="B6FF2A8E"/>
    <w:rsid w:val="B6FF60FB"/>
    <w:rsid w:val="B73B3728"/>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3E3D98"/>
    <w:rsid w:val="BB5D82F3"/>
    <w:rsid w:val="BB6D2A73"/>
    <w:rsid w:val="BB77A2D1"/>
    <w:rsid w:val="BB7916AC"/>
    <w:rsid w:val="BBB26A87"/>
    <w:rsid w:val="BBCF4FBF"/>
    <w:rsid w:val="BBDD7A8B"/>
    <w:rsid w:val="BBDEB2DA"/>
    <w:rsid w:val="BBDF3B74"/>
    <w:rsid w:val="BBDFEAAB"/>
    <w:rsid w:val="BBFE9003"/>
    <w:rsid w:val="BC35AEB4"/>
    <w:rsid w:val="BCCD3A25"/>
    <w:rsid w:val="BD6A2F93"/>
    <w:rsid w:val="BD7FB6AF"/>
    <w:rsid w:val="BD9FB11C"/>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EFFF11B"/>
    <w:rsid w:val="BF3A91C7"/>
    <w:rsid w:val="BF604D9D"/>
    <w:rsid w:val="BF6BD8BA"/>
    <w:rsid w:val="BF76AA92"/>
    <w:rsid w:val="BF76E7B0"/>
    <w:rsid w:val="BF793CE4"/>
    <w:rsid w:val="BF7E4088"/>
    <w:rsid w:val="BF7F3C1C"/>
    <w:rsid w:val="BF9A05E5"/>
    <w:rsid w:val="BFA12AD0"/>
    <w:rsid w:val="BFB75766"/>
    <w:rsid w:val="BFBD201B"/>
    <w:rsid w:val="BFBD622E"/>
    <w:rsid w:val="BFBFCBD6"/>
    <w:rsid w:val="BFDBC591"/>
    <w:rsid w:val="BFDC8098"/>
    <w:rsid w:val="BFDFF8CA"/>
    <w:rsid w:val="BFE32A1E"/>
    <w:rsid w:val="BFE7CE16"/>
    <w:rsid w:val="BFEDD8B4"/>
    <w:rsid w:val="BFEEB6FB"/>
    <w:rsid w:val="BFEF8AF5"/>
    <w:rsid w:val="BFF5BC68"/>
    <w:rsid w:val="BFF7C788"/>
    <w:rsid w:val="BFF8B842"/>
    <w:rsid w:val="BFFC6D96"/>
    <w:rsid w:val="BFFF0B13"/>
    <w:rsid w:val="BFFFF591"/>
    <w:rsid w:val="C57B30B2"/>
    <w:rsid w:val="C5923726"/>
    <w:rsid w:val="C5BF2169"/>
    <w:rsid w:val="C5DF0AA3"/>
    <w:rsid w:val="C7470024"/>
    <w:rsid w:val="CB339C4C"/>
    <w:rsid w:val="CB5FE9A0"/>
    <w:rsid w:val="CBBD9BF9"/>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BDE6DD"/>
    <w:rsid w:val="D3F707AB"/>
    <w:rsid w:val="D3F7AEF2"/>
    <w:rsid w:val="D3FA2600"/>
    <w:rsid w:val="D3FF6AE8"/>
    <w:rsid w:val="D45FBA60"/>
    <w:rsid w:val="D4BDA523"/>
    <w:rsid w:val="D5FD486A"/>
    <w:rsid w:val="D5FD875C"/>
    <w:rsid w:val="D5FF1039"/>
    <w:rsid w:val="D6EB4C31"/>
    <w:rsid w:val="D6FB81AA"/>
    <w:rsid w:val="D73FAC7A"/>
    <w:rsid w:val="D7BBF31B"/>
    <w:rsid w:val="D7D5CC6F"/>
    <w:rsid w:val="D7DE753A"/>
    <w:rsid w:val="D7E09F42"/>
    <w:rsid w:val="D7FB59A0"/>
    <w:rsid w:val="D7FED8D0"/>
    <w:rsid w:val="D7FF672B"/>
    <w:rsid w:val="D7FFF9DF"/>
    <w:rsid w:val="D8A9D188"/>
    <w:rsid w:val="D9719662"/>
    <w:rsid w:val="D9BD42E9"/>
    <w:rsid w:val="D9BE4408"/>
    <w:rsid w:val="DABFB485"/>
    <w:rsid w:val="DB1FC230"/>
    <w:rsid w:val="DB2E96B1"/>
    <w:rsid w:val="DB99523A"/>
    <w:rsid w:val="DBBFC65C"/>
    <w:rsid w:val="DBCB3E80"/>
    <w:rsid w:val="DBD5E18D"/>
    <w:rsid w:val="DBDD1800"/>
    <w:rsid w:val="DBEA5FD9"/>
    <w:rsid w:val="DBF5FCE0"/>
    <w:rsid w:val="DBF6C713"/>
    <w:rsid w:val="DBFAB6E2"/>
    <w:rsid w:val="DBFDE20D"/>
    <w:rsid w:val="DBFF2B01"/>
    <w:rsid w:val="DBFFB739"/>
    <w:rsid w:val="DC7FF3D4"/>
    <w:rsid w:val="DCBDD353"/>
    <w:rsid w:val="DCE9A5E8"/>
    <w:rsid w:val="DCEBD107"/>
    <w:rsid w:val="DCEFE6D6"/>
    <w:rsid w:val="DCF18845"/>
    <w:rsid w:val="DCFE0F4D"/>
    <w:rsid w:val="DD722B29"/>
    <w:rsid w:val="DDAB0F76"/>
    <w:rsid w:val="DDDCC728"/>
    <w:rsid w:val="DDFE9AAD"/>
    <w:rsid w:val="DEAC06F5"/>
    <w:rsid w:val="DEAF3FB5"/>
    <w:rsid w:val="DEBE04B8"/>
    <w:rsid w:val="DEBFF87C"/>
    <w:rsid w:val="DECD45E5"/>
    <w:rsid w:val="DED7F2B4"/>
    <w:rsid w:val="DEDFDF58"/>
    <w:rsid w:val="DEE54E08"/>
    <w:rsid w:val="DEE670BC"/>
    <w:rsid w:val="DEFDB41D"/>
    <w:rsid w:val="DF37A205"/>
    <w:rsid w:val="DF3F1911"/>
    <w:rsid w:val="DF6DD13C"/>
    <w:rsid w:val="DF763325"/>
    <w:rsid w:val="DF78CB1A"/>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73EF5"/>
    <w:rsid w:val="DFEC7A3A"/>
    <w:rsid w:val="DFEFA24D"/>
    <w:rsid w:val="DFEFFE04"/>
    <w:rsid w:val="DFF0F891"/>
    <w:rsid w:val="DFF1EC04"/>
    <w:rsid w:val="DFF30972"/>
    <w:rsid w:val="DFF72CF6"/>
    <w:rsid w:val="DFFB4111"/>
    <w:rsid w:val="DFFBC7E1"/>
    <w:rsid w:val="DFFCACE0"/>
    <w:rsid w:val="DFFF2B5D"/>
    <w:rsid w:val="DFFF3928"/>
    <w:rsid w:val="DFFFB827"/>
    <w:rsid w:val="E0FBC29F"/>
    <w:rsid w:val="E17F3390"/>
    <w:rsid w:val="E1BDB81F"/>
    <w:rsid w:val="E1EF2A08"/>
    <w:rsid w:val="E2CDAC7E"/>
    <w:rsid w:val="E2ED36E5"/>
    <w:rsid w:val="E5BFBD14"/>
    <w:rsid w:val="E5FD79EC"/>
    <w:rsid w:val="E69DB6F6"/>
    <w:rsid w:val="E6EEE5E3"/>
    <w:rsid w:val="E6FA0EAF"/>
    <w:rsid w:val="E6FF671B"/>
    <w:rsid w:val="E774A128"/>
    <w:rsid w:val="E7BECC07"/>
    <w:rsid w:val="E7DD1255"/>
    <w:rsid w:val="E7E8552A"/>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5A0704"/>
    <w:rsid w:val="EB7E0D37"/>
    <w:rsid w:val="EBAD28DF"/>
    <w:rsid w:val="EBB6D35F"/>
    <w:rsid w:val="EBBF4A2E"/>
    <w:rsid w:val="EBBFAF58"/>
    <w:rsid w:val="EBD957CC"/>
    <w:rsid w:val="EBDFCE57"/>
    <w:rsid w:val="EBFBA9D6"/>
    <w:rsid w:val="EBFD03CE"/>
    <w:rsid w:val="EBFFD39E"/>
    <w:rsid w:val="EC75EFAF"/>
    <w:rsid w:val="EC7FA350"/>
    <w:rsid w:val="ECF1EE47"/>
    <w:rsid w:val="ECF3EF46"/>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B99481"/>
    <w:rsid w:val="EFBAEAA7"/>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3F20A1"/>
    <w:rsid w:val="F2899859"/>
    <w:rsid w:val="F2BF5C01"/>
    <w:rsid w:val="F2CD36F5"/>
    <w:rsid w:val="F2DCE203"/>
    <w:rsid w:val="F2FBA260"/>
    <w:rsid w:val="F32FE83B"/>
    <w:rsid w:val="F3723DB1"/>
    <w:rsid w:val="F3D7D169"/>
    <w:rsid w:val="F3EA0697"/>
    <w:rsid w:val="F3EF2933"/>
    <w:rsid w:val="F3F2F550"/>
    <w:rsid w:val="F3F5BEE9"/>
    <w:rsid w:val="F3F8EE6C"/>
    <w:rsid w:val="F3FB14F0"/>
    <w:rsid w:val="F3FF05B4"/>
    <w:rsid w:val="F3FFD2DD"/>
    <w:rsid w:val="F4571BDB"/>
    <w:rsid w:val="F4BF339E"/>
    <w:rsid w:val="F4CF00A8"/>
    <w:rsid w:val="F56D78F0"/>
    <w:rsid w:val="F57EA373"/>
    <w:rsid w:val="F5AB4465"/>
    <w:rsid w:val="F5AF1AAC"/>
    <w:rsid w:val="F5BF2197"/>
    <w:rsid w:val="F5D6D416"/>
    <w:rsid w:val="F5EF5BA1"/>
    <w:rsid w:val="F5FFA048"/>
    <w:rsid w:val="F66E6811"/>
    <w:rsid w:val="F6F676D6"/>
    <w:rsid w:val="F6F715DC"/>
    <w:rsid w:val="F6FC548F"/>
    <w:rsid w:val="F6FF0645"/>
    <w:rsid w:val="F6FFF807"/>
    <w:rsid w:val="F70F4387"/>
    <w:rsid w:val="F737D671"/>
    <w:rsid w:val="F74CB9BB"/>
    <w:rsid w:val="F75DEE87"/>
    <w:rsid w:val="F76FC34E"/>
    <w:rsid w:val="F77EAFBC"/>
    <w:rsid w:val="F79BF327"/>
    <w:rsid w:val="F7B72CE9"/>
    <w:rsid w:val="F7BB0BC8"/>
    <w:rsid w:val="F7BB5C28"/>
    <w:rsid w:val="F7BB7DA5"/>
    <w:rsid w:val="F7BF4B69"/>
    <w:rsid w:val="F7BFDD02"/>
    <w:rsid w:val="F7C640FC"/>
    <w:rsid w:val="F7CB3D4A"/>
    <w:rsid w:val="F7CF8CCD"/>
    <w:rsid w:val="F7D30B5E"/>
    <w:rsid w:val="F7D5FA45"/>
    <w:rsid w:val="F7DF177A"/>
    <w:rsid w:val="F7DFD18F"/>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99C915"/>
    <w:rsid w:val="F9FA94DA"/>
    <w:rsid w:val="F9FFCD8A"/>
    <w:rsid w:val="F9FFE9E2"/>
    <w:rsid w:val="FA673975"/>
    <w:rsid w:val="FA6F5FA1"/>
    <w:rsid w:val="FA6F7A3B"/>
    <w:rsid w:val="FA9F3B8F"/>
    <w:rsid w:val="FABB1ADF"/>
    <w:rsid w:val="FAFB5879"/>
    <w:rsid w:val="FAFFE8B1"/>
    <w:rsid w:val="FB0FA5A1"/>
    <w:rsid w:val="FB1B2E8B"/>
    <w:rsid w:val="FB3F993E"/>
    <w:rsid w:val="FB5DDB87"/>
    <w:rsid w:val="FB5F7A41"/>
    <w:rsid w:val="FB6141D0"/>
    <w:rsid w:val="FB6DADAC"/>
    <w:rsid w:val="FB737713"/>
    <w:rsid w:val="FB7620CB"/>
    <w:rsid w:val="FBAD924E"/>
    <w:rsid w:val="FBB3B80B"/>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DD3D"/>
    <w:rsid w:val="FBFFFF9E"/>
    <w:rsid w:val="FC2F7095"/>
    <w:rsid w:val="FC45570C"/>
    <w:rsid w:val="FC5D01CF"/>
    <w:rsid w:val="FC7390B6"/>
    <w:rsid w:val="FC7D08FF"/>
    <w:rsid w:val="FCBD7C47"/>
    <w:rsid w:val="FCCAE4B4"/>
    <w:rsid w:val="FCDF586A"/>
    <w:rsid w:val="FCEF4AA4"/>
    <w:rsid w:val="FCF3C0FF"/>
    <w:rsid w:val="FCFE3BF1"/>
    <w:rsid w:val="FCFFC7AA"/>
    <w:rsid w:val="FD1F198B"/>
    <w:rsid w:val="FD3D1E0E"/>
    <w:rsid w:val="FD5A3379"/>
    <w:rsid w:val="FD7F9963"/>
    <w:rsid w:val="FD8F501F"/>
    <w:rsid w:val="FD9F4A15"/>
    <w:rsid w:val="FDAFF0EB"/>
    <w:rsid w:val="FDBE483E"/>
    <w:rsid w:val="FDCBF945"/>
    <w:rsid w:val="FDDF292B"/>
    <w:rsid w:val="FDE47190"/>
    <w:rsid w:val="FDEB5CB7"/>
    <w:rsid w:val="FDEB6716"/>
    <w:rsid w:val="FDEF2A04"/>
    <w:rsid w:val="FDF399A8"/>
    <w:rsid w:val="FDF97ECA"/>
    <w:rsid w:val="FDFD1D0F"/>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DFB70C"/>
    <w:rsid w:val="FEEF0ED8"/>
    <w:rsid w:val="FEF608EA"/>
    <w:rsid w:val="FEF7D53C"/>
    <w:rsid w:val="FEF99CBF"/>
    <w:rsid w:val="FEFC12E3"/>
    <w:rsid w:val="FEFEA587"/>
    <w:rsid w:val="FEFF7BD4"/>
    <w:rsid w:val="FF1E1442"/>
    <w:rsid w:val="FF3D390A"/>
    <w:rsid w:val="FF3E59B5"/>
    <w:rsid w:val="FF4FE9F1"/>
    <w:rsid w:val="FF5B8D7F"/>
    <w:rsid w:val="FF5D1F29"/>
    <w:rsid w:val="FF659D82"/>
    <w:rsid w:val="FF660C39"/>
    <w:rsid w:val="FF6BA83A"/>
    <w:rsid w:val="FF6C3765"/>
    <w:rsid w:val="FF6F0E8D"/>
    <w:rsid w:val="FF6FB5D7"/>
    <w:rsid w:val="FF738773"/>
    <w:rsid w:val="FF75DB73"/>
    <w:rsid w:val="FF76FAD4"/>
    <w:rsid w:val="FF7AEC13"/>
    <w:rsid w:val="FF7B056A"/>
    <w:rsid w:val="FF7B52EA"/>
    <w:rsid w:val="FF7B874E"/>
    <w:rsid w:val="FF7C84EC"/>
    <w:rsid w:val="FF7DC127"/>
    <w:rsid w:val="FF7EEB41"/>
    <w:rsid w:val="FF7F4185"/>
    <w:rsid w:val="FF7F4461"/>
    <w:rsid w:val="FF8F6649"/>
    <w:rsid w:val="FF97B671"/>
    <w:rsid w:val="FF9FA02E"/>
    <w:rsid w:val="FF9FA27F"/>
    <w:rsid w:val="FFA6D6F5"/>
    <w:rsid w:val="FFADDE42"/>
    <w:rsid w:val="FFAF5F11"/>
    <w:rsid w:val="FFAFD1D1"/>
    <w:rsid w:val="FFB2CB99"/>
    <w:rsid w:val="FFB769D4"/>
    <w:rsid w:val="FFB9A9CC"/>
    <w:rsid w:val="FFBCC349"/>
    <w:rsid w:val="FFBD8E1E"/>
    <w:rsid w:val="FFBEB8C7"/>
    <w:rsid w:val="FFBEC378"/>
    <w:rsid w:val="FFBF0390"/>
    <w:rsid w:val="FFC7C6F9"/>
    <w:rsid w:val="FFCC2759"/>
    <w:rsid w:val="FFCE4F99"/>
    <w:rsid w:val="FFCF23F3"/>
    <w:rsid w:val="FFCF688E"/>
    <w:rsid w:val="FFCF6C60"/>
    <w:rsid w:val="FFD1C576"/>
    <w:rsid w:val="FFD34341"/>
    <w:rsid w:val="FFD51B27"/>
    <w:rsid w:val="FFD55392"/>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AC08"/>
    <w:rsid w:val="FFFAFB73"/>
    <w:rsid w:val="FFFAFE94"/>
    <w:rsid w:val="FFFB0977"/>
    <w:rsid w:val="FFFB2B15"/>
    <w:rsid w:val="FFFBAE4E"/>
    <w:rsid w:val="FFFD5F2A"/>
    <w:rsid w:val="FFFD8BDA"/>
    <w:rsid w:val="FFFDC7E6"/>
    <w:rsid w:val="FFFDDB9B"/>
    <w:rsid w:val="FFFE0AE4"/>
    <w:rsid w:val="FFFE5B9E"/>
    <w:rsid w:val="FFFEAABD"/>
    <w:rsid w:val="FFFEAF29"/>
    <w:rsid w:val="FFFECC37"/>
    <w:rsid w:val="FFFF509D"/>
    <w:rsid w:val="FFFF56D4"/>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5">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6">
    <w:name w:val="heading 3"/>
    <w:basedOn w:val="1"/>
    <w:next w:val="1"/>
    <w:qFormat/>
    <w:uiPriority w:val="9"/>
    <w:pPr>
      <w:keepNext/>
      <w:keepLines/>
      <w:spacing w:before="260" w:after="260" w:line="416" w:lineRule="auto"/>
      <w:outlineLvl w:val="2"/>
    </w:pPr>
    <w:rPr>
      <w:bCs/>
      <w:szCs w:val="32"/>
    </w:rPr>
  </w:style>
  <w:style w:type="paragraph" w:styleId="7">
    <w:name w:val="heading 4"/>
    <w:basedOn w:val="1"/>
    <w:next w:val="1"/>
    <w:qFormat/>
    <w:uiPriority w:val="0"/>
    <w:pPr>
      <w:keepNext/>
      <w:keepLines/>
      <w:numPr>
        <w:ilvl w:val="3"/>
        <w:numId w:val="1"/>
      </w:numPr>
      <w:tabs>
        <w:tab w:val="left" w:pos="1726"/>
        <w:tab w:val="clear" w:pos="850"/>
      </w:tabs>
      <w:ind w:firstLine="0"/>
      <w:jc w:val="left"/>
      <w:outlineLvl w:val="3"/>
    </w:pPr>
    <w:rPr>
      <w:rFonts w:hAnsi="Arial"/>
      <w:bCs/>
      <w:szCs w:val="28"/>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line="480" w:lineRule="exact"/>
      <w:ind w:firstLine="480" w:firstLineChars="200"/>
    </w:pPr>
    <w:rPr>
      <w:rFonts w:ascii="宋体" w:hAnsi="宋体"/>
      <w:color w:val="FF0000"/>
      <w:kern w:val="0"/>
      <w:sz w:val="24"/>
    </w:rPr>
  </w:style>
  <w:style w:type="paragraph" w:styleId="3">
    <w:name w:val="Body Text First Indent 2"/>
    <w:basedOn w:val="2"/>
    <w:next w:val="1"/>
    <w:unhideWhenUsed/>
    <w:qFormat/>
    <w:uiPriority w:val="0"/>
    <w:pPr>
      <w:spacing w:after="120" w:line="240" w:lineRule="auto"/>
      <w:ind w:left="420" w:leftChars="200" w:firstLine="420"/>
    </w:pPr>
  </w:style>
  <w:style w:type="paragraph" w:styleId="8">
    <w:name w:val="Normal Indent"/>
    <w:basedOn w:val="1"/>
    <w:unhideWhenUsed/>
    <w:qFormat/>
    <w:uiPriority w:val="0"/>
    <w:pPr>
      <w:ind w:firstLine="420" w:firstLineChars="200"/>
    </w:pPr>
    <w:rPr>
      <w:kern w:val="0"/>
      <w:sz w:val="20"/>
    </w:rPr>
  </w:style>
  <w:style w:type="paragraph" w:styleId="9">
    <w:name w:val="annotation text"/>
    <w:basedOn w:val="1"/>
    <w:link w:val="31"/>
    <w:qFormat/>
    <w:uiPriority w:val="0"/>
    <w:pPr>
      <w:jc w:val="left"/>
    </w:pPr>
  </w:style>
  <w:style w:type="paragraph" w:styleId="10">
    <w:name w:val="Body Text"/>
    <w:basedOn w:val="1"/>
    <w:next w:val="1"/>
    <w:qFormat/>
    <w:uiPriority w:val="0"/>
    <w:pPr>
      <w:spacing w:after="120"/>
    </w:pPr>
  </w:style>
  <w:style w:type="paragraph" w:styleId="11">
    <w:name w:val="Plain Text"/>
    <w:basedOn w:val="1"/>
    <w:unhideWhenUsed/>
    <w:qFormat/>
    <w:uiPriority w:val="99"/>
    <w:rPr>
      <w:rFonts w:ascii="宋体" w:hAnsi="Courier New" w:cs="Courier New"/>
    </w:rPr>
  </w:style>
  <w:style w:type="paragraph" w:styleId="12">
    <w:name w:val="Body Text Indent 2"/>
    <w:basedOn w:val="1"/>
    <w:next w:val="1"/>
    <w:qFormat/>
    <w:uiPriority w:val="0"/>
    <w:pPr>
      <w:spacing w:line="460" w:lineRule="exact"/>
      <w:ind w:firstLine="600" w:firstLineChars="200"/>
    </w:pPr>
    <w:rPr>
      <w:rFonts w:ascii="仿宋_GB2312" w:hAnsi="宋体" w:eastAsia="仿宋_GB2312"/>
      <w:sz w:val="30"/>
      <w:szCs w:val="28"/>
    </w:rPr>
  </w:style>
  <w:style w:type="paragraph" w:styleId="13">
    <w:name w:val="Balloon Text"/>
    <w:basedOn w:val="1"/>
    <w:link w:val="33"/>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7">
    <w:name w:val="Normal (Web)"/>
    <w:basedOn w:val="1"/>
    <w:qFormat/>
    <w:uiPriority w:val="0"/>
    <w:pPr>
      <w:jc w:val="left"/>
    </w:pPr>
    <w:rPr>
      <w:kern w:val="0"/>
      <w:sz w:val="24"/>
    </w:rPr>
  </w:style>
  <w:style w:type="paragraph" w:styleId="18">
    <w:name w:val="annotation subject"/>
    <w:basedOn w:val="9"/>
    <w:next w:val="9"/>
    <w:link w:val="32"/>
    <w:qFormat/>
    <w:uiPriority w:val="0"/>
    <w:rPr>
      <w:b/>
      <w:bCs/>
    </w:rPr>
  </w:style>
  <w:style w:type="paragraph" w:styleId="19">
    <w:name w:val="Body Text First Indent"/>
    <w:basedOn w:val="10"/>
    <w:next w:val="1"/>
    <w:unhideWhenUsed/>
    <w:qFormat/>
    <w:uiPriority w:val="99"/>
    <w:pPr>
      <w:ind w:firstLine="420" w:firstLineChars="100"/>
    </w:pPr>
    <w:rPr>
      <w:szCs w:val="22"/>
    </w:rPr>
  </w:style>
  <w:style w:type="character" w:styleId="22">
    <w:name w:val="annotation reference"/>
    <w:basedOn w:val="21"/>
    <w:qFormat/>
    <w:uiPriority w:val="0"/>
    <w:rPr>
      <w:sz w:val="21"/>
      <w:szCs w:val="21"/>
    </w:rPr>
  </w:style>
  <w:style w:type="paragraph" w:customStyle="1" w:styleId="23">
    <w:name w:val="Default"/>
    <w:basedOn w:val="24"/>
    <w:next w:val="3"/>
    <w:qFormat/>
    <w:uiPriority w:val="0"/>
    <w:rPr>
      <w:rFonts w:ascii="仿宋_GB2312" w:eastAsia="仿宋_GB2312" w:cs="仿宋_GB2312"/>
      <w:sz w:val="24"/>
    </w:rPr>
  </w:style>
  <w:style w:type="paragraph" w:customStyle="1" w:styleId="24">
    <w:name w:val="纯文本1"/>
    <w:basedOn w:val="1"/>
    <w:qFormat/>
    <w:uiPriority w:val="0"/>
    <w:pPr>
      <w:autoSpaceDE w:val="0"/>
      <w:autoSpaceDN w:val="0"/>
      <w:adjustRightInd w:val="0"/>
      <w:snapToGrid w:val="0"/>
      <w:ind w:firstLine="476"/>
      <w:textAlignment w:val="baseline"/>
    </w:pPr>
    <w:rPr>
      <w:rFonts w:ascii="Courier New" w:hAnsi="Courier New"/>
      <w:snapToGrid w:val="0"/>
      <w:spacing w:val="4"/>
      <w:sz w:val="15"/>
    </w:rPr>
  </w:style>
  <w:style w:type="paragraph" w:customStyle="1" w:styleId="25">
    <w:name w:val="xl27"/>
    <w:basedOn w:val="1"/>
    <w:next w:val="26"/>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6">
    <w:name w:val="A正文"/>
    <w:basedOn w:val="1"/>
    <w:qFormat/>
    <w:uiPriority w:val="0"/>
    <w:pPr>
      <w:widowControl/>
      <w:overflowPunct w:val="0"/>
      <w:autoSpaceDE w:val="0"/>
      <w:autoSpaceDN w:val="0"/>
      <w:jc w:val="left"/>
      <w:textAlignment w:val="baseline"/>
    </w:pPr>
  </w:style>
  <w:style w:type="paragraph" w:customStyle="1" w:styleId="27">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28">
    <w:name w:val="Default1"/>
    <w:basedOn w:val="29"/>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9">
    <w:name w:val="常用正文样式"/>
    <w:qFormat/>
    <w:uiPriority w:val="0"/>
    <w:pPr>
      <w:widowControl w:val="0"/>
      <w:spacing w:line="360" w:lineRule="auto"/>
      <w:ind w:firstLine="454"/>
      <w:jc w:val="both"/>
    </w:pPr>
    <w:rPr>
      <w:rFonts w:ascii="宋体" w:hAnsi="新宋体" w:eastAsia="仿宋_GB2312" w:cs="Times New Roman"/>
      <w:kern w:val="2"/>
      <w:sz w:val="24"/>
      <w:szCs w:val="24"/>
      <w:lang w:val="en-US" w:eastAsia="zh-CN" w:bidi="ar-SA"/>
    </w:rPr>
  </w:style>
  <w:style w:type="paragraph" w:customStyle="1" w:styleId="30">
    <w:name w:val="样式 标题 2"/>
    <w:basedOn w:val="5"/>
    <w:next w:val="28"/>
    <w:qFormat/>
    <w:uiPriority w:val="0"/>
    <w:pPr>
      <w:spacing w:before="50" w:after="50"/>
    </w:pPr>
    <w:rPr>
      <w:szCs w:val="28"/>
    </w:rPr>
  </w:style>
  <w:style w:type="character" w:customStyle="1" w:styleId="31">
    <w:name w:val="批注文字 字符"/>
    <w:basedOn w:val="21"/>
    <w:link w:val="9"/>
    <w:qFormat/>
    <w:uiPriority w:val="0"/>
    <w:rPr>
      <w:kern w:val="2"/>
      <w:sz w:val="21"/>
      <w:szCs w:val="24"/>
    </w:rPr>
  </w:style>
  <w:style w:type="character" w:customStyle="1" w:styleId="32">
    <w:name w:val="批注主题 字符"/>
    <w:basedOn w:val="31"/>
    <w:link w:val="18"/>
    <w:qFormat/>
    <w:uiPriority w:val="0"/>
    <w:rPr>
      <w:b/>
      <w:bCs/>
      <w:kern w:val="2"/>
      <w:sz w:val="21"/>
      <w:szCs w:val="24"/>
    </w:rPr>
  </w:style>
  <w:style w:type="character" w:customStyle="1" w:styleId="33">
    <w:name w:val="批注框文本 字符"/>
    <w:basedOn w:val="21"/>
    <w:link w:val="13"/>
    <w:qFormat/>
    <w:uiPriority w:val="0"/>
    <w:rPr>
      <w:kern w:val="2"/>
      <w:sz w:val="18"/>
      <w:szCs w:val="18"/>
    </w:rPr>
  </w:style>
  <w:style w:type="paragraph" w:customStyle="1" w:styleId="34">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5">
    <w:name w:val="List Paragraph"/>
    <w:basedOn w:val="1"/>
    <w:unhideWhenUsed/>
    <w:qFormat/>
    <w:uiPriority w:val="99"/>
    <w:pPr>
      <w:ind w:firstLine="420" w:firstLineChars="200"/>
    </w:pPr>
  </w:style>
  <w:style w:type="paragraph" w:customStyle="1" w:styleId="36">
    <w:name w:val="A0正文"/>
    <w:basedOn w:val="1"/>
    <w:qFormat/>
    <w:uiPriority w:val="0"/>
    <w:pPr>
      <w:spacing w:line="560" w:lineRule="exact"/>
      <w:ind w:firstLine="200" w:firstLineChars="200"/>
    </w:pPr>
    <w:rPr>
      <w:sz w:val="24"/>
      <w:szCs w:val="20"/>
      <w:lang w:val="zh-CN"/>
    </w:rPr>
  </w:style>
  <w:style w:type="paragraph" w:customStyle="1" w:styleId="37">
    <w:name w:val="小四+首行缩进"/>
    <w:basedOn w:val="1"/>
    <w:qFormat/>
    <w:uiPriority w:val="0"/>
    <w:pPr>
      <w:spacing w:line="360" w:lineRule="auto"/>
      <w:ind w:firstLine="482"/>
    </w:pPr>
    <w:rPr>
      <w:rFonts w:ascii="宋体" w:hAnsi="宋体"/>
      <w:kern w:val="0"/>
      <w:sz w:val="24"/>
    </w:rPr>
  </w:style>
  <w:style w:type="paragraph" w:customStyle="1" w:styleId="38">
    <w:name w:val="D正文"/>
    <w:basedOn w:val="1"/>
    <w:qFormat/>
    <w:uiPriority w:val="0"/>
    <w:pPr>
      <w:spacing w:line="360" w:lineRule="auto"/>
      <w:ind w:firstLine="48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Zxmsoft</Company>
  <Pages>8</Pages>
  <Words>3650</Words>
  <Characters>3934</Characters>
  <Lines>29</Lines>
  <Paragraphs>8</Paragraphs>
  <TotalTime>48</TotalTime>
  <ScaleCrop>false</ScaleCrop>
  <LinksUpToDate>false</LinksUpToDate>
  <CharactersWithSpaces>4166</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2022-03-15T09:25:00Z</dcterms:created>
  <dc:creator>Administrator</dc:creator>
  <cp:lastModifiedBy>admin123</cp:lastModifiedBy>
  <cp:lastPrinted>2023-11-10T10:03:48Z</cp:lastPrinted>
  <dcterms:modified xsi:type="dcterms:W3CDTF">2023-11-11T08:38:58Z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5165EB477466C591498B4D6517209438</vt:lpwstr>
  </property>
</Properties>
</file>