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distribute"/>
        <w:rPr>
          <w:rFonts w:ascii="方正小标宋简体" w:eastAsia="方正小标宋简体"/>
          <w:color w:val="FF0000"/>
          <w:spacing w:val="4"/>
          <w:w w:val="80"/>
          <w:sz w:val="120"/>
          <w:szCs w:val="120"/>
          <w:lang w:val="zh-CN"/>
        </w:rPr>
      </w:pPr>
      <w:r>
        <w:rPr>
          <w:rFonts w:hint="eastAsia" w:ascii="方正小标宋简体" w:eastAsia="方正小标宋简体"/>
          <w:color w:val="FF0000"/>
          <w:spacing w:val="4"/>
          <w:w w:val="80"/>
          <w:sz w:val="120"/>
          <w:szCs w:val="120"/>
          <w:lang w:val="zh-CN"/>
        </w:rPr>
        <w:t>宜春市生态环境局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eastAsia="仿宋_GB2312"/>
          <w:sz w:val="32"/>
        </w:rPr>
      </w:pPr>
    </w:p>
    <w:p>
      <w:pPr>
        <w:spacing w:line="680" w:lineRule="exact"/>
        <w:jc w:val="center"/>
        <w:rPr>
          <w:rFonts w:ascii="仿宋" w:hAnsi="仿宋" w:eastAsia="仿宋"/>
          <w:color w:val="FF0000"/>
          <w:w w:val="57"/>
          <w:sz w:val="32"/>
          <w:szCs w:val="32"/>
          <w:lang w:val="zh-CN"/>
        </w:rPr>
      </w:pPr>
      <w:r>
        <w:rPr>
          <w:rFonts w:hint="eastAsia" w:ascii="仿宋_GB2312" w:eastAsia="仿宋_GB2312"/>
          <w:sz w:val="32"/>
        </w:rPr>
        <w:t>宜环</w:t>
      </w:r>
      <w:r>
        <w:rPr>
          <w:rFonts w:hint="eastAsia" w:ascii="仿宋_GB2312" w:eastAsia="仿宋_GB2312"/>
          <w:sz w:val="32"/>
          <w:lang w:eastAsia="zh-CN"/>
        </w:rPr>
        <w:t>环</w:t>
      </w:r>
      <w:r>
        <w:rPr>
          <w:rFonts w:hint="eastAsia" w:ascii="仿宋_GB2312" w:eastAsia="仿宋_GB2312"/>
          <w:sz w:val="32"/>
        </w:rPr>
        <w:t>评〔20</w:t>
      </w:r>
      <w:r>
        <w:rPr>
          <w:rFonts w:hint="eastAsia" w:ascii="仿宋_GB2312" w:eastAsia="仿宋_GB2312"/>
          <w:sz w:val="32"/>
          <w:lang w:val="en-US" w:eastAsia="zh-CN"/>
        </w:rPr>
        <w:t>2</w:t>
      </w:r>
      <w:r>
        <w:rPr>
          <w:rFonts w:hint="default" w:ascii="仿宋_GB2312" w:eastAsia="仿宋_GB2312"/>
          <w:sz w:val="32"/>
          <w:lang w:val="en-US" w:eastAsia="zh-CN"/>
        </w:rPr>
        <w:t>3</w:t>
      </w:r>
      <w:r>
        <w:rPr>
          <w:rFonts w:hint="eastAsia" w:ascii="仿宋_GB2312" w:eastAsia="仿宋_GB2312"/>
          <w:sz w:val="32"/>
        </w:rPr>
        <w:t>〕</w:t>
      </w:r>
      <w:r>
        <w:rPr>
          <w:rFonts w:hint="eastAsia" w:ascii="仿宋_GB2312" w:eastAsia="仿宋_GB2312"/>
          <w:sz w:val="32"/>
          <w:lang w:val="en-US" w:eastAsia="zh-CN"/>
        </w:rPr>
        <w:t>123</w:t>
      </w:r>
      <w:r>
        <w:rPr>
          <w:rFonts w:hint="eastAsia" w:ascii="仿宋_GB2312" w:eastAsia="仿宋_GB2312"/>
          <w:sz w:val="32"/>
        </w:rPr>
        <w:t>号</w:t>
      </w:r>
    </w:p>
    <w:p>
      <w:pPr>
        <w:snapToGrid w:val="0"/>
        <w:jc w:val="center"/>
        <w:rPr>
          <w:rFonts w:ascii="方正小标宋简体" w:eastAsia="方正小标宋简体"/>
          <w:szCs w:val="21"/>
          <w:lang w:val="zh-CN"/>
        </w:rPr>
      </w:pPr>
      <w:r>
        <w:rPr>
          <w:rFonts w:ascii="仿宋" w:hAnsi="仿宋" w:eastAsia="仿宋"/>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13335</wp:posOffset>
                </wp:positionV>
                <wp:extent cx="5605145" cy="0"/>
                <wp:effectExtent l="0" t="19050" r="14605" b="19050"/>
                <wp:wrapNone/>
                <wp:docPr id="1" name="直接箭头连接符 1"/>
                <wp:cNvGraphicFramePr/>
                <a:graphic xmlns:a="http://schemas.openxmlformats.org/drawingml/2006/main">
                  <a:graphicData uri="http://schemas.microsoft.com/office/word/2010/wordprocessingShape">
                    <wps:wsp>
                      <wps:cNvCnPr/>
                      <wps:spPr>
                        <a:xfrm>
                          <a:off x="0" y="0"/>
                          <a:ext cx="560514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25pt;margin-top:1.05pt;height:0pt;width:441.35pt;z-index:251659264;mso-width-relative:page;mso-height-relative:page;" filled="f" stroked="t" coordsize="21600,21600" o:gfxdata="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">
                <v:fill on="f" focussize="0,0"/>
                <v:stroke weight="3pt" color="#FF0000" joinstyle="round"/>
                <v:imagedata o:title=""/>
                <o:lock v:ext="edit" aspectratio="f"/>
              </v:shape>
            </w:pict>
          </mc:Fallback>
        </mc:AlternateContent>
      </w:r>
    </w:p>
    <w:p>
      <w:pPr>
        <w:pStyle w:val="4"/>
        <w:adjustRightInd w:val="0"/>
        <w:snapToGrid w:val="0"/>
        <w:spacing w:before="0" w:beforeAutospacing="0" w:after="0" w:afterAutospacing="0" w:line="520" w:lineRule="exact"/>
        <w:jc w:val="center"/>
        <w:rPr>
          <w:rFonts w:hint="eastAsia" w:ascii="方正小标宋简体" w:hAnsi="宋体" w:eastAsia="方正小标宋简体" w:cs="Times New Roman"/>
          <w:b w:val="0"/>
          <w:color w:val="000000" w:themeColor="text1"/>
          <w:kern w:val="2"/>
          <w:sz w:val="44"/>
          <w:szCs w:val="44"/>
          <w:lang w:val="en-US" w:eastAsia="zh-CN" w:bidi="ar-SA"/>
          <w14:textFill>
            <w14:solidFill>
              <w14:schemeClr w14:val="tx1"/>
            </w14:solidFill>
          </w14:textFill>
        </w:rPr>
      </w:pPr>
      <w:bookmarkStart w:id="0" w:name="_GoBack"/>
      <w:r>
        <w:rPr>
          <w:rFonts w:hint="eastAsia" w:ascii="方正小标宋简体" w:hAnsi="宋体" w:eastAsia="方正小标宋简体"/>
          <w:color w:val="000000" w:themeColor="text1"/>
          <w:sz w:val="44"/>
          <w:szCs w:val="44"/>
          <w14:textFill>
            <w14:solidFill>
              <w14:schemeClr w14:val="tx1"/>
            </w14:solidFill>
          </w14:textFill>
        </w:rPr>
        <w:t>关</w:t>
      </w:r>
      <w:r>
        <w:rPr>
          <w:rFonts w:hint="eastAsia" w:ascii="方正小标宋简体" w:hAnsi="宋体" w:eastAsia="方正小标宋简体" w:cs="Times New Roman"/>
          <w:b w:val="0"/>
          <w:color w:val="000000" w:themeColor="text1"/>
          <w:kern w:val="2"/>
          <w:sz w:val="44"/>
          <w:szCs w:val="44"/>
          <w:lang w:val="en-US" w:eastAsia="zh-CN" w:bidi="ar-SA"/>
          <w14:textFill>
            <w14:solidFill>
              <w14:schemeClr w14:val="tx1"/>
            </w14:solidFill>
          </w14:textFill>
        </w:rPr>
        <w:t>于江西光声国际制药有限公司原料药生产</w:t>
      </w:r>
    </w:p>
    <w:p>
      <w:pPr>
        <w:adjustRightInd w:val="0"/>
        <w:snapToGrid w:val="0"/>
        <w:spacing w:line="580" w:lineRule="exact"/>
        <w:jc w:val="center"/>
        <w:rPr>
          <w:rFonts w:ascii="方正小标宋简体" w:hAnsi="宋体" w:eastAsia="方正小标宋简体"/>
          <w:color w:val="000000" w:themeColor="text1"/>
          <w:sz w:val="44"/>
          <w:szCs w:val="44"/>
          <w14:textFill>
            <w14:solidFill>
              <w14:schemeClr w14:val="tx1"/>
            </w14:solidFill>
          </w14:textFill>
        </w:rPr>
      </w:pPr>
      <w:r>
        <w:rPr>
          <w:rFonts w:hint="eastAsia" w:ascii="方正小标宋简体" w:hAnsi="宋体" w:eastAsia="方正小标宋简体" w:cs="Times New Roman"/>
          <w:b w:val="0"/>
          <w:color w:val="000000" w:themeColor="text1"/>
          <w:kern w:val="2"/>
          <w:sz w:val="44"/>
          <w:szCs w:val="44"/>
          <w:lang w:val="en-US" w:eastAsia="zh-CN" w:bidi="ar-SA"/>
          <w14:textFill>
            <w14:solidFill>
              <w14:schemeClr w14:val="tx1"/>
            </w14:solidFill>
          </w14:textFill>
        </w:rPr>
        <w:t>项目环</w:t>
      </w:r>
      <w:r>
        <w:rPr>
          <w:rFonts w:hint="eastAsia" w:ascii="方正小标宋简体" w:hAnsi="宋体" w:eastAsia="方正小标宋简体"/>
          <w:color w:val="000000" w:themeColor="text1"/>
          <w:sz w:val="44"/>
          <w:szCs w:val="44"/>
          <w14:textFill>
            <w14:solidFill>
              <w14:schemeClr w14:val="tx1"/>
            </w14:solidFill>
          </w14:textFill>
        </w:rPr>
        <w:t>境影响报告书的批复</w:t>
      </w:r>
    </w:p>
    <w:bookmarkEnd w:id="0"/>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pageBreakBefore w:val="0"/>
        <w:kinsoku/>
        <w:overflowPunct/>
        <w:topLinePunct w:val="0"/>
        <w:autoSpaceDE w:val="0"/>
        <w:autoSpaceDN/>
        <w:bidi w:val="0"/>
        <w:adjustRightInd w:val="0"/>
        <w:snapToGrid w:val="0"/>
        <w:spacing w:line="600" w:lineRule="exact"/>
        <w:textAlignment w:val="auto"/>
        <w:rPr>
          <w:rFonts w:hint="eastAsia" w:ascii="仿宋_GB2312" w:hAnsi="仿宋" w:eastAsia="仿宋_GB2312" w:cs="仿宋"/>
          <w:color w:val="000000" w:themeColor="text1"/>
          <w:sz w:val="32"/>
          <w:szCs w:val="32"/>
          <w:lang w:eastAsia="zh-CN"/>
          <w14:textFill>
            <w14:solidFill>
              <w14:schemeClr w14:val="tx1"/>
            </w14:solidFill>
          </w14:textFill>
        </w:rPr>
      </w:pPr>
      <w:r>
        <w:rPr>
          <w:rFonts w:hint="eastAsia" w:ascii="仿宋_GB2312" w:hAnsi="仿宋" w:eastAsia="仿宋_GB2312" w:cs="仿宋"/>
          <w:color w:val="000000" w:themeColor="text1"/>
          <w:sz w:val="32"/>
          <w:szCs w:val="32"/>
          <w:lang w:val="en-US" w:eastAsia="zh-CN"/>
          <w14:textFill>
            <w14:solidFill>
              <w14:schemeClr w14:val="tx1"/>
            </w14:solidFill>
          </w14:textFill>
        </w:rPr>
        <w:t>江西光声国际制药有限公司</w:t>
      </w:r>
      <w:r>
        <w:rPr>
          <w:rFonts w:hint="eastAsia" w:ascii="仿宋_GB2312" w:hAnsi="仿宋" w:eastAsia="仿宋_GB2312" w:cs="仿宋"/>
          <w:color w:val="000000" w:themeColor="text1"/>
          <w:sz w:val="32"/>
          <w:szCs w:val="32"/>
          <w:lang w:eastAsia="zh-CN"/>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20" w:lineRule="exact"/>
        <w:ind w:firstLine="640" w:firstLineChars="200"/>
        <w:jc w:val="left"/>
        <w:textAlignment w:val="auto"/>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val="0"/>
          <w:color w:val="000000" w:themeColor="text1"/>
          <w:kern w:val="2"/>
          <w:sz w:val="32"/>
          <w:szCs w:val="32"/>
          <w:lang w:val="en-US" w:eastAsia="zh-CN" w:bidi="ar-SA"/>
          <w14:textFill>
            <w14:solidFill>
              <w14:schemeClr w14:val="tx1"/>
            </w14:solidFill>
          </w14:textFill>
        </w:rPr>
        <w:t>你公司《关于请求审批〈江西光声国际制药有限公司原料药生产项目环境影响报告书〉的请示》以及相关资料收悉，经研究，批复如下：</w:t>
      </w:r>
    </w:p>
    <w:p>
      <w:pPr>
        <w:pageBreakBefore w:val="0"/>
        <w:kinsoku/>
        <w:overflowPunct/>
        <w:topLinePunct w:val="0"/>
        <w:autoSpaceDE w:val="0"/>
        <w:autoSpaceDN/>
        <w:bidi w:val="0"/>
        <w:adjustRightInd w:val="0"/>
        <w:snapToGrid w:val="0"/>
        <w:spacing w:line="60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一、项目建设内容及批复意见</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 w:eastAsia="仿宋_GB2312" w:cs="仿宋"/>
          <w:b w:val="0"/>
          <w:color w:val="000000" w:themeColor="text1"/>
          <w:kern w:val="2"/>
          <w:sz w:val="32"/>
          <w:szCs w:val="32"/>
          <w:lang w:val="en-US" w:eastAsia="zh-CN" w:bidi="ar-SA"/>
          <w14:textFill>
            <w14:solidFill>
              <w14:schemeClr w14:val="tx1"/>
            </w14:solidFill>
          </w14:textFill>
        </w:rPr>
        <w:t>江西光声国际制药有限公司原料药生产项目</w:t>
      </w:r>
      <w:r>
        <w:rPr>
          <w:rFonts w:hint="eastAsia" w:ascii="仿宋_GB2312" w:hAnsi="仿宋_GB2312" w:eastAsia="仿宋_GB2312" w:cs="仿宋_GB2312"/>
          <w:color w:val="auto"/>
          <w:sz w:val="32"/>
          <w:szCs w:val="32"/>
          <w:lang w:val="en-US" w:eastAsia="zh-CN"/>
        </w:rPr>
        <w:t>拟建于</w:t>
      </w:r>
      <w:r>
        <w:rPr>
          <w:rFonts w:hint="eastAsia" w:ascii="仿宋_GB2312" w:hAnsi="仿宋_GB2312" w:eastAsia="仿宋_GB2312" w:cs="仿宋_GB2312"/>
          <w:color w:val="auto"/>
          <w:sz w:val="32"/>
          <w:szCs w:val="32"/>
        </w:rPr>
        <w:t>江西</w:t>
      </w:r>
      <w:r>
        <w:rPr>
          <w:rFonts w:ascii="仿宋_GB2312" w:hAnsi="仿宋_GB2312" w:eastAsia="仿宋_GB2312" w:cs="仿宋_GB2312"/>
          <w:color w:val="auto"/>
          <w:sz w:val="32"/>
          <w:szCs w:val="32"/>
        </w:rPr>
        <w:t>宜春袁州医药</w:t>
      </w:r>
      <w:r>
        <w:rPr>
          <w:rFonts w:hint="eastAsia" w:ascii="仿宋_GB2312" w:hAnsi="仿宋_GB2312" w:eastAsia="仿宋_GB2312" w:cs="仿宋_GB2312"/>
          <w:color w:val="auto"/>
          <w:sz w:val="32"/>
          <w:szCs w:val="32"/>
          <w:lang w:eastAsia="zh-CN"/>
        </w:rPr>
        <w:t>工业园</w:t>
      </w:r>
      <w:r>
        <w:rPr>
          <w:rFonts w:hint="eastAsia" w:ascii="仿宋_GB2312" w:hAnsi="仿宋_GB2312" w:eastAsia="仿宋_GB2312" w:cs="仿宋_GB2312"/>
          <w:color w:val="auto"/>
          <w:sz w:val="32"/>
          <w:szCs w:val="32"/>
        </w:rPr>
        <w:t>化工集中区</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厂址中心地理</w:t>
      </w:r>
      <w:r>
        <w:rPr>
          <w:rFonts w:hint="eastAsia" w:ascii="仿宋_GB2312" w:hAnsi="仿宋_GB2312" w:eastAsia="仿宋_GB2312" w:cs="仿宋_GB2312"/>
          <w:color w:val="auto"/>
          <w:sz w:val="32"/>
          <w:szCs w:val="32"/>
          <w:lang w:eastAsia="zh-CN"/>
        </w:rPr>
        <w:t>位置</w:t>
      </w:r>
      <w:r>
        <w:rPr>
          <w:rFonts w:hint="eastAsia" w:ascii="仿宋_GB2312" w:hAnsi="仿宋_GB2312" w:eastAsia="仿宋_GB2312" w:cs="仿宋_GB2312"/>
          <w:color w:val="auto"/>
          <w:sz w:val="32"/>
          <w:szCs w:val="32"/>
        </w:rPr>
        <w:t>坐标为</w:t>
      </w:r>
      <w:r>
        <w:rPr>
          <w:rFonts w:hint="eastAsia" w:ascii="仿宋_GB2312" w:hAnsi="仿宋_GB2312" w:eastAsia="仿宋_GB2312" w:cs="仿宋_GB2312"/>
          <w:snapToGrid w:val="0"/>
          <w:color w:val="auto"/>
          <w:sz w:val="32"/>
          <w:szCs w:val="32"/>
        </w:rPr>
        <w:t>东经114°21′58.28016″</w:t>
      </w:r>
      <w:r>
        <w:rPr>
          <w:rFonts w:hint="eastAsia" w:ascii="仿宋_GB2312" w:hAnsi="仿宋_GB2312" w:eastAsia="仿宋_GB2312" w:cs="仿宋_GB2312"/>
          <w:snapToGrid w:val="0"/>
          <w:color w:val="auto"/>
          <w:sz w:val="32"/>
          <w:szCs w:val="32"/>
          <w:lang w:eastAsia="zh-CN"/>
        </w:rPr>
        <w:t>、北</w:t>
      </w:r>
      <w:r>
        <w:rPr>
          <w:rFonts w:hint="eastAsia" w:ascii="仿宋_GB2312" w:hAnsi="仿宋_GB2312" w:eastAsia="仿宋_GB2312" w:cs="仿宋_GB2312"/>
          <w:snapToGrid w:val="0"/>
          <w:color w:val="auto"/>
          <w:sz w:val="32"/>
          <w:szCs w:val="32"/>
        </w:rPr>
        <w:t>纬27°53′41.33133″</w:t>
      </w:r>
      <w:r>
        <w:rPr>
          <w:rFonts w:hint="eastAsia" w:ascii="仿宋_GB2312" w:hAnsi="仿宋_GB2312" w:eastAsia="仿宋_GB2312" w:cs="仿宋_GB2312"/>
          <w:color w:val="auto"/>
          <w:sz w:val="32"/>
          <w:szCs w:val="32"/>
        </w:rPr>
        <w:t>，总占地面积34746.93m</w:t>
      </w:r>
      <w:r>
        <w:rPr>
          <w:rFonts w:hint="eastAsia" w:ascii="仿宋_GB2312" w:hAnsi="仿宋_GB2312" w:eastAsia="仿宋_GB2312" w:cs="仿宋_GB2312"/>
          <w:color w:val="auto"/>
          <w:sz w:val="32"/>
          <w:szCs w:val="32"/>
          <w:vertAlign w:val="superscript"/>
        </w:rPr>
        <w:t>2</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bidi w:val="0"/>
        <w:spacing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项目为新建项目。主要以甲醇、HCl、二氯甲烷、氯化血红素、铁粉、三乙胺、水、甲醇等为原辅料，经投料、反应、滴加、调pH、水洗、滴加、调pH、水洗、压滤、减压浓缩、重结晶、过滤离心、烘干等工序生产</w:t>
      </w:r>
      <w:r>
        <w:rPr>
          <w:rFonts w:ascii="仿宋_GB2312" w:hAnsi="仿宋_GB2312" w:eastAsia="仿宋_GB2312" w:cs="仿宋_GB2312"/>
          <w:color w:val="auto"/>
          <w:sz w:val="32"/>
          <w:szCs w:val="32"/>
        </w:rPr>
        <w:t>原卟啉二甲酯(简称中间产品B)；以中间产品</w:t>
      </w:r>
      <w:r>
        <w:rPr>
          <w:rFonts w:hint="eastAsia" w:ascii="仿宋_GB2312" w:hAnsi="仿宋_GB2312" w:eastAsia="仿宋_GB2312" w:cs="仿宋_GB2312"/>
          <w:color w:val="auto"/>
          <w:sz w:val="32"/>
          <w:szCs w:val="32"/>
        </w:rPr>
        <w:t>B</w:t>
      </w:r>
      <w:r>
        <w:rPr>
          <w:rFonts w:ascii="仿宋_GB2312" w:hAnsi="仿宋_GB2312" w:eastAsia="仿宋_GB2312" w:cs="仿宋_GB2312"/>
          <w:color w:val="auto"/>
          <w:sz w:val="32"/>
          <w:szCs w:val="32"/>
        </w:rPr>
        <w:t>、二氯甲烷、溴化氢、水、碳酸氢钠等为原辅料，经投料、终止反应、调</w:t>
      </w:r>
      <w:r>
        <w:rPr>
          <w:rFonts w:hint="eastAsia" w:ascii="仿宋_GB2312" w:hAnsi="仿宋_GB2312" w:eastAsia="仿宋_GB2312" w:cs="仿宋_GB2312"/>
          <w:color w:val="auto"/>
          <w:sz w:val="32"/>
          <w:szCs w:val="32"/>
        </w:rPr>
        <w:t>pH分层、水洗分层、压滤、减压浓缩等工序</w:t>
      </w:r>
      <w:r>
        <w:rPr>
          <w:rFonts w:ascii="仿宋_GB2312" w:hAnsi="仿宋_GB2312" w:eastAsia="仿宋_GB2312" w:cs="仿宋_GB2312"/>
          <w:color w:val="auto"/>
          <w:sz w:val="32"/>
          <w:szCs w:val="32"/>
        </w:rPr>
        <w:t>生产华卟啉甲酯(简称中间产品C)；以中间产品C、二氯甲烷、二氯甲烷</w:t>
      </w:r>
      <w:r>
        <w:rPr>
          <w:rFonts w:hint="eastAsia" w:ascii="仿宋_GB2312" w:hAnsi="仿宋_GB2312" w:eastAsia="仿宋_GB2312" w:cs="仿宋_GB2312"/>
          <w:color w:val="auto"/>
          <w:sz w:val="32"/>
          <w:szCs w:val="32"/>
        </w:rPr>
        <w:t>/10%丙酮为原料，</w:t>
      </w:r>
      <w:r>
        <w:rPr>
          <w:rFonts w:ascii="仿宋_GB2312" w:hAnsi="仿宋_GB2312" w:eastAsia="仿宋_GB2312" w:cs="仿宋_GB2312"/>
          <w:color w:val="auto"/>
          <w:sz w:val="32"/>
          <w:szCs w:val="32"/>
        </w:rPr>
        <w:t>经配料、DAC层析柱、浓缩等工序进行一次纯化，以一次纯化液、二氯甲烷、乙酸乙酯为原料经配料DAC层析柱、浓缩等工序进行二次纯化工序</w:t>
      </w:r>
      <w:r>
        <w:rPr>
          <w:rFonts w:hint="eastAsia" w:ascii="仿宋_GB2312" w:hAnsi="仿宋_GB2312" w:eastAsia="仿宋_GB2312" w:cs="仿宋_GB2312"/>
          <w:color w:val="auto"/>
          <w:sz w:val="32"/>
          <w:szCs w:val="32"/>
        </w:rPr>
        <w:t>生产高纯度产品C；以高纯度</w:t>
      </w:r>
      <w:r>
        <w:rPr>
          <w:rFonts w:hint="eastAsia" w:ascii="仿宋_GB2312" w:hAnsi="仿宋_GB2312" w:eastAsia="仿宋_GB2312" w:cs="仿宋_GB2312"/>
          <w:color w:val="auto"/>
          <w:sz w:val="32"/>
          <w:szCs w:val="32"/>
          <w:lang w:eastAsia="zh-CN"/>
        </w:rPr>
        <w:t>产品</w:t>
      </w:r>
      <w:r>
        <w:rPr>
          <w:rFonts w:hint="eastAsia" w:ascii="仿宋_GB2312" w:hAnsi="仿宋_GB2312" w:eastAsia="仿宋_GB2312" w:cs="仿宋_GB2312"/>
          <w:color w:val="auto"/>
          <w:sz w:val="32"/>
          <w:szCs w:val="32"/>
        </w:rPr>
        <w:t>C、甲醇、氢氧化钠、水、无水乙醇为原料，经投料、反应、淋洗、烘干生产</w:t>
      </w:r>
      <w:r>
        <w:rPr>
          <w:rFonts w:ascii="仿宋_GB2312" w:hAnsi="仿宋_GB2312" w:eastAsia="仿宋_GB2312" w:cs="仿宋_GB2312"/>
          <w:color w:val="auto"/>
          <w:sz w:val="32"/>
          <w:szCs w:val="32"/>
        </w:rPr>
        <w:t>华卟啉钠(简称</w:t>
      </w:r>
      <w:r>
        <w:rPr>
          <w:rFonts w:hint="eastAsia" w:ascii="仿宋_GB2312" w:hAnsi="仿宋_GB2312" w:eastAsia="仿宋_GB2312" w:cs="仿宋_GB2312"/>
          <w:color w:val="auto"/>
          <w:sz w:val="32"/>
          <w:szCs w:val="32"/>
          <w:lang w:eastAsia="zh-CN"/>
        </w:rPr>
        <w:t>中间</w:t>
      </w:r>
      <w:r>
        <w:rPr>
          <w:rFonts w:ascii="仿宋_GB2312" w:hAnsi="仿宋_GB2312" w:eastAsia="仿宋_GB2312" w:cs="仿宋_GB2312"/>
          <w:color w:val="auto"/>
          <w:sz w:val="32"/>
          <w:szCs w:val="32"/>
        </w:rPr>
        <w:t>产品D)；以</w:t>
      </w:r>
      <w:r>
        <w:rPr>
          <w:rFonts w:hint="eastAsia" w:ascii="仿宋_GB2312" w:hAnsi="仿宋_GB2312" w:eastAsia="仿宋_GB2312" w:cs="仿宋_GB2312"/>
          <w:color w:val="auto"/>
          <w:sz w:val="32"/>
          <w:szCs w:val="32"/>
          <w:lang w:eastAsia="zh-CN"/>
        </w:rPr>
        <w:t>中间</w:t>
      </w:r>
      <w:r>
        <w:rPr>
          <w:rFonts w:hint="eastAsia" w:ascii="仿宋_GB2312" w:hAnsi="仿宋_GB2312" w:eastAsia="仿宋_GB2312" w:cs="仿宋_GB2312"/>
          <w:color w:val="auto"/>
          <w:sz w:val="32"/>
          <w:szCs w:val="32"/>
        </w:rPr>
        <w:t>产品D、水、乙腈、盐酸等为原辅料，经配料、滴加、DAC层析柱、浓缩、冻干等工序生产</w:t>
      </w:r>
      <w:r>
        <w:rPr>
          <w:rFonts w:ascii="仿宋_GB2312" w:hAnsi="仿宋_GB2312" w:eastAsia="仿宋_GB2312" w:cs="仿宋_GB2312"/>
          <w:color w:val="auto"/>
          <w:sz w:val="32"/>
          <w:szCs w:val="32"/>
        </w:rPr>
        <w:t>高纯度华卟啉钠(本项目最终产品)。</w:t>
      </w:r>
    </w:p>
    <w:p>
      <w:pPr>
        <w:keepNext w:val="0"/>
        <w:keepLines w:val="0"/>
        <w:pageBreakBefore w:val="0"/>
        <w:kinsoku/>
        <w:wordWrap/>
        <w:overflowPunct/>
        <w:topLinePunct w:val="0"/>
        <w:bidi w:val="0"/>
        <w:spacing w:line="560" w:lineRule="exact"/>
        <w:ind w:firstLine="640" w:firstLineChars="200"/>
        <w:jc w:val="both"/>
        <w:textAlignment w:val="auto"/>
        <w:rPr>
          <w:rFonts w:hint="eastAsia"/>
          <w:lang w:val="zh-CN"/>
        </w:rPr>
      </w:pPr>
      <w:r>
        <w:rPr>
          <w:rFonts w:hint="eastAsia" w:ascii="仿宋_GB2312" w:hAnsi="仿宋_GB2312" w:eastAsia="仿宋_GB2312" w:cs="仿宋_GB2312"/>
          <w:color w:val="auto"/>
          <w:sz w:val="32"/>
          <w:szCs w:val="32"/>
        </w:rPr>
        <w:t>本项目产品方案：</w:t>
      </w:r>
      <w:r>
        <w:rPr>
          <w:rFonts w:ascii="仿宋_GB2312" w:hAnsi="仿宋_GB2312" w:eastAsia="仿宋_GB2312" w:cs="仿宋_GB2312"/>
          <w:color w:val="auto"/>
          <w:sz w:val="32"/>
          <w:szCs w:val="32"/>
        </w:rPr>
        <w:t>华卟啉钠</w:t>
      </w:r>
      <w:r>
        <w:rPr>
          <w:rFonts w:hint="eastAsia" w:ascii="仿宋_GB2312" w:hAnsi="仿宋_GB2312" w:eastAsia="仿宋_GB2312" w:cs="仿宋_GB2312"/>
          <w:color w:val="auto"/>
          <w:sz w:val="32"/>
          <w:szCs w:val="32"/>
        </w:rPr>
        <w:t>4kg/a。</w:t>
      </w:r>
    </w:p>
    <w:p>
      <w:pPr>
        <w:keepNext w:val="0"/>
        <w:keepLines w:val="0"/>
        <w:pageBreakBefore w:val="0"/>
        <w:widowControl w:val="0"/>
        <w:kinsoku/>
        <w:wordWrap/>
        <w:overflowPunct/>
        <w:topLinePunct w:val="0"/>
        <w:bidi w:val="0"/>
        <w:adjustRightInd w:val="0"/>
        <w:snapToGrid w:val="0"/>
        <w:spacing w:line="560" w:lineRule="exact"/>
        <w:ind w:firstLine="672" w:firstLineChars="21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本项目总投资23253万元，其中环保投资855万元，占总投资的3.7%。</w:t>
      </w:r>
    </w:p>
    <w:p>
      <w:pPr>
        <w:pageBreakBefore w:val="0"/>
        <w:kinsoku/>
        <w:overflowPunct/>
        <w:topLinePunct w:val="0"/>
        <w:autoSpaceDN/>
        <w:bidi w:val="0"/>
        <w:adjustRightInd w:val="0"/>
        <w:snapToGrid w:val="0"/>
        <w:spacing w:line="600" w:lineRule="exact"/>
        <w:ind w:firstLine="640" w:firstLineChars="200"/>
        <w:jc w:val="left"/>
        <w:textAlignment w:val="auto"/>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你公司应全面落实</w:t>
      </w:r>
      <w:r>
        <w:rPr>
          <w:rFonts w:hint="eastAsia" w:ascii="仿宋_GB2312" w:hAnsi="仿宋_GB2312" w:eastAsia="仿宋_GB2312" w:cs="仿宋_GB2312"/>
          <w:bCs/>
          <w:snapToGrid w:val="0"/>
          <w:color w:val="000000"/>
          <w:sz w:val="32"/>
          <w:szCs w:val="32"/>
        </w:rPr>
        <w:t>《</w:t>
      </w:r>
      <w:r>
        <w:rPr>
          <w:rFonts w:hint="eastAsia" w:ascii="仿宋_GB2312" w:hAnsi="仿宋" w:eastAsia="仿宋_GB2312" w:cs="仿宋"/>
          <w:b w:val="0"/>
          <w:color w:val="000000" w:themeColor="text1"/>
          <w:kern w:val="2"/>
          <w:sz w:val="32"/>
          <w:szCs w:val="32"/>
          <w:lang w:val="en-US" w:eastAsia="zh-CN" w:bidi="ar-SA"/>
          <w14:textFill>
            <w14:solidFill>
              <w14:schemeClr w14:val="tx1"/>
            </w14:solidFill>
          </w14:textFill>
        </w:rPr>
        <w:t>江西光声国际制药有限公司原料药生产项目</w:t>
      </w:r>
      <w:r>
        <w:rPr>
          <w:rFonts w:hint="eastAsia" w:ascii="仿宋_GB2312" w:hAnsi="仿宋_GB2312" w:eastAsia="仿宋_GB2312" w:cs="仿宋_GB2312"/>
          <w:bCs/>
          <w:snapToGrid w:val="0"/>
          <w:color w:val="000000"/>
          <w:sz w:val="32"/>
          <w:szCs w:val="32"/>
        </w:rPr>
        <w:t>环境影响报告书</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以下简称《报告书》）、《</w:t>
      </w:r>
      <w:r>
        <w:rPr>
          <w:rFonts w:hint="eastAsia" w:ascii="仿宋_GB2312" w:hAnsi="仿宋" w:eastAsia="仿宋_GB2312" w:cs="仿宋"/>
          <w:b w:val="0"/>
          <w:color w:val="000000" w:themeColor="text1"/>
          <w:kern w:val="2"/>
          <w:sz w:val="32"/>
          <w:szCs w:val="32"/>
          <w:lang w:val="en-US" w:eastAsia="zh-CN" w:bidi="ar-SA"/>
          <w14:textFill>
            <w14:solidFill>
              <w14:schemeClr w14:val="tx1"/>
            </w14:solidFill>
          </w14:textFill>
        </w:rPr>
        <w:t>江西光声国际制药有限公司原料药生产项目</w:t>
      </w:r>
      <w:r>
        <w:rPr>
          <w:rFonts w:hint="eastAsia" w:ascii="仿宋_GB2312" w:hAnsi="仿宋_GB2312" w:eastAsia="仿宋_GB2312" w:cs="仿宋_GB2312"/>
          <w:color w:val="000000" w:themeColor="text1"/>
          <w:sz w:val="32"/>
          <w:szCs w:val="32"/>
          <w14:textFill>
            <w14:solidFill>
              <w14:schemeClr w14:val="tx1"/>
            </w14:solidFill>
          </w14:textFill>
        </w:rPr>
        <w:t>环境影响报告书</w:t>
      </w:r>
      <w:r>
        <w:rPr>
          <w:rFonts w:hint="eastAsia" w:ascii="仿宋_GB2312" w:eastAsia="仿宋_GB2312"/>
          <w:color w:val="000000" w:themeColor="text1"/>
          <w:sz w:val="32"/>
          <w:szCs w:val="32"/>
          <w14:textFill>
            <w14:solidFill>
              <w14:schemeClr w14:val="tx1"/>
            </w14:solidFill>
          </w14:textFill>
        </w:rPr>
        <w:t>评估意见》（以下简称《评估意见》）</w:t>
      </w:r>
      <w:r>
        <w:rPr>
          <w:rFonts w:hint="eastAsia" w:ascii="仿宋_GB2312" w:hAnsi="仿宋_GB2312" w:eastAsia="仿宋_GB2312" w:cs="仿宋_GB2312"/>
          <w:color w:val="000000" w:themeColor="text1"/>
          <w:sz w:val="32"/>
          <w:szCs w:val="32"/>
          <w14:textFill>
            <w14:solidFill>
              <w14:schemeClr w14:val="tx1"/>
            </w14:solidFill>
          </w14:textFill>
        </w:rPr>
        <w:t>提出的各项污染防治措施以及环境风险防范措施，缓解和控制不利环境影响。从环境保护角度我局原则同意环境影响报告书中所列工程性质、地点、规模、生产工艺和环境保护对策措施</w:t>
      </w:r>
      <w:r>
        <w:rPr>
          <w:rFonts w:hint="eastAsia" w:ascii="仿宋_GB2312" w:eastAsia="仿宋_GB2312"/>
          <w:color w:val="000000" w:themeColor="text1"/>
          <w:sz w:val="32"/>
          <w:szCs w:val="32"/>
          <w14:textFill>
            <w14:solidFill>
              <w14:schemeClr w14:val="tx1"/>
            </w14:solidFill>
          </w14:textFill>
        </w:rPr>
        <w:t>。</w:t>
      </w:r>
    </w:p>
    <w:p>
      <w:pPr>
        <w:pageBreakBefore w:val="0"/>
        <w:kinsoku/>
        <w:overflowPunct/>
        <w:topLinePunct w:val="0"/>
        <w:autoSpaceDE w:val="0"/>
        <w:autoSpaceDN/>
        <w:bidi w:val="0"/>
        <w:adjustRightInd w:val="0"/>
        <w:snapToGrid w:val="0"/>
        <w:spacing w:line="60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二、污染防治措施及要求</w:t>
      </w:r>
    </w:p>
    <w:p>
      <w:pPr>
        <w:pageBreakBefore w:val="0"/>
        <w:kinsoku/>
        <w:overflowPunct/>
        <w:topLinePunct w:val="0"/>
        <w:autoSpaceDE w:val="0"/>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项目在工程设计、建设和生产过程中必须认真落实《报告书》和《评估意见》提出的各项环保要求，并重点做好以下几项工作：</w:t>
      </w:r>
    </w:p>
    <w:p>
      <w:pPr>
        <w:keepNext w:val="0"/>
        <w:keepLines w:val="0"/>
        <w:pageBreakBefore w:val="0"/>
        <w:widowControl w:val="0"/>
        <w:numPr>
          <w:ilvl w:val="0"/>
          <w:numId w:val="2"/>
        </w:numPr>
        <w:kinsoku/>
        <w:wordWrap/>
        <w:overflowPunct/>
        <w:topLinePunct w:val="0"/>
        <w:autoSpaceDE w:val="0"/>
        <w:autoSpaceDN/>
        <w:bidi w:val="0"/>
        <w:adjustRightInd/>
        <w:snapToGrid/>
        <w:spacing w:line="600" w:lineRule="exact"/>
        <w:ind w:firstLine="640" w:firstLineChars="200"/>
        <w:textAlignment w:val="auto"/>
        <w:rPr>
          <w:rFonts w:hint="eastAsia" w:ascii="Times New Roman" w:hAnsi="Times New Roman" w:eastAsia="仿宋_GB2312" w:cs="Times New Roman"/>
          <w:bCs/>
          <w:color w:val="auto"/>
          <w:sz w:val="32"/>
          <w:szCs w:val="32"/>
          <w:shd w:val="clear" w:color="auto" w:fill="auto"/>
        </w:rPr>
      </w:pPr>
      <w:r>
        <w:rPr>
          <w:rFonts w:hint="default" w:ascii="Times New Roman" w:hAnsi="Times New Roman" w:eastAsia="楷体" w:cs="Times New Roman"/>
          <w:color w:val="000000"/>
          <w:sz w:val="32"/>
          <w:szCs w:val="32"/>
          <w:lang w:val="en-US" w:eastAsia="zh-CN"/>
        </w:rPr>
        <w:t>严格落实水污染防治措施。</w:t>
      </w:r>
      <w:r>
        <w:rPr>
          <w:rFonts w:ascii="Times New Roman" w:hAnsi="Times New Roman" w:eastAsia="仿宋_GB2312"/>
          <w:color w:val="auto"/>
          <w:sz w:val="32"/>
          <w:szCs w:val="32"/>
          <w:shd w:val="clear" w:color="auto" w:fill="auto"/>
        </w:rPr>
        <w:t>按“清污分流、雨污分流、分质处理、一水多用”原则，</w:t>
      </w:r>
      <w:r>
        <w:rPr>
          <w:rFonts w:hint="eastAsia" w:ascii="仿宋_GB2312" w:hAnsi="仿宋_GB2312" w:eastAsia="仿宋_GB2312" w:cs="仿宋_GB2312"/>
          <w:snapToGrid w:val="0"/>
          <w:color w:val="auto"/>
          <w:sz w:val="32"/>
          <w:szCs w:val="32"/>
        </w:rPr>
        <w:t>设备清洗废水、废气处理废水、地面冲洗废水、生活污水及初期雨水</w:t>
      </w:r>
      <w:r>
        <w:rPr>
          <w:rFonts w:hint="eastAsia" w:ascii="Times New Roman" w:hAnsi="Times New Roman" w:eastAsia="仿宋_GB2312" w:cs="Times New Roman"/>
          <w:bCs/>
          <w:color w:val="auto"/>
          <w:sz w:val="32"/>
          <w:szCs w:val="32"/>
          <w:shd w:val="clear" w:color="auto" w:fill="auto"/>
        </w:rPr>
        <w:t>。</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设备</w:t>
      </w:r>
      <w:r>
        <w:rPr>
          <w:rFonts w:hint="eastAsia" w:ascii="仿宋_GB2312" w:hAnsi="仿宋_GB2312" w:eastAsia="仿宋_GB2312" w:cs="仿宋_GB2312"/>
          <w:snapToGrid w:val="0"/>
          <w:color w:val="auto"/>
          <w:sz w:val="32"/>
          <w:szCs w:val="32"/>
          <w:lang w:eastAsia="zh-CN"/>
        </w:rPr>
        <w:t>清洗</w:t>
      </w:r>
      <w:r>
        <w:rPr>
          <w:rFonts w:hint="eastAsia" w:ascii="仿宋_GB2312" w:hAnsi="仿宋_GB2312" w:eastAsia="仿宋_GB2312" w:cs="仿宋_GB2312"/>
          <w:snapToGrid w:val="0"/>
          <w:color w:val="auto"/>
          <w:sz w:val="32"/>
          <w:szCs w:val="32"/>
        </w:rPr>
        <w:t>废水、废气处理废水、地面冲洗废水、生活</w:t>
      </w:r>
      <w:r>
        <w:rPr>
          <w:rFonts w:hint="eastAsia" w:ascii="仿宋_GB2312" w:hAnsi="仿宋_GB2312" w:eastAsia="仿宋_GB2312" w:cs="仿宋_GB2312"/>
          <w:snapToGrid w:val="0"/>
          <w:color w:val="auto"/>
          <w:sz w:val="32"/>
          <w:szCs w:val="32"/>
          <w:lang w:eastAsia="zh-CN"/>
        </w:rPr>
        <w:t>污水及初期雨水一起</w:t>
      </w:r>
      <w:r>
        <w:rPr>
          <w:rFonts w:ascii="仿宋_GB2312" w:hAnsi="仿宋_GB2312" w:eastAsia="仿宋_GB2312" w:cs="仿宋_GB2312"/>
          <w:snapToGrid w:val="0"/>
          <w:color w:val="auto"/>
          <w:sz w:val="32"/>
          <w:szCs w:val="32"/>
        </w:rPr>
        <w:t>汇入综合废水调节池，经</w:t>
      </w:r>
      <w:r>
        <w:rPr>
          <w:rFonts w:hint="eastAsia" w:ascii="仿宋_GB2312" w:hAnsi="仿宋_GB2312" w:eastAsia="仿宋_GB2312" w:cs="仿宋_GB2312"/>
          <w:snapToGrid w:val="0"/>
          <w:color w:val="auto"/>
          <w:sz w:val="32"/>
          <w:szCs w:val="32"/>
          <w:lang w:eastAsia="zh-CN"/>
        </w:rPr>
        <w:t>厂区污水污水处理站</w:t>
      </w:r>
      <w:r>
        <w:rPr>
          <w:rFonts w:ascii="仿宋_GB2312" w:hAnsi="仿宋_GB2312" w:eastAsia="仿宋_GB2312" w:cs="仿宋_GB2312"/>
          <w:snapToGrid w:val="0"/>
          <w:color w:val="auto"/>
          <w:sz w:val="32"/>
          <w:szCs w:val="32"/>
        </w:rPr>
        <w:t>处理后</w:t>
      </w:r>
      <w:r>
        <w:rPr>
          <w:rFonts w:hint="eastAsia" w:ascii="仿宋_GB2312" w:hAnsi="仿宋_GB2312" w:eastAsia="仿宋_GB2312" w:cs="仿宋_GB2312"/>
          <w:snapToGrid w:val="0"/>
          <w:color w:val="auto"/>
          <w:sz w:val="32"/>
          <w:szCs w:val="32"/>
        </w:rPr>
        <w:t>，</w:t>
      </w:r>
      <w:r>
        <w:rPr>
          <w:rFonts w:ascii="仿宋_GB2312" w:hAnsi="仿宋_GB2312" w:eastAsia="仿宋_GB2312" w:cs="仿宋_GB2312"/>
          <w:snapToGrid w:val="0"/>
          <w:color w:val="auto"/>
          <w:sz w:val="32"/>
          <w:szCs w:val="32"/>
        </w:rPr>
        <w:t>pH、COD</w:t>
      </w:r>
      <w:r>
        <w:rPr>
          <w:rFonts w:hint="eastAsia" w:ascii="仿宋_GB2312" w:hAnsi="仿宋_GB2312" w:eastAsia="仿宋_GB2312" w:cs="仿宋_GB2312"/>
          <w:snapToGrid w:val="0"/>
          <w:color w:val="auto"/>
          <w:sz w:val="32"/>
          <w:szCs w:val="32"/>
        </w:rPr>
        <w:t>cr</w:t>
      </w:r>
      <w:r>
        <w:rPr>
          <w:rFonts w:ascii="仿宋_GB2312" w:hAnsi="仿宋_GB2312" w:eastAsia="仿宋_GB2312" w:cs="仿宋_GB2312"/>
          <w:snapToGrid w:val="0"/>
          <w:color w:val="auto"/>
          <w:sz w:val="32"/>
          <w:szCs w:val="32"/>
        </w:rPr>
        <w:t>、BOD</w:t>
      </w:r>
      <w:r>
        <w:rPr>
          <w:rFonts w:hint="eastAsia" w:ascii="仿宋_GB2312" w:hAnsi="仿宋_GB2312" w:eastAsia="仿宋_GB2312" w:cs="仿宋_GB2312"/>
          <w:snapToGrid w:val="0"/>
          <w:color w:val="auto"/>
          <w:sz w:val="32"/>
          <w:szCs w:val="32"/>
          <w:vertAlign w:val="subscript"/>
        </w:rPr>
        <w:t>5</w:t>
      </w:r>
      <w:r>
        <w:rPr>
          <w:rFonts w:ascii="仿宋_GB2312" w:hAnsi="仿宋_GB2312" w:eastAsia="仿宋_GB2312" w:cs="仿宋_GB2312"/>
          <w:snapToGrid w:val="0"/>
          <w:color w:val="auto"/>
          <w:sz w:val="32"/>
          <w:szCs w:val="32"/>
        </w:rPr>
        <w:t>、氨氮、SS、总氮、总磷、氯化物、二氯甲烷</w:t>
      </w:r>
      <w:r>
        <w:rPr>
          <w:rFonts w:hint="eastAsia" w:ascii="仿宋_GB2312" w:hAnsi="仿宋_GB2312" w:eastAsia="仿宋_GB2312" w:cs="仿宋_GB2312"/>
          <w:snapToGrid w:val="0"/>
          <w:color w:val="auto"/>
          <w:sz w:val="32"/>
          <w:szCs w:val="32"/>
          <w:lang w:val="en-US" w:eastAsia="zh-CN"/>
        </w:rPr>
        <w:t>执行</w:t>
      </w:r>
      <w:r>
        <w:rPr>
          <w:rFonts w:ascii="仿宋_GB2312" w:hAnsi="仿宋_GB2312" w:eastAsia="仿宋_GB2312" w:cs="仿宋_GB2312"/>
          <w:snapToGrid w:val="0"/>
          <w:color w:val="auto"/>
          <w:sz w:val="32"/>
          <w:szCs w:val="32"/>
        </w:rPr>
        <w:t>宜春经济开发区污水处理厂协议接管标准，动植物油、石油类、AO</w:t>
      </w:r>
      <w:r>
        <w:rPr>
          <w:rFonts w:hint="eastAsia" w:ascii="仿宋_GB2312" w:hAnsi="仿宋_GB2312" w:eastAsia="仿宋_GB2312" w:cs="仿宋_GB2312"/>
          <w:snapToGrid w:val="0"/>
          <w:color w:val="auto"/>
          <w:sz w:val="32"/>
          <w:szCs w:val="32"/>
        </w:rPr>
        <w:t>X</w:t>
      </w:r>
      <w:r>
        <w:rPr>
          <w:rFonts w:hint="eastAsia" w:ascii="仿宋_GB2312" w:hAnsi="仿宋_GB2312" w:eastAsia="仿宋_GB2312" w:cs="仿宋_GB2312"/>
          <w:snapToGrid w:val="0"/>
          <w:color w:val="auto"/>
          <w:sz w:val="32"/>
          <w:szCs w:val="32"/>
          <w:lang w:val="en-US" w:eastAsia="zh-CN"/>
        </w:rPr>
        <w:t>执行</w:t>
      </w:r>
      <w:r>
        <w:rPr>
          <w:rFonts w:ascii="仿宋_GB2312" w:hAnsi="仿宋_GB2312" w:eastAsia="仿宋_GB2312" w:cs="仿宋_GB2312"/>
          <w:snapToGrid w:val="0"/>
          <w:color w:val="auto"/>
          <w:sz w:val="32"/>
          <w:szCs w:val="32"/>
        </w:rPr>
        <w:t>《污水综合排放标准》</w:t>
      </w:r>
      <w:r>
        <w:rPr>
          <w:rFonts w:hint="eastAsia" w:ascii="仿宋_GB2312" w:hAnsi="仿宋_GB2312" w:eastAsia="仿宋_GB2312" w:cs="仿宋_GB2312"/>
          <w:snapToGrid w:val="0"/>
          <w:color w:val="auto"/>
          <w:sz w:val="32"/>
          <w:szCs w:val="32"/>
        </w:rPr>
        <w:t>(</w:t>
      </w:r>
      <w:r>
        <w:rPr>
          <w:rFonts w:ascii="仿宋_GB2312" w:hAnsi="仿宋_GB2312" w:eastAsia="仿宋_GB2312" w:cs="仿宋_GB2312"/>
          <w:snapToGrid w:val="0"/>
          <w:color w:val="auto"/>
          <w:sz w:val="32"/>
          <w:szCs w:val="32"/>
        </w:rPr>
        <w:t>GB8978-1996</w:t>
      </w:r>
      <w:r>
        <w:rPr>
          <w:rFonts w:hint="eastAsia" w:ascii="仿宋_GB2312" w:hAnsi="仿宋_GB2312" w:eastAsia="仿宋_GB2312" w:cs="仿宋_GB2312"/>
          <w:snapToGrid w:val="0"/>
          <w:color w:val="auto"/>
          <w:sz w:val="32"/>
          <w:szCs w:val="32"/>
        </w:rPr>
        <w:t>)</w:t>
      </w:r>
      <w:r>
        <w:rPr>
          <w:rFonts w:ascii="仿宋_GB2312" w:hAnsi="仿宋_GB2312" w:eastAsia="仿宋_GB2312" w:cs="仿宋_GB2312"/>
          <w:snapToGrid w:val="0"/>
          <w:color w:val="auto"/>
          <w:sz w:val="32"/>
          <w:szCs w:val="32"/>
        </w:rPr>
        <w:t>一级标准</w:t>
      </w:r>
      <w:r>
        <w:rPr>
          <w:rFonts w:hint="eastAsia" w:ascii="仿宋_GB2312" w:hAnsi="仿宋_GB2312" w:eastAsia="仿宋_GB2312" w:cs="仿宋_GB2312"/>
          <w:snapToGrid w:val="0"/>
          <w:color w:val="auto"/>
          <w:sz w:val="32"/>
          <w:szCs w:val="32"/>
        </w:rPr>
        <w:t>要求，TOC</w:t>
      </w:r>
      <w:r>
        <w:rPr>
          <w:rFonts w:hint="eastAsia" w:ascii="仿宋_GB2312" w:hAnsi="仿宋_GB2312" w:eastAsia="仿宋_GB2312" w:cs="仿宋_GB2312"/>
          <w:snapToGrid w:val="0"/>
          <w:color w:val="auto"/>
          <w:sz w:val="32"/>
          <w:szCs w:val="32"/>
          <w:lang w:val="en-US" w:eastAsia="zh-CN"/>
        </w:rPr>
        <w:t>执行</w:t>
      </w:r>
      <w:r>
        <w:rPr>
          <w:rFonts w:ascii="仿宋_GB2312" w:hAnsi="仿宋_GB2312" w:eastAsia="仿宋_GB2312" w:cs="仿宋_GB2312"/>
          <w:snapToGrid w:val="0"/>
          <w:color w:val="auto"/>
          <w:sz w:val="32"/>
          <w:szCs w:val="32"/>
        </w:rPr>
        <w:t>《化学合成类制药工业水污染物排放标准》（GB21904-2008）表2要求</w:t>
      </w:r>
      <w:r>
        <w:rPr>
          <w:rFonts w:hint="eastAsia" w:ascii="仿宋_GB2312" w:hAnsi="仿宋_GB2312" w:eastAsia="仿宋_GB2312" w:cs="仿宋_GB2312"/>
          <w:snapToGrid w:val="0"/>
          <w:color w:val="auto"/>
          <w:sz w:val="32"/>
          <w:szCs w:val="32"/>
          <w:lang w:eastAsia="zh-CN"/>
        </w:rPr>
        <w:t>后</w:t>
      </w:r>
      <w:r>
        <w:rPr>
          <w:rFonts w:ascii="仿宋_GB2312" w:hAnsi="仿宋_GB2312" w:eastAsia="仿宋_GB2312" w:cs="仿宋_GB2312"/>
          <w:snapToGrid w:val="0"/>
          <w:color w:val="auto"/>
          <w:sz w:val="32"/>
          <w:szCs w:val="32"/>
        </w:rPr>
        <w:t>，排</w:t>
      </w:r>
      <w:r>
        <w:rPr>
          <w:rFonts w:hint="eastAsia" w:ascii="仿宋_GB2312" w:hAnsi="仿宋_GB2312" w:eastAsia="仿宋_GB2312" w:cs="仿宋_GB2312"/>
          <w:snapToGrid w:val="0"/>
          <w:color w:val="auto"/>
          <w:sz w:val="32"/>
          <w:szCs w:val="32"/>
          <w:lang w:eastAsia="zh-CN"/>
        </w:rPr>
        <w:t>入</w:t>
      </w:r>
      <w:r>
        <w:rPr>
          <w:rFonts w:ascii="仿宋_GB2312" w:hAnsi="仿宋_GB2312" w:eastAsia="仿宋_GB2312" w:cs="仿宋_GB2312"/>
          <w:snapToGrid w:val="0"/>
          <w:color w:val="auto"/>
          <w:sz w:val="32"/>
          <w:szCs w:val="32"/>
        </w:rPr>
        <w:t>园区污水</w:t>
      </w:r>
      <w:r>
        <w:rPr>
          <w:rFonts w:hint="eastAsia" w:ascii="仿宋_GB2312" w:hAnsi="仿宋_GB2312" w:eastAsia="仿宋_GB2312" w:cs="仿宋_GB2312"/>
          <w:snapToGrid w:val="0"/>
          <w:color w:val="auto"/>
          <w:sz w:val="32"/>
          <w:szCs w:val="32"/>
          <w:lang w:eastAsia="zh-CN"/>
        </w:rPr>
        <w:t>管网，经</w:t>
      </w:r>
      <w:r>
        <w:rPr>
          <w:rFonts w:ascii="仿宋_GB2312" w:hAnsi="仿宋_GB2312" w:eastAsia="仿宋_GB2312" w:cs="仿宋_GB2312"/>
          <w:snapToGrid w:val="0"/>
          <w:color w:val="auto"/>
          <w:sz w:val="32"/>
          <w:szCs w:val="32"/>
        </w:rPr>
        <w:t>宜春经济开发区污水处理厂</w:t>
      </w:r>
      <w:r>
        <w:rPr>
          <w:rFonts w:hint="eastAsia" w:ascii="仿宋_GB2312" w:hAnsi="仿宋_GB2312" w:eastAsia="仿宋_GB2312" w:cs="仿宋_GB2312"/>
          <w:snapToGrid w:val="0"/>
          <w:color w:val="auto"/>
          <w:sz w:val="32"/>
          <w:szCs w:val="32"/>
          <w:lang w:eastAsia="zh-CN"/>
        </w:rPr>
        <w:t>进一步处理</w:t>
      </w:r>
      <w:r>
        <w:rPr>
          <w:rFonts w:hint="eastAsia" w:ascii="仿宋_GB2312" w:hAnsi="仿宋_GB2312" w:eastAsia="仿宋_GB2312" w:cs="仿宋_GB2312"/>
          <w:snapToGrid w:val="0"/>
          <w:color w:val="auto"/>
          <w:sz w:val="32"/>
          <w:szCs w:val="32"/>
        </w:rPr>
        <w:t>后尾水执行《城镇污水处理厂污染物排放标准》（GB18918-2002）中一级A标准，最终排入袁河。</w:t>
      </w:r>
    </w:p>
    <w:p>
      <w:pPr>
        <w:pStyle w:val="30"/>
        <w:keepNext w:val="0"/>
        <w:keepLines w:val="0"/>
        <w:pageBreakBefore w:val="0"/>
        <w:widowControl w:val="0"/>
        <w:kinsoku/>
        <w:wordWrap/>
        <w:overflowPunct/>
        <w:topLinePunct w:val="0"/>
        <w:autoSpaceDE w:val="0"/>
        <w:autoSpaceDN w:val="0"/>
        <w:bidi w:val="0"/>
        <w:adjustRightInd w:val="0"/>
        <w:snapToGrid/>
        <w:ind w:left="0" w:leftChars="0" w:firstLine="640" w:firstLineChars="200"/>
        <w:textAlignment w:val="auto"/>
        <w:rPr>
          <w:rFonts w:hint="default" w:ascii="Times New Roman" w:hAnsi="Times New Roman" w:eastAsia="仿宋_GB2312" w:cs="Times New Roman"/>
          <w:color w:val="000000" w:themeColor="text1"/>
          <w:kern w:val="2"/>
          <w:sz w:val="32"/>
          <w:szCs w:val="32"/>
          <w:shd w:val="clear" w:color="auto" w:fill="auto"/>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shd w:val="clear" w:color="auto" w:fill="auto"/>
          <w:lang w:val="en-US" w:eastAsia="zh-CN" w:bidi="ar-SA"/>
          <w14:textFill>
            <w14:solidFill>
              <w14:schemeClr w14:val="tx1"/>
            </w14:solidFill>
          </w14:textFill>
        </w:rPr>
        <w:t>本项目厂区污水总排口排放量为</w:t>
      </w:r>
      <w:r>
        <w:rPr>
          <w:rFonts w:hint="eastAsia" w:ascii="仿宋_GB2312" w:hAnsi="仿宋_GB2312" w:eastAsia="仿宋_GB2312" w:cs="仿宋_GB2312"/>
          <w:snapToGrid w:val="0"/>
          <w:color w:val="000000" w:themeColor="text1"/>
          <w:kern w:val="2"/>
          <w:sz w:val="32"/>
          <w:szCs w:val="32"/>
          <w:lang w:val="en-US" w:eastAsia="zh-CN" w:bidi="ar-SA"/>
          <w14:textFill>
            <w14:solidFill>
              <w14:schemeClr w14:val="tx1"/>
            </w14:solidFill>
          </w14:textFill>
        </w:rPr>
        <w:t>COD</w:t>
      </w:r>
      <w:r>
        <w:rPr>
          <w:rFonts w:hint="default" w:ascii="仿宋_GB2312" w:hAnsi="仿宋_GB2312" w:eastAsia="仿宋_GB2312" w:cs="仿宋_GB2312"/>
          <w:snapToGrid w:val="0"/>
          <w:color w:val="000000" w:themeColor="text1"/>
          <w:kern w:val="2"/>
          <w:sz w:val="32"/>
          <w:szCs w:val="32"/>
          <w:lang w:val="en-US" w:eastAsia="zh-CN" w:bidi="ar-SA"/>
          <w14:textFill>
            <w14:solidFill>
              <w14:schemeClr w14:val="tx1"/>
            </w14:solidFill>
          </w14:textFill>
        </w:rPr>
        <w:t>≤11.83t/a，NH</w:t>
      </w:r>
      <w:r>
        <w:rPr>
          <w:rFonts w:hint="default" w:ascii="仿宋_GB2312" w:hAnsi="仿宋_GB2312" w:eastAsia="仿宋_GB2312" w:cs="仿宋_GB2312"/>
          <w:snapToGrid w:val="0"/>
          <w:color w:val="000000" w:themeColor="text1"/>
          <w:kern w:val="2"/>
          <w:sz w:val="32"/>
          <w:szCs w:val="32"/>
          <w:vertAlign w:val="subscript"/>
          <w:lang w:val="en-US" w:eastAsia="zh-CN" w:bidi="ar-SA"/>
          <w14:textFill>
            <w14:solidFill>
              <w14:schemeClr w14:val="tx1"/>
            </w14:solidFill>
          </w14:textFill>
        </w:rPr>
        <w:t>3</w:t>
      </w:r>
      <w:r>
        <w:rPr>
          <w:rFonts w:hint="default" w:ascii="仿宋_GB2312" w:hAnsi="仿宋_GB2312" w:eastAsia="仿宋_GB2312" w:cs="仿宋_GB2312"/>
          <w:snapToGrid w:val="0"/>
          <w:color w:val="000000" w:themeColor="text1"/>
          <w:kern w:val="2"/>
          <w:sz w:val="32"/>
          <w:szCs w:val="32"/>
          <w:lang w:val="en-US" w:eastAsia="zh-CN" w:bidi="ar-SA"/>
          <w14:textFill>
            <w14:solidFill>
              <w14:schemeClr w14:val="tx1"/>
            </w14:solidFill>
          </w14:textFill>
        </w:rPr>
        <w:t>-N≤0.19t/a,</w:t>
      </w:r>
      <w:r>
        <w:rPr>
          <w:rFonts w:ascii="仿宋_GB2312" w:hAnsi="仿宋_GB2312" w:eastAsia="仿宋_GB2312" w:cs="仿宋_GB2312"/>
          <w:snapToGrid w:val="0"/>
          <w:color w:val="000000" w:themeColor="text1"/>
          <w:sz w:val="32"/>
          <w:szCs w:val="32"/>
          <w14:textFill>
            <w14:solidFill>
              <w14:schemeClr w14:val="tx1"/>
            </w14:solidFill>
          </w14:textFill>
        </w:rPr>
        <w:t>宜春经济开发区污水处理厂</w:t>
      </w:r>
      <w:r>
        <w:rPr>
          <w:rFonts w:hint="default" w:ascii="仿宋_GB2312" w:hAnsi="仿宋_GB2312" w:eastAsia="仿宋_GB2312" w:cs="仿宋_GB2312"/>
          <w:snapToGrid w:val="0"/>
          <w:color w:val="000000" w:themeColor="text1"/>
          <w:kern w:val="2"/>
          <w:sz w:val="32"/>
          <w:szCs w:val="32"/>
          <w:lang w:val="en-US" w:eastAsia="zh-CN" w:bidi="ar-SA"/>
          <w14:textFill>
            <w14:solidFill>
              <w14:schemeClr w14:val="tx1"/>
            </w14:solidFill>
          </w14:textFill>
        </w:rPr>
        <w:t>处理达标后尾水中污染物排放量为：COD≤</w:t>
      </w:r>
      <w:r>
        <w:rPr>
          <w:rFonts w:hint="eastAsia" w:ascii="仿宋_GB2312" w:hAnsi="仿宋_GB2312" w:eastAsia="仿宋_GB2312" w:cs="仿宋_GB2312"/>
          <w:color w:val="000000" w:themeColor="text1"/>
          <w:sz w:val="32"/>
          <w:szCs w:val="32"/>
          <w14:textFill>
            <w14:solidFill>
              <w14:schemeClr w14:val="tx1"/>
            </w14:solidFill>
          </w14:textFill>
        </w:rPr>
        <w:t>1.18t/a</w:t>
      </w:r>
      <w:r>
        <w:rPr>
          <w:rFonts w:hint="default" w:ascii="仿宋_GB2312" w:hAnsi="仿宋_GB2312" w:eastAsia="仿宋_GB2312" w:cs="仿宋_GB2312"/>
          <w:snapToGrid w:val="0"/>
          <w:color w:val="000000" w:themeColor="text1"/>
          <w:kern w:val="2"/>
          <w:sz w:val="32"/>
          <w:szCs w:val="32"/>
          <w:lang w:val="en-US" w:eastAsia="zh-CN" w:bidi="ar-SA"/>
          <w14:textFill>
            <w14:solidFill>
              <w14:schemeClr w14:val="tx1"/>
            </w14:solidFill>
          </w14:textFill>
        </w:rPr>
        <w:t>t/a，NH</w:t>
      </w:r>
      <w:r>
        <w:rPr>
          <w:rFonts w:hint="default" w:ascii="仿宋_GB2312" w:hAnsi="仿宋_GB2312" w:eastAsia="仿宋_GB2312" w:cs="仿宋_GB2312"/>
          <w:snapToGrid w:val="0"/>
          <w:color w:val="000000" w:themeColor="text1"/>
          <w:kern w:val="2"/>
          <w:sz w:val="32"/>
          <w:szCs w:val="32"/>
          <w:vertAlign w:val="subscript"/>
          <w:lang w:val="en-US" w:eastAsia="zh-CN" w:bidi="ar-SA"/>
          <w14:textFill>
            <w14:solidFill>
              <w14:schemeClr w14:val="tx1"/>
            </w14:solidFill>
          </w14:textFill>
        </w:rPr>
        <w:t>3</w:t>
      </w:r>
      <w:r>
        <w:rPr>
          <w:rFonts w:hint="default" w:ascii="仿宋_GB2312" w:hAnsi="仿宋_GB2312" w:eastAsia="仿宋_GB2312" w:cs="仿宋_GB2312"/>
          <w:snapToGrid w:val="0"/>
          <w:color w:val="000000" w:themeColor="text1"/>
          <w:kern w:val="2"/>
          <w:sz w:val="32"/>
          <w:szCs w:val="32"/>
          <w:lang w:val="en-US" w:eastAsia="zh-CN" w:bidi="ar-SA"/>
          <w14:textFill>
            <w14:solidFill>
              <w14:schemeClr w14:val="tx1"/>
            </w14:solidFill>
          </w14:textFill>
        </w:rPr>
        <w:t>-N≤</w:t>
      </w:r>
      <w:r>
        <w:rPr>
          <w:rFonts w:hint="eastAsia" w:ascii="仿宋_GB2312" w:hAnsi="仿宋_GB2312" w:eastAsia="仿宋_GB2312" w:cs="仿宋_GB2312"/>
          <w:color w:val="000000" w:themeColor="text1"/>
          <w:sz w:val="32"/>
          <w:szCs w:val="32"/>
          <w14:textFill>
            <w14:solidFill>
              <w14:schemeClr w14:val="tx1"/>
            </w14:solidFill>
          </w14:textFill>
        </w:rPr>
        <w:t>0.12</w:t>
      </w:r>
      <w:r>
        <w:rPr>
          <w:rFonts w:hint="default" w:ascii="仿宋_GB2312" w:hAnsi="仿宋_GB2312" w:eastAsia="仿宋_GB2312" w:cs="仿宋_GB2312"/>
          <w:snapToGrid w:val="0"/>
          <w:color w:val="000000" w:themeColor="text1"/>
          <w:kern w:val="2"/>
          <w:sz w:val="32"/>
          <w:szCs w:val="32"/>
          <w:lang w:val="en-US" w:eastAsia="zh-CN" w:bidi="ar-SA"/>
          <w14:textFill>
            <w14:solidFill>
              <w14:schemeClr w14:val="tx1"/>
            </w14:solidFill>
          </w14:textFill>
        </w:rPr>
        <w:t>t/a。</w:t>
      </w:r>
    </w:p>
    <w:p>
      <w:pPr>
        <w:keepNext w:val="0"/>
        <w:keepLines w:val="0"/>
        <w:pageBreakBefore w:val="0"/>
        <w:kinsoku/>
        <w:overflowPunct/>
        <w:topLinePunct w:val="0"/>
        <w:bidi w:val="0"/>
        <w:adjustRightInd w:val="0"/>
        <w:snapToGrid w:val="0"/>
        <w:spacing w:line="520" w:lineRule="exact"/>
        <w:ind w:firstLine="640" w:firstLineChars="200"/>
        <w:jc w:val="both"/>
        <w:rPr>
          <w:rFonts w:ascii="Times New Roman" w:hAnsi="Times New Roman" w:eastAsia="仿宋_GB2312"/>
          <w:bCs/>
          <w:color w:val="auto"/>
          <w:sz w:val="32"/>
          <w:szCs w:val="32"/>
          <w:shd w:val="clear" w:color="auto" w:fill="auto"/>
        </w:rPr>
      </w:pPr>
      <w:r>
        <w:rPr>
          <w:rFonts w:hint="default" w:ascii="Times New Roman" w:hAnsi="Times New Roman" w:eastAsia="楷体" w:cs="Times New Roman"/>
          <w:color w:val="000000"/>
          <w:sz w:val="32"/>
          <w:szCs w:val="32"/>
          <w:lang w:val="en-US" w:eastAsia="zh-CN"/>
        </w:rPr>
        <w:t>（二）严格落实大气污染防治措施。</w:t>
      </w:r>
      <w:r>
        <w:rPr>
          <w:rFonts w:ascii="Times New Roman" w:hAnsi="Times New Roman" w:eastAsia="仿宋_GB2312"/>
          <w:bCs/>
          <w:color w:val="auto"/>
          <w:sz w:val="32"/>
          <w:szCs w:val="32"/>
          <w:shd w:val="clear" w:color="auto" w:fill="auto"/>
        </w:rPr>
        <w:t>项目</w:t>
      </w:r>
      <w:r>
        <w:rPr>
          <w:rFonts w:hint="eastAsia" w:ascii="仿宋_GB2312" w:hAnsi="宋体" w:eastAsia="仿宋_GB2312" w:cs="Times New Roman"/>
          <w:color w:val="auto"/>
          <w:kern w:val="2"/>
          <w:sz w:val="32"/>
          <w:szCs w:val="24"/>
          <w:shd w:val="clear" w:color="auto" w:fill="auto"/>
          <w:lang w:val="en-US" w:eastAsia="zh-CN" w:bidi="ar-SA"/>
        </w:rPr>
        <w:t>运营期废气主要为</w:t>
      </w:r>
      <w:r>
        <w:rPr>
          <w:rFonts w:hint="eastAsia" w:ascii="仿宋_GB2312" w:hAnsi="仿宋_GB2312" w:eastAsia="仿宋_GB2312" w:cs="仿宋_GB2312"/>
          <w:bCs/>
          <w:color w:val="auto"/>
          <w:sz w:val="32"/>
          <w:szCs w:val="32"/>
          <w:lang w:eastAsia="zh-CN"/>
        </w:rPr>
        <w:t>工艺</w:t>
      </w:r>
      <w:r>
        <w:rPr>
          <w:rFonts w:hint="eastAsia" w:ascii="仿宋_GB2312" w:hAnsi="仿宋_GB2312" w:eastAsia="仿宋_GB2312" w:cs="仿宋_GB2312"/>
          <w:bCs/>
          <w:color w:val="auto"/>
          <w:sz w:val="32"/>
          <w:szCs w:val="32"/>
        </w:rPr>
        <w:t>废气、危险废物暂存库废气、储罐</w:t>
      </w:r>
      <w:r>
        <w:rPr>
          <w:rFonts w:hint="eastAsia" w:ascii="仿宋_GB2312" w:hAnsi="仿宋_GB2312" w:eastAsia="仿宋_GB2312" w:cs="仿宋_GB2312"/>
          <w:bCs/>
          <w:color w:val="auto"/>
          <w:sz w:val="32"/>
          <w:szCs w:val="32"/>
          <w:lang w:eastAsia="zh-CN"/>
        </w:rPr>
        <w:t>区</w:t>
      </w:r>
      <w:r>
        <w:rPr>
          <w:rFonts w:hint="eastAsia" w:ascii="仿宋_GB2312" w:hAnsi="仿宋_GB2312" w:eastAsia="仿宋_GB2312" w:cs="仿宋_GB2312"/>
          <w:bCs/>
          <w:color w:val="auto"/>
          <w:sz w:val="32"/>
          <w:szCs w:val="32"/>
        </w:rPr>
        <w:t>废气、污水处理站废气</w:t>
      </w:r>
      <w:r>
        <w:rPr>
          <w:rFonts w:hint="eastAsia" w:ascii="仿宋_GB2312" w:hAnsi="仿宋_GB2312" w:eastAsia="仿宋_GB2312" w:cs="仿宋_GB2312"/>
          <w:bCs/>
          <w:color w:val="auto"/>
          <w:sz w:val="32"/>
          <w:szCs w:val="32"/>
          <w:lang w:val="en-US" w:eastAsia="zh-CN"/>
        </w:rPr>
        <w:t>等</w:t>
      </w:r>
      <w:r>
        <w:rPr>
          <w:rFonts w:hint="eastAsia" w:ascii="仿宋_GB2312" w:hAnsi="仿宋_GB2312" w:eastAsia="仿宋_GB2312" w:cs="仿宋_GB2312"/>
          <w:bCs/>
          <w:snapToGrid w:val="0"/>
          <w:color w:val="auto"/>
          <w:kern w:val="2"/>
          <w:sz w:val="32"/>
          <w:szCs w:val="32"/>
        </w:rPr>
        <w:t>。</w:t>
      </w:r>
    </w:p>
    <w:p>
      <w:pPr>
        <w:pStyle w:val="43"/>
        <w:keepNext w:val="0"/>
        <w:keepLines w:val="0"/>
        <w:pageBreakBefore w:val="0"/>
        <w:kinsoku/>
        <w:wordWrap/>
        <w:overflowPunct/>
        <w:topLinePunct w:val="0"/>
        <w:bidi w:val="0"/>
        <w:spacing w:line="560" w:lineRule="exact"/>
        <w:ind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kern w:val="0"/>
          <w:sz w:val="32"/>
          <w:szCs w:val="32"/>
          <w:lang w:val="en-US" w:eastAsia="zh-CN"/>
        </w:rPr>
        <w:t>生产车间</w:t>
      </w:r>
      <w:r>
        <w:rPr>
          <w:rFonts w:hint="eastAsia" w:ascii="仿宋_GB2312" w:hAnsi="仿宋_GB2312" w:eastAsia="仿宋_GB2312" w:cs="仿宋_GB2312"/>
          <w:bCs/>
          <w:color w:val="auto"/>
          <w:kern w:val="0"/>
          <w:sz w:val="32"/>
          <w:szCs w:val="32"/>
        </w:rPr>
        <w:t>产生的工艺废气</w:t>
      </w:r>
      <w:r>
        <w:rPr>
          <w:rFonts w:hint="eastAsia" w:ascii="仿宋_GB2312" w:hAnsi="仿宋_GB2312" w:eastAsia="仿宋_GB2312" w:cs="仿宋_GB2312"/>
          <w:bCs/>
          <w:color w:val="auto"/>
          <w:kern w:val="0"/>
          <w:sz w:val="32"/>
          <w:szCs w:val="32"/>
          <w:lang w:eastAsia="zh-CN"/>
        </w:rPr>
        <w:t>分别</w:t>
      </w:r>
      <w:r>
        <w:rPr>
          <w:rFonts w:hint="eastAsia" w:ascii="仿宋_GB2312" w:hAnsi="仿宋_GB2312" w:eastAsia="仿宋_GB2312" w:cs="仿宋_GB2312"/>
          <w:bCs/>
          <w:color w:val="auto"/>
          <w:kern w:val="0"/>
          <w:sz w:val="32"/>
          <w:szCs w:val="32"/>
        </w:rPr>
        <w:t>经</w:t>
      </w:r>
      <w:r>
        <w:rPr>
          <w:rFonts w:ascii="仿宋_GB2312" w:hAnsi="仿宋_GB2312" w:eastAsia="仿宋_GB2312" w:cs="仿宋_GB2312"/>
          <w:bCs/>
          <w:color w:val="auto"/>
          <w:kern w:val="0"/>
          <w:sz w:val="32"/>
          <w:szCs w:val="32"/>
        </w:rPr>
        <w:t>工序自带</w:t>
      </w:r>
      <w:r>
        <w:rPr>
          <w:rFonts w:hint="eastAsia" w:ascii="仿宋_GB2312" w:hAnsi="仿宋_GB2312" w:eastAsia="仿宋_GB2312" w:cs="仿宋_GB2312"/>
          <w:bCs/>
          <w:color w:val="auto"/>
          <w:kern w:val="0"/>
          <w:sz w:val="32"/>
          <w:szCs w:val="32"/>
          <w:lang w:eastAsia="zh-CN"/>
        </w:rPr>
        <w:t>的</w:t>
      </w:r>
      <w:r>
        <w:rPr>
          <w:rFonts w:ascii="仿宋_GB2312" w:hAnsi="仿宋_GB2312" w:eastAsia="仿宋_GB2312" w:cs="仿宋_GB2312"/>
          <w:bCs/>
          <w:color w:val="auto"/>
          <w:kern w:val="0"/>
          <w:sz w:val="32"/>
          <w:szCs w:val="32"/>
        </w:rPr>
        <w:t>冷凝预处理后，再经过</w:t>
      </w:r>
      <w:r>
        <w:rPr>
          <w:rFonts w:hint="eastAsia" w:ascii="仿宋_GB2312" w:hAnsi="仿宋_GB2312" w:eastAsia="仿宋_GB2312" w:cs="仿宋_GB2312"/>
          <w:bCs/>
          <w:color w:val="auto"/>
          <w:kern w:val="0"/>
          <w:sz w:val="32"/>
          <w:szCs w:val="32"/>
          <w:lang w:eastAsia="zh-CN"/>
        </w:rPr>
        <w:t>每个车间各一套“</w:t>
      </w:r>
      <w:r>
        <w:rPr>
          <w:rFonts w:ascii="仿宋_GB2312" w:hAnsi="仿宋_GB2312" w:eastAsia="仿宋_GB2312" w:cs="仿宋_GB2312"/>
          <w:bCs/>
          <w:color w:val="auto"/>
          <w:kern w:val="0"/>
          <w:sz w:val="32"/>
          <w:szCs w:val="32"/>
        </w:rPr>
        <w:t>碱液喷淋+水喷淋+大孔树脂吸附+大孔树脂吸附+活性炭吸附</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或其他更为成熟稳定工艺</w:t>
      </w:r>
      <w:r>
        <w:rPr>
          <w:rFonts w:ascii="仿宋_GB2312" w:hAnsi="仿宋_GB2312" w:eastAsia="仿宋_GB2312" w:cs="仿宋_GB2312"/>
          <w:bCs/>
          <w:color w:val="auto"/>
          <w:kern w:val="0"/>
          <w:sz w:val="32"/>
          <w:szCs w:val="32"/>
        </w:rPr>
        <w:t>处理</w:t>
      </w:r>
      <w:r>
        <w:rPr>
          <w:rFonts w:hint="eastAsia" w:ascii="仿宋_GB2312" w:hAnsi="仿宋_GB2312" w:eastAsia="仿宋_GB2312" w:cs="仿宋_GB2312"/>
          <w:bCs/>
          <w:color w:val="auto"/>
          <w:kern w:val="0"/>
          <w:sz w:val="32"/>
          <w:szCs w:val="32"/>
          <w:lang w:val="en-US" w:eastAsia="zh-CN"/>
        </w:rPr>
        <w:t>后</w:t>
      </w:r>
      <w:r>
        <w:rPr>
          <w:rFonts w:hint="eastAsia" w:ascii="仿宋_GB2312" w:hAnsi="仿宋_GB2312" w:eastAsia="仿宋_GB2312" w:cs="仿宋_GB2312"/>
          <w:bCs/>
          <w:color w:val="auto"/>
          <w:sz w:val="32"/>
          <w:szCs w:val="32"/>
        </w:rPr>
        <w:t>，</w:t>
      </w:r>
      <w:r>
        <w:rPr>
          <w:rFonts w:ascii="仿宋_GB2312" w:hAnsi="仿宋_GB2312" w:eastAsia="仿宋_GB2312" w:cs="仿宋_GB2312"/>
          <w:bCs/>
          <w:color w:val="auto"/>
          <w:sz w:val="32"/>
          <w:szCs w:val="32"/>
        </w:rPr>
        <w:t>甲醇、二氯甲烷、丙酮、乙酸乙酯、乙腈、非甲烷总烃、TVOC</w:t>
      </w:r>
      <w:r>
        <w:rPr>
          <w:rFonts w:hint="eastAsia" w:ascii="仿宋_GB2312" w:hAnsi="仿宋_GB2312" w:eastAsia="仿宋_GB2312" w:cs="仿宋_GB2312"/>
          <w:bCs/>
          <w:color w:val="auto"/>
          <w:sz w:val="32"/>
          <w:szCs w:val="32"/>
          <w:lang w:val="en-US" w:eastAsia="zh-CN"/>
        </w:rPr>
        <w:t>执行</w:t>
      </w:r>
      <w:r>
        <w:rPr>
          <w:rFonts w:hint="eastAsia" w:ascii="仿宋_GB2312" w:hAnsi="仿宋_GB2312" w:eastAsia="仿宋_GB2312" w:cs="仿宋_GB2312"/>
          <w:bCs/>
          <w:color w:val="auto"/>
          <w:sz w:val="32"/>
          <w:szCs w:val="32"/>
          <w:lang w:eastAsia="zh-CN"/>
        </w:rPr>
        <w:t>江西省地标</w:t>
      </w:r>
      <w:r>
        <w:rPr>
          <w:rFonts w:ascii="仿宋_GB2312" w:hAnsi="仿宋_GB2312" w:eastAsia="仿宋_GB2312" w:cs="仿宋_GB2312"/>
          <w:bCs/>
          <w:color w:val="auto"/>
          <w:sz w:val="32"/>
          <w:szCs w:val="32"/>
        </w:rPr>
        <w:t>《挥发性有机物排放标准 第3部分 医药制造业》（DB36/1101.3-2019）排放限值；氯化氢</w:t>
      </w:r>
      <w:r>
        <w:rPr>
          <w:rFonts w:hint="eastAsia" w:ascii="仿宋_GB2312" w:hAnsi="仿宋_GB2312" w:eastAsia="仿宋_GB2312" w:cs="仿宋_GB2312"/>
          <w:bCs/>
          <w:color w:val="auto"/>
          <w:sz w:val="32"/>
          <w:szCs w:val="32"/>
          <w:lang w:val="en-US" w:eastAsia="zh-CN"/>
        </w:rPr>
        <w:t>执行</w:t>
      </w:r>
      <w:r>
        <w:rPr>
          <w:rFonts w:ascii="仿宋_GB2312" w:hAnsi="仿宋_GB2312" w:eastAsia="仿宋_GB2312" w:cs="仿宋_GB2312"/>
          <w:bCs/>
          <w:color w:val="auto"/>
          <w:sz w:val="32"/>
          <w:szCs w:val="32"/>
        </w:rPr>
        <w:t>《制药工业大气污染物排放标准》（GB37823-2019）中标准限值，三乙胺、溴化氢</w:t>
      </w:r>
      <w:r>
        <w:rPr>
          <w:rFonts w:hint="eastAsia" w:ascii="仿宋_GB2312" w:hAnsi="仿宋_GB2312" w:eastAsia="仿宋_GB2312" w:cs="仿宋_GB2312"/>
          <w:bCs/>
          <w:color w:val="auto"/>
          <w:sz w:val="32"/>
          <w:szCs w:val="32"/>
        </w:rPr>
        <w:t>满足</w:t>
      </w:r>
      <w:r>
        <w:rPr>
          <w:rFonts w:hint="eastAsia" w:ascii="仿宋_GB2312" w:hAnsi="仿宋_GB2312" w:eastAsia="仿宋_GB2312" w:cs="仿宋_GB2312"/>
          <w:bCs/>
          <w:color w:val="auto"/>
          <w:sz w:val="32"/>
          <w:szCs w:val="32"/>
          <w:lang w:eastAsia="zh-CN"/>
        </w:rPr>
        <w:t>参照执行的上海市地方标准</w:t>
      </w:r>
      <w:r>
        <w:rPr>
          <w:rFonts w:ascii="仿宋_GB2312" w:hAnsi="仿宋_GB2312" w:eastAsia="仿宋_GB2312" w:cs="仿宋_GB2312"/>
          <w:bCs/>
          <w:color w:val="auto"/>
          <w:sz w:val="32"/>
          <w:szCs w:val="32"/>
        </w:rPr>
        <w:t>《大气污染物综合排放标准》（DB31/933-2015）标准要求</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危险废物暂存库、储罐区、污水处理站废气主要污染物</w:t>
      </w:r>
      <w:r>
        <w:rPr>
          <w:rFonts w:hint="eastAsia" w:ascii="仿宋_GB2312" w:hAnsi="仿宋_GB2312" w:eastAsia="仿宋_GB2312" w:cs="仿宋_GB2312"/>
          <w:bCs/>
          <w:color w:val="auto"/>
          <w:sz w:val="32"/>
          <w:szCs w:val="32"/>
          <w:lang w:eastAsia="zh-CN"/>
        </w:rPr>
        <w:t>经各自收集系统收集后，一同经二级活性炭吸附处理</w:t>
      </w:r>
      <w:r>
        <w:rPr>
          <w:rFonts w:hint="eastAsia" w:ascii="仿宋_GB2312" w:hAnsi="仿宋_GB2312" w:eastAsia="仿宋_GB2312" w:cs="仿宋_GB2312"/>
          <w:bCs/>
          <w:color w:val="auto"/>
          <w:sz w:val="32"/>
          <w:szCs w:val="32"/>
        </w:rPr>
        <w:t>，处理后</w:t>
      </w:r>
      <w:r>
        <w:rPr>
          <w:rFonts w:ascii="仿宋_GB2312" w:hAnsi="仿宋_GB2312" w:eastAsia="仿宋_GB2312" w:cs="仿宋_GB2312"/>
          <w:bCs/>
          <w:color w:val="auto"/>
          <w:sz w:val="32"/>
          <w:szCs w:val="32"/>
        </w:rPr>
        <w:t>甲醇、二氯甲烷、丙酮、乙酸乙酯、乙腈、非甲烷总烃、TVOC</w:t>
      </w:r>
      <w:r>
        <w:rPr>
          <w:rFonts w:hint="eastAsia" w:ascii="仿宋_GB2312" w:hAnsi="仿宋_GB2312" w:eastAsia="仿宋_GB2312" w:cs="仿宋_GB2312"/>
          <w:bCs/>
          <w:color w:val="auto"/>
          <w:sz w:val="32"/>
          <w:szCs w:val="32"/>
          <w:lang w:val="en-US" w:eastAsia="zh-CN"/>
        </w:rPr>
        <w:t>执行</w:t>
      </w:r>
      <w:r>
        <w:rPr>
          <w:rFonts w:hint="eastAsia" w:ascii="仿宋_GB2312" w:hAnsi="仿宋_GB2312" w:eastAsia="仿宋_GB2312" w:cs="仿宋_GB2312"/>
          <w:bCs/>
          <w:color w:val="auto"/>
          <w:sz w:val="32"/>
          <w:szCs w:val="32"/>
          <w:lang w:eastAsia="zh-CN"/>
        </w:rPr>
        <w:t>江西省地标</w:t>
      </w:r>
      <w:r>
        <w:rPr>
          <w:rFonts w:ascii="仿宋_GB2312" w:hAnsi="仿宋_GB2312" w:eastAsia="仿宋_GB2312" w:cs="仿宋_GB2312"/>
          <w:bCs/>
          <w:color w:val="auto"/>
          <w:sz w:val="32"/>
          <w:szCs w:val="32"/>
        </w:rPr>
        <w:t>《挥发性有机物排放标准 第3部分 医药制造业》（DB36/1101.3-2019）排放限值</w:t>
      </w:r>
      <w:r>
        <w:rPr>
          <w:rFonts w:hint="eastAsia" w:ascii="仿宋_GB2312" w:hAnsi="仿宋_GB2312" w:eastAsia="仿宋_GB2312" w:cs="仿宋_GB2312"/>
          <w:bCs/>
          <w:color w:val="auto"/>
          <w:sz w:val="32"/>
          <w:szCs w:val="32"/>
          <w:lang w:eastAsia="zh-CN"/>
        </w:rPr>
        <w:t>，</w:t>
      </w:r>
      <w:r>
        <w:rPr>
          <w:rFonts w:ascii="仿宋_GB2312" w:hAnsi="仿宋_GB2312" w:eastAsia="仿宋_GB2312" w:cs="仿宋_GB2312"/>
          <w:bCs/>
          <w:color w:val="auto"/>
          <w:sz w:val="32"/>
          <w:szCs w:val="32"/>
        </w:rPr>
        <w:t>氨气</w:t>
      </w:r>
      <w:r>
        <w:rPr>
          <w:rFonts w:hint="eastAsia" w:ascii="仿宋_GB2312" w:hAnsi="仿宋_GB2312" w:eastAsia="仿宋_GB2312" w:cs="仿宋_GB2312"/>
          <w:bCs/>
          <w:color w:val="auto"/>
          <w:sz w:val="32"/>
          <w:szCs w:val="32"/>
          <w:lang w:eastAsia="zh-CN"/>
        </w:rPr>
        <w:t>、</w:t>
      </w:r>
      <w:r>
        <w:rPr>
          <w:rFonts w:ascii="仿宋_GB2312" w:hAnsi="仿宋_GB2312" w:eastAsia="仿宋_GB2312" w:cs="仿宋_GB2312"/>
          <w:bCs/>
          <w:color w:val="auto"/>
          <w:sz w:val="32"/>
          <w:szCs w:val="32"/>
        </w:rPr>
        <w:t>硫化氢</w:t>
      </w:r>
      <w:r>
        <w:rPr>
          <w:rFonts w:hint="eastAsia" w:ascii="仿宋_GB2312" w:hAnsi="仿宋_GB2312" w:eastAsia="仿宋_GB2312" w:cs="仿宋_GB2312"/>
          <w:bCs/>
          <w:color w:val="auto"/>
          <w:sz w:val="32"/>
          <w:szCs w:val="32"/>
          <w:lang w:val="en-US" w:eastAsia="zh-CN"/>
        </w:rPr>
        <w:t>执行</w:t>
      </w:r>
      <w:r>
        <w:rPr>
          <w:rFonts w:ascii="仿宋_GB2312" w:hAnsi="仿宋_GB2312" w:eastAsia="仿宋_GB2312" w:cs="仿宋_GB2312"/>
          <w:bCs/>
          <w:color w:val="auto"/>
          <w:sz w:val="32"/>
          <w:szCs w:val="32"/>
        </w:rPr>
        <w:t>《制药工业大气污染物排放标准》（GB37823-2019）中标准限值</w:t>
      </w:r>
      <w:r>
        <w:rPr>
          <w:rFonts w:hint="eastAsia" w:ascii="仿宋_GB2312" w:hAnsi="仿宋_GB2312" w:eastAsia="仿宋_GB2312" w:cs="仿宋_GB2312"/>
          <w:bCs/>
          <w:color w:val="auto"/>
          <w:sz w:val="32"/>
          <w:szCs w:val="32"/>
        </w:rPr>
        <w:t>。食堂油烟通过油烟净化器处理，处理后</w:t>
      </w:r>
      <w:r>
        <w:rPr>
          <w:rFonts w:hint="eastAsia" w:ascii="仿宋_GB2312" w:hAnsi="仿宋_GB2312" w:eastAsia="仿宋_GB2312" w:cs="仿宋_GB2312"/>
          <w:bCs/>
          <w:color w:val="auto"/>
          <w:sz w:val="32"/>
          <w:szCs w:val="32"/>
          <w:lang w:val="en-US" w:eastAsia="zh-CN"/>
        </w:rPr>
        <w:t>执行</w:t>
      </w:r>
      <w:r>
        <w:rPr>
          <w:rFonts w:hint="eastAsia" w:ascii="仿宋_GB2312" w:hAnsi="仿宋_GB2312" w:eastAsia="仿宋_GB2312" w:cs="仿宋_GB2312"/>
          <w:bCs/>
          <w:color w:val="auto"/>
          <w:sz w:val="32"/>
          <w:szCs w:val="32"/>
        </w:rPr>
        <w:t>《饮食业油烟排放标准》（GB18483-2001）最高允许排放浓度。</w:t>
      </w:r>
    </w:p>
    <w:p>
      <w:pPr>
        <w:pStyle w:val="2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无组织废气主要为车间、污水处理站、危险废物暂存库未收集到的废气。</w:t>
      </w:r>
      <w:r>
        <w:rPr>
          <w:rFonts w:hint="eastAsia" w:ascii="仿宋_GB2312" w:hAnsi="仿宋_GB2312" w:eastAsia="仿宋_GB2312" w:cs="仿宋_GB2312"/>
          <w:bCs/>
          <w:color w:val="auto"/>
          <w:kern w:val="0"/>
          <w:sz w:val="32"/>
          <w:szCs w:val="32"/>
          <w:lang w:val="en-US" w:eastAsia="zh-CN"/>
        </w:rPr>
        <w:t>应经</w:t>
      </w:r>
      <w:r>
        <w:rPr>
          <w:rFonts w:hint="eastAsia" w:ascii="仿宋_GB2312" w:hAnsi="仿宋_GB2312" w:eastAsia="仿宋_GB2312" w:cs="仿宋_GB2312"/>
          <w:bCs/>
          <w:color w:val="auto"/>
          <w:kern w:val="0"/>
          <w:sz w:val="32"/>
          <w:szCs w:val="32"/>
        </w:rPr>
        <w:t>厂区绿化，</w:t>
      </w:r>
      <w:r>
        <w:rPr>
          <w:rFonts w:hint="eastAsia" w:ascii="仿宋_GB2312" w:hAnsi="仿宋_GB2312" w:eastAsia="仿宋_GB2312" w:cs="仿宋_GB2312"/>
          <w:bCs/>
          <w:color w:val="auto"/>
          <w:kern w:val="0"/>
          <w:sz w:val="32"/>
          <w:szCs w:val="32"/>
          <w:lang w:val="en-US" w:eastAsia="zh-CN"/>
        </w:rPr>
        <w:t>做好设备密闭等措施减少无组织排放</w:t>
      </w:r>
      <w:r>
        <w:rPr>
          <w:rFonts w:hint="eastAsia" w:ascii="仿宋_GB2312" w:hAnsi="仿宋_GB2312" w:eastAsia="仿宋_GB2312" w:cs="仿宋_GB2312"/>
          <w:bCs/>
          <w:color w:val="auto"/>
          <w:kern w:val="0"/>
          <w:sz w:val="32"/>
          <w:szCs w:val="32"/>
        </w:rPr>
        <w:t>。无组织</w:t>
      </w:r>
      <w:r>
        <w:rPr>
          <w:rFonts w:hint="eastAsia" w:ascii="仿宋_GB2312" w:hAnsi="仿宋_GB2312" w:eastAsia="仿宋_GB2312" w:cs="仿宋_GB2312"/>
          <w:bCs/>
          <w:color w:val="auto"/>
          <w:kern w:val="0"/>
          <w:sz w:val="32"/>
          <w:szCs w:val="32"/>
          <w:lang w:val="en-US" w:eastAsia="zh-CN"/>
        </w:rPr>
        <w:t>排放废气中</w:t>
      </w:r>
      <w:r>
        <w:rPr>
          <w:rFonts w:hint="eastAsia" w:ascii="仿宋_GB2312" w:hAnsi="仿宋_GB2312" w:eastAsia="仿宋_GB2312" w:cs="仿宋_GB2312"/>
          <w:bCs/>
          <w:color w:val="auto"/>
          <w:kern w:val="0"/>
          <w:sz w:val="32"/>
          <w:szCs w:val="32"/>
        </w:rPr>
        <w:t>甲醇、二氯甲烷、丙酮、乙酸乙酯、乙腈、非甲烷总烃、TVOC</w:t>
      </w:r>
      <w:r>
        <w:rPr>
          <w:rFonts w:ascii="仿宋_GB2312" w:hAnsi="仿宋_GB2312" w:eastAsia="仿宋_GB2312" w:cs="仿宋_GB2312"/>
          <w:bCs/>
          <w:color w:val="auto"/>
          <w:kern w:val="0"/>
          <w:sz w:val="32"/>
          <w:szCs w:val="32"/>
        </w:rPr>
        <w:t>的厂界浓度</w:t>
      </w:r>
      <w:r>
        <w:rPr>
          <w:rFonts w:hint="eastAsia" w:ascii="仿宋_GB2312" w:hAnsi="仿宋_GB2312" w:eastAsia="仿宋_GB2312" w:cs="仿宋_GB2312"/>
          <w:bCs/>
          <w:color w:val="auto"/>
          <w:kern w:val="0"/>
          <w:sz w:val="32"/>
          <w:szCs w:val="32"/>
          <w:lang w:val="en-US" w:eastAsia="zh-CN"/>
        </w:rPr>
        <w:t>执行</w:t>
      </w:r>
      <w:r>
        <w:rPr>
          <w:rFonts w:hint="eastAsia" w:ascii="仿宋_GB2312" w:hAnsi="仿宋_GB2312" w:eastAsia="仿宋_GB2312" w:cs="仿宋_GB2312"/>
          <w:bCs/>
          <w:color w:val="auto"/>
          <w:kern w:val="0"/>
          <w:sz w:val="32"/>
          <w:szCs w:val="32"/>
          <w:lang w:eastAsia="zh-CN"/>
        </w:rPr>
        <w:t>江西省地标</w:t>
      </w:r>
      <w:r>
        <w:rPr>
          <w:rFonts w:hint="eastAsia" w:ascii="仿宋_GB2312" w:hAnsi="仿宋_GB2312" w:eastAsia="仿宋_GB2312" w:cs="仿宋_GB2312"/>
          <w:bCs/>
          <w:color w:val="auto"/>
          <w:kern w:val="0"/>
          <w:sz w:val="32"/>
          <w:szCs w:val="32"/>
        </w:rPr>
        <w:t>《挥发性有机物排放标准 第3部分：医药制造业》（DB36/1101.3-2019）中无组织排放监控浓度限值的要求，</w:t>
      </w:r>
      <w:r>
        <w:rPr>
          <w:rFonts w:ascii="仿宋_GB2312" w:hAnsi="仿宋_GB2312" w:eastAsia="仿宋_GB2312" w:cs="仿宋_GB2312"/>
          <w:bCs/>
          <w:color w:val="auto"/>
          <w:kern w:val="0"/>
          <w:sz w:val="32"/>
          <w:szCs w:val="32"/>
        </w:rPr>
        <w:t>氯化氢</w:t>
      </w:r>
      <w:r>
        <w:rPr>
          <w:rFonts w:hint="eastAsia" w:ascii="仿宋_GB2312" w:hAnsi="仿宋_GB2312" w:eastAsia="仿宋_GB2312" w:cs="仿宋_GB2312"/>
          <w:bCs/>
          <w:color w:val="auto"/>
          <w:kern w:val="0"/>
          <w:sz w:val="32"/>
          <w:szCs w:val="32"/>
        </w:rPr>
        <w:t>厂界浓度</w:t>
      </w:r>
      <w:r>
        <w:rPr>
          <w:rFonts w:hint="eastAsia" w:ascii="仿宋_GB2312" w:hAnsi="仿宋_GB2312" w:eastAsia="仿宋_GB2312" w:cs="仿宋_GB2312"/>
          <w:bCs/>
          <w:color w:val="auto"/>
          <w:kern w:val="0"/>
          <w:sz w:val="32"/>
          <w:szCs w:val="32"/>
          <w:lang w:val="en-US" w:eastAsia="zh-CN"/>
        </w:rPr>
        <w:t>执行</w:t>
      </w:r>
      <w:r>
        <w:rPr>
          <w:rFonts w:ascii="仿宋_GB2312" w:hAnsi="仿宋_GB2312" w:eastAsia="仿宋_GB2312" w:cs="仿宋_GB2312"/>
          <w:bCs/>
          <w:color w:val="auto"/>
          <w:kern w:val="0"/>
          <w:sz w:val="32"/>
          <w:szCs w:val="32"/>
        </w:rPr>
        <w:t>《制药工业大气污染物排放标准》（GB37823-2019）</w:t>
      </w:r>
      <w:r>
        <w:rPr>
          <w:rFonts w:hint="eastAsia" w:ascii="仿宋_GB2312" w:hAnsi="仿宋_GB2312" w:eastAsia="仿宋_GB2312" w:cs="仿宋_GB2312"/>
          <w:bCs/>
          <w:color w:val="auto"/>
          <w:kern w:val="0"/>
          <w:sz w:val="32"/>
          <w:szCs w:val="32"/>
        </w:rPr>
        <w:t>无组织排放监控浓度限值的要求，氨气、硫化氢、臭气浓度厂界浓度</w:t>
      </w:r>
      <w:r>
        <w:rPr>
          <w:rFonts w:hint="eastAsia" w:ascii="仿宋_GB2312" w:hAnsi="仿宋_GB2312" w:eastAsia="仿宋_GB2312" w:cs="仿宋_GB2312"/>
          <w:bCs/>
          <w:color w:val="auto"/>
          <w:kern w:val="0"/>
          <w:sz w:val="32"/>
          <w:szCs w:val="32"/>
          <w:lang w:val="en-US" w:eastAsia="zh-CN"/>
        </w:rPr>
        <w:t>执行</w:t>
      </w:r>
      <w:r>
        <w:rPr>
          <w:rFonts w:ascii="仿宋_GB2312" w:hAnsi="仿宋_GB2312" w:eastAsia="仿宋_GB2312" w:cs="仿宋_GB2312"/>
          <w:bCs/>
          <w:color w:val="auto"/>
          <w:kern w:val="0"/>
          <w:sz w:val="32"/>
          <w:szCs w:val="32"/>
        </w:rPr>
        <w:t>《恶臭污染物排放标准》（GB14554-93）中</w:t>
      </w:r>
      <w:r>
        <w:rPr>
          <w:rFonts w:hint="eastAsia" w:ascii="仿宋_GB2312" w:hAnsi="仿宋_GB2312" w:eastAsia="仿宋_GB2312" w:cs="仿宋_GB2312"/>
          <w:bCs/>
          <w:color w:val="auto"/>
          <w:kern w:val="0"/>
          <w:sz w:val="32"/>
          <w:szCs w:val="32"/>
        </w:rPr>
        <w:t>无组织排放监控浓度限值的要求，厂房外无组织TVOC</w:t>
      </w:r>
      <w:r>
        <w:rPr>
          <w:rFonts w:hint="eastAsia" w:ascii="仿宋_GB2312" w:hAnsi="仿宋_GB2312" w:eastAsia="仿宋_GB2312" w:cs="仿宋_GB2312"/>
          <w:bCs/>
          <w:color w:val="auto"/>
          <w:kern w:val="0"/>
          <w:sz w:val="32"/>
          <w:szCs w:val="32"/>
          <w:lang w:val="en-US" w:eastAsia="zh-CN"/>
        </w:rPr>
        <w:t>执行</w:t>
      </w:r>
      <w:r>
        <w:rPr>
          <w:rFonts w:hint="eastAsia" w:ascii="仿宋_GB2312" w:hAnsi="仿宋_GB2312" w:eastAsia="仿宋_GB2312" w:cs="仿宋_GB2312"/>
          <w:bCs/>
          <w:color w:val="auto"/>
          <w:kern w:val="0"/>
          <w:sz w:val="32"/>
          <w:szCs w:val="32"/>
        </w:rPr>
        <w:t>《挥发性有机物无组织排放控制标准》（GB37822-2019）中有关要求。</w:t>
      </w:r>
    </w:p>
    <w:p>
      <w:pPr>
        <w:pStyle w:val="30"/>
        <w:rPr>
          <w:rFonts w:hint="default" w:ascii="仿宋_GB2312" w:hAnsi="仿宋_GB2312" w:eastAsia="仿宋_GB2312" w:cs="仿宋_GB2312"/>
          <w:bCs/>
          <w:color w:val="auto"/>
          <w:kern w:val="0"/>
          <w:sz w:val="32"/>
          <w:szCs w:val="32"/>
          <w:lang w:val="en-US" w:eastAsia="zh-CN" w:bidi="ar-SA"/>
        </w:rPr>
      </w:pPr>
      <w:r>
        <w:rPr>
          <w:rFonts w:hint="eastAsia" w:ascii="仿宋_GB2312" w:hAnsi="仿宋_GB2312" w:eastAsia="仿宋_GB2312" w:cs="仿宋_GB2312"/>
          <w:bCs/>
          <w:color w:val="auto"/>
          <w:kern w:val="0"/>
          <w:sz w:val="32"/>
          <w:szCs w:val="32"/>
          <w:lang w:val="en-US" w:eastAsia="zh-CN" w:bidi="ar-SA"/>
        </w:rPr>
        <w:t>本项目厂区废气排放量为VOCs≤0.625t/a。</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lang w:val="en-US" w:eastAsia="zh-CN" w:bidi="ar-SA"/>
        </w:rPr>
      </w:pPr>
      <w:r>
        <w:rPr>
          <w:rFonts w:hint="eastAsia" w:ascii="楷体" w:hAnsi="楷体" w:eastAsia="楷体" w:cs="楷体"/>
          <w:color w:val="000000"/>
          <w:sz w:val="32"/>
          <w:szCs w:val="32"/>
        </w:rPr>
        <w:t>（</w:t>
      </w:r>
      <w:r>
        <w:rPr>
          <w:rFonts w:hint="eastAsia" w:ascii="楷体" w:hAnsi="楷体" w:eastAsia="楷体" w:cs="楷体"/>
          <w:color w:val="000000"/>
          <w:sz w:val="32"/>
          <w:szCs w:val="32"/>
          <w:lang w:val="en-US" w:eastAsia="zh-CN"/>
        </w:rPr>
        <w:t>三</w:t>
      </w:r>
      <w:r>
        <w:rPr>
          <w:rFonts w:hint="eastAsia" w:ascii="楷体" w:hAnsi="楷体" w:eastAsia="楷体" w:cs="楷体"/>
          <w:color w:val="000000"/>
          <w:sz w:val="32"/>
          <w:szCs w:val="32"/>
        </w:rPr>
        <w:t>）严格落实固体废物分类处置和综合利用措施</w:t>
      </w:r>
      <w:r>
        <w:rPr>
          <w:rFonts w:hint="eastAsia" w:ascii="仿宋_GB2312" w:hAnsi="仿宋" w:eastAsia="仿宋_GB2312" w:cs="Times New Roman"/>
          <w:color w:val="000000"/>
          <w:kern w:val="0"/>
          <w:sz w:val="32"/>
          <w:szCs w:val="32"/>
        </w:rPr>
        <w:t>。</w:t>
      </w:r>
      <w:r>
        <w:rPr>
          <w:rFonts w:hint="eastAsia" w:ascii="仿宋_GB2312" w:hAnsi="仿宋_GB2312" w:eastAsia="仿宋_GB2312" w:cs="仿宋_GB2312"/>
          <w:bCs/>
          <w:color w:val="auto"/>
          <w:kern w:val="0"/>
          <w:sz w:val="32"/>
          <w:szCs w:val="32"/>
          <w:lang w:val="en-US" w:eastAsia="zh-CN" w:bidi="ar-SA"/>
        </w:rPr>
        <w:t>应按“资源化、减量化、无害化”处置原则，认真落实固废分类收集、处置和综合利用措施。危险废物应及时委托有资质单位进行综合利用或处置，转移应办理相关环保手续。厂区内应设置足够容积的一般工业固体废物暂存库和危险废物暂存库。危险废物暂存库设计、建设和运行必须满足《危险废物贮存污染控制标准》（GB 18597-2023）要求；一般工业固体废物综合利用或合理处置，一般工业固体废物暂存库设计、建设和运行必须满足《一般工业固体废物贮存和填埋污染控制标准》(GB 18599-2020)要求。</w:t>
      </w:r>
    </w:p>
    <w:p>
      <w:pPr>
        <w:keepNext w:val="0"/>
        <w:keepLines w:val="0"/>
        <w:pageBreakBefore w:val="0"/>
        <w:kinsoku/>
        <w:wordWrap/>
        <w:overflowPunct/>
        <w:topLinePunct w:val="0"/>
        <w:autoSpaceDE w:val="0"/>
        <w:autoSpaceDN/>
        <w:bidi w:val="0"/>
        <w:adjustRightInd w:val="0"/>
        <w:snapToGrid w:val="0"/>
        <w:spacing w:line="600" w:lineRule="exact"/>
        <w:ind w:firstLine="640" w:firstLineChars="200"/>
        <w:textAlignment w:val="auto"/>
        <w:rPr>
          <w:rFonts w:hint="default" w:ascii="Times New Roman" w:hAnsi="Times New Roman" w:eastAsia="仿宋_GB2312" w:cs="Times New Roman"/>
          <w:b w:val="0"/>
          <w:color w:val="000000"/>
          <w:kern w:val="2"/>
          <w:sz w:val="32"/>
          <w:szCs w:val="32"/>
          <w:lang w:val="en-US" w:eastAsia="zh-CN" w:bidi="ar-SA"/>
        </w:rPr>
      </w:pPr>
      <w:r>
        <w:rPr>
          <w:rFonts w:hint="default" w:ascii="Times New Roman" w:hAnsi="Times New Roman" w:eastAsia="楷体" w:cs="Times New Roman"/>
          <w:color w:val="000000"/>
          <w:sz w:val="32"/>
          <w:szCs w:val="32"/>
          <w:lang w:val="en-US" w:eastAsia="zh-CN"/>
        </w:rPr>
        <w:t>（四）严格落实噪声污染防治措施。</w:t>
      </w:r>
      <w:r>
        <w:rPr>
          <w:rFonts w:hint="eastAsia" w:ascii="Times New Roman" w:hAnsi="Times New Roman" w:eastAsia="仿宋_GB2312" w:cs="Times New Roman"/>
          <w:sz w:val="32"/>
          <w:szCs w:val="32"/>
          <w:lang w:val="en-US" w:eastAsia="zh-CN"/>
        </w:rPr>
        <w:t>应</w:t>
      </w:r>
      <w:r>
        <w:rPr>
          <w:rFonts w:hint="eastAsia" w:ascii="Times New Roman" w:hAnsi="Times New Roman" w:eastAsia="仿宋_GB2312" w:cs="Times New Roman"/>
          <w:sz w:val="32"/>
          <w:szCs w:val="32"/>
        </w:rPr>
        <w:t>采取合理布局，选用低噪声设备，将高噪声设备安置于室内，采用基础减振，利用建筑物隔声屏蔽；对风机等较高噪音设备则采取加装消音器，或采用隔声罩封闭，以及加强厂区内绿化</w:t>
      </w:r>
      <w:r>
        <w:rPr>
          <w:rFonts w:hint="default" w:ascii="Times New Roman" w:hAnsi="Times New Roman" w:eastAsia="仿宋_GB2312" w:cs="Times New Roman"/>
          <w:sz w:val="32"/>
          <w:szCs w:val="32"/>
        </w:rPr>
        <w:t>，厂界噪声需</w:t>
      </w:r>
      <w:r>
        <w:rPr>
          <w:rFonts w:hint="eastAsia" w:ascii="Times New Roman" w:hAnsi="Times New Roman" w:eastAsia="仿宋_GB2312" w:cs="Times New Roman"/>
          <w:sz w:val="32"/>
          <w:szCs w:val="32"/>
          <w:lang w:val="en-US" w:eastAsia="zh-CN"/>
        </w:rPr>
        <w:t>执行</w:t>
      </w:r>
      <w:r>
        <w:rPr>
          <w:rFonts w:hint="default" w:ascii="Times New Roman" w:hAnsi="Times New Roman" w:eastAsia="仿宋_GB2312" w:cs="Times New Roman"/>
          <w:sz w:val="32"/>
          <w:szCs w:val="32"/>
        </w:rPr>
        <w:t>《工业企业厂界环境噪声排放标准》（GB 12348-2008）中</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类标准要求。</w:t>
      </w:r>
    </w:p>
    <w:p>
      <w:pPr>
        <w:pageBreakBefore w:val="0"/>
        <w:kinsoku/>
        <w:overflowPunct/>
        <w:topLinePunct w:val="0"/>
        <w:autoSpaceDE w:val="0"/>
        <w:autoSpaceDN/>
        <w:bidi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000000"/>
          <w:sz w:val="32"/>
          <w:szCs w:val="32"/>
          <w:lang w:val="en-US" w:eastAsia="zh-CN"/>
        </w:rPr>
        <w:t>（五）严格落实土壤和地下水污染防治措施。</w:t>
      </w:r>
      <w:r>
        <w:rPr>
          <w:rFonts w:hint="default" w:ascii="Times New Roman" w:hAnsi="Times New Roman" w:eastAsia="仿宋_GB2312" w:cs="Times New Roman"/>
          <w:color w:val="000000"/>
          <w:sz w:val="32"/>
          <w:szCs w:val="32"/>
        </w:rPr>
        <w:t>按“源头控制、分区防治、污染监控、应急响应”相结合的原则做好土壤和地下水污染防治工作，从污染物的产生、入渗、扩散、应急响应全阶段进行控制，严格做好分区防渗措施。</w:t>
      </w:r>
      <w:r>
        <w:rPr>
          <w:rFonts w:hint="default" w:ascii="Times New Roman" w:hAnsi="Times New Roman" w:eastAsia="仿宋_GB2312" w:cs="Times New Roman"/>
          <w:color w:val="000000"/>
          <w:kern w:val="0"/>
          <w:sz w:val="32"/>
          <w:szCs w:val="32"/>
        </w:rPr>
        <w:t>按照</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报告书</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和《评估意见》中要求合理设置地下水及土壤监测布点，制定环境监测计划，加强厂区和周边区域地下水及土壤环境质量监控，一旦发现污染情况，必须立即采取措施，防止污染扩散</w:t>
      </w:r>
      <w:r>
        <w:rPr>
          <w:rFonts w:hint="default" w:ascii="Times New Roman" w:hAnsi="Times New Roman" w:eastAsia="仿宋_GB2312" w:cs="Times New Roman"/>
          <w:color w:val="000000"/>
          <w:sz w:val="32"/>
          <w:szCs w:val="32"/>
        </w:rPr>
        <w:t>。</w:t>
      </w:r>
    </w:p>
    <w:p>
      <w:pPr>
        <w:keepNext w:val="0"/>
        <w:keepLines w:val="0"/>
        <w:pageBreakBefore w:val="0"/>
        <w:widowControl w:val="0"/>
        <w:numPr>
          <w:ilvl w:val="0"/>
          <w:numId w:val="0"/>
        </w:numPr>
        <w:kinsoku/>
        <w:wordWrap/>
        <w:overflowPunct/>
        <w:topLinePunct w:val="0"/>
        <w:autoSpaceDE w:val="0"/>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color w:val="000000"/>
          <w:sz w:val="32"/>
          <w:szCs w:val="32"/>
          <w:lang w:val="en-US" w:eastAsia="zh-CN"/>
        </w:rPr>
        <w:t>（六）严格落实环境风险防范措施。</w:t>
      </w:r>
      <w:r>
        <w:rPr>
          <w:rFonts w:hint="default" w:ascii="Times New Roman" w:hAnsi="Times New Roman" w:eastAsia="仿宋_GB2312" w:cs="Times New Roman"/>
          <w:color w:val="000000"/>
          <w:sz w:val="32"/>
          <w:szCs w:val="32"/>
          <w:lang w:eastAsia="zh-CN"/>
        </w:rPr>
        <w:t>严格落实《报告书》和《评估意见》提出的各项环境风险防控措施。按环评要求规范保障足够容积的事故应急设施，事故收集装置正常情况下必须空置，一旦发生突发性事故时，企业必须立即停产，启用收集设施收集事故下的废水，待该收集池内废水全部处理完后方可恢复生产，确保突发性事故产生的各类废水不进入外环境。健全企业环境风险防范与应急管理体系，制定全厂环境风险防控措施和突发环境事件应急预案。突发环境事件应急预案（须报市、县生态环境部门备案）应与园区相邻企业、当地政府进行有效衔接，定期协同有关部门开展应急演练。</w:t>
      </w:r>
    </w:p>
    <w:p>
      <w:pPr>
        <w:pageBreakBefore w:val="0"/>
        <w:kinsoku/>
        <w:overflowPunct/>
        <w:topLinePunct w:val="0"/>
        <w:autoSpaceDE w:val="0"/>
        <w:autoSpaceDN/>
        <w:bidi w:val="0"/>
        <w:spacing w:line="600" w:lineRule="exact"/>
        <w:ind w:firstLine="640" w:firstLineChars="200"/>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楷体" w:cs="Times New Roman"/>
          <w:color w:val="000000"/>
          <w:sz w:val="32"/>
          <w:szCs w:val="32"/>
          <w:lang w:val="en-US" w:eastAsia="zh-CN"/>
        </w:rPr>
        <w:t>（七）落实规范排污口要求。</w:t>
      </w:r>
      <w:r>
        <w:rPr>
          <w:rFonts w:hint="eastAsia" w:ascii="Times New Roman" w:hAnsi="Times New Roman" w:eastAsia="仿宋_GB2312" w:cs="Times New Roman"/>
          <w:color w:val="000000"/>
          <w:sz w:val="32"/>
          <w:szCs w:val="32"/>
          <w:lang w:val="en-US" w:eastAsia="zh-CN"/>
        </w:rPr>
        <w:t>你公司应按要求设置废水、废气在线监控设施，并于当地生态环境部门联网，同时按国家有关规定设置规范的污染物排放并建档，并设置永久监测采样口。</w:t>
      </w:r>
    </w:p>
    <w:p>
      <w:pPr>
        <w:adjustRightInd w:val="0"/>
        <w:snapToGrid w:val="0"/>
        <w:spacing w:line="520" w:lineRule="exact"/>
        <w:ind w:firstLine="640" w:firstLineChars="200"/>
        <w:rPr>
          <w:rFonts w:ascii="Times New Roman" w:hAnsi="Times New Roman" w:eastAsia="仿宋_GB2312" w:cs="仿宋"/>
          <w:sz w:val="32"/>
          <w:szCs w:val="32"/>
        </w:rPr>
      </w:pPr>
      <w:r>
        <w:rPr>
          <w:rFonts w:hint="default" w:ascii="Times New Roman" w:hAnsi="Times New Roman" w:eastAsia="楷体" w:cs="Times New Roman"/>
          <w:color w:val="000000"/>
          <w:sz w:val="32"/>
          <w:szCs w:val="32"/>
          <w:lang w:val="en-US" w:eastAsia="zh-CN"/>
        </w:rPr>
        <w:t>（八）项目周围规划控制要求。</w:t>
      </w:r>
      <w:r>
        <w:rPr>
          <w:rFonts w:hint="default" w:ascii="Times New Roman" w:hAnsi="Times New Roman" w:eastAsia="仿宋_GB2312" w:cs="Times New Roman"/>
          <w:sz w:val="32"/>
          <w:szCs w:val="32"/>
          <w:lang w:val="en-US" w:eastAsia="zh-CN"/>
        </w:rPr>
        <w:t>根据《报告书》和《评估意见》结论，</w:t>
      </w:r>
      <w:r>
        <w:rPr>
          <w:rFonts w:ascii="仿宋_GB2312" w:hAnsi="仿宋_GB2312" w:eastAsia="仿宋_GB2312" w:cs="仿宋_GB2312"/>
          <w:snapToGrid w:val="0"/>
          <w:color w:val="auto"/>
          <w:sz w:val="32"/>
          <w:szCs w:val="32"/>
        </w:rPr>
        <w:t>5#车间、8#车间、9#车间、危废库、污水处理站、储罐区</w:t>
      </w:r>
      <w:r>
        <w:rPr>
          <w:rFonts w:hint="eastAsia" w:ascii="仿宋_GB2312" w:hAnsi="仿宋_GB2312" w:eastAsia="仿宋_GB2312" w:cs="仿宋_GB2312"/>
          <w:snapToGrid w:val="0"/>
          <w:color w:val="auto"/>
          <w:sz w:val="32"/>
          <w:szCs w:val="32"/>
          <w:lang w:eastAsia="zh-CN"/>
        </w:rPr>
        <w:t>等</w:t>
      </w:r>
      <w:r>
        <w:rPr>
          <w:rFonts w:ascii="仿宋_GB2312" w:hAnsi="仿宋_GB2312" w:eastAsia="仿宋_GB2312" w:cs="仿宋_GB2312"/>
          <w:snapToGrid w:val="0"/>
          <w:color w:val="auto"/>
          <w:sz w:val="32"/>
          <w:szCs w:val="32"/>
        </w:rPr>
        <w:t>均设置50m卫生防护距离</w:t>
      </w:r>
      <w:r>
        <w:rPr>
          <w:rFonts w:hint="eastAsia" w:ascii="仿宋_GB2312" w:hAnsi="仿宋_GB2312" w:eastAsia="仿宋_GB2312" w:cs="仿宋_GB2312"/>
          <w:bCs/>
          <w:color w:val="auto"/>
          <w:sz w:val="32"/>
          <w:szCs w:val="32"/>
          <w:lang w:val="zh-CN"/>
        </w:rPr>
        <w:t>。</w:t>
      </w:r>
      <w:r>
        <w:rPr>
          <w:rFonts w:hint="eastAsia" w:ascii="Times New Roman" w:hAnsi="Times New Roman" w:eastAsia="仿宋_GB2312" w:cs="仿宋"/>
          <w:sz w:val="32"/>
          <w:szCs w:val="32"/>
        </w:rPr>
        <w:t>你公司应配合规划部门，严格控制好本项目周边规划，项目卫生防护距离范围内不得新建居民住宅、学校及医院等环境敏感建筑。</w:t>
      </w:r>
    </w:p>
    <w:p>
      <w:pPr>
        <w:keepNext w:val="0"/>
        <w:keepLines w:val="0"/>
        <w:pageBreakBefore w:val="0"/>
        <w:widowControl w:val="0"/>
        <w:numPr>
          <w:ilvl w:val="0"/>
          <w:numId w:val="0"/>
        </w:numPr>
        <w:kinsoku/>
        <w:wordWrap/>
        <w:overflowPunct/>
        <w:topLinePunct w:val="0"/>
        <w:autoSpaceDE w:val="0"/>
        <w:autoSpaceDN/>
        <w:bidi w:val="0"/>
        <w:adjustRightInd w:val="0"/>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eastAsia" w:eastAsia="楷体" w:cs="Times New Roman"/>
          <w:color w:val="000000"/>
          <w:sz w:val="32"/>
          <w:szCs w:val="32"/>
          <w:lang w:eastAsia="zh-CN"/>
        </w:rPr>
        <w:t>（</w:t>
      </w:r>
      <w:r>
        <w:rPr>
          <w:rFonts w:hint="eastAsia" w:eastAsia="楷体" w:cs="Times New Roman"/>
          <w:color w:val="000000"/>
          <w:sz w:val="32"/>
          <w:szCs w:val="32"/>
          <w:lang w:val="en-US" w:eastAsia="zh-CN"/>
        </w:rPr>
        <w:t>九</w:t>
      </w:r>
      <w:r>
        <w:rPr>
          <w:rFonts w:hint="eastAsia" w:eastAsia="楷体" w:cs="Times New Roman"/>
          <w:color w:val="000000"/>
          <w:sz w:val="32"/>
          <w:szCs w:val="32"/>
          <w:lang w:eastAsia="zh-CN"/>
        </w:rPr>
        <w:t>）</w:t>
      </w:r>
      <w:r>
        <w:rPr>
          <w:rFonts w:hint="default" w:ascii="Times New Roman" w:hAnsi="Times New Roman" w:eastAsia="楷体" w:cs="Times New Roman"/>
          <w:color w:val="000000"/>
          <w:sz w:val="32"/>
          <w:szCs w:val="32"/>
          <w:lang w:eastAsia="zh-CN"/>
        </w:rPr>
        <w:t>信息公开要求。</w:t>
      </w:r>
      <w:r>
        <w:rPr>
          <w:rFonts w:hint="default" w:ascii="Times New Roman" w:hAnsi="Times New Roman" w:eastAsia="仿宋_GB2312" w:cs="Times New Roman"/>
          <w:sz w:val="32"/>
          <w:szCs w:val="32"/>
        </w:rPr>
        <w:t>你公司应依法实施信息公开，接</w:t>
      </w:r>
      <w:r>
        <w:rPr>
          <w:rFonts w:hint="eastAsia" w:ascii="Times New Roman" w:hAnsi="Times New Roman" w:eastAsia="仿宋_GB2312" w:cs="Times New Roman"/>
          <w:sz w:val="32"/>
          <w:szCs w:val="32"/>
          <w:lang w:val="en-US" w:eastAsia="zh-CN"/>
        </w:rPr>
        <w:t>受</w:t>
      </w:r>
      <w:r>
        <w:rPr>
          <w:rFonts w:hint="default" w:ascii="Times New Roman" w:hAnsi="Times New Roman" w:eastAsia="仿宋_GB2312" w:cs="Times New Roman"/>
          <w:sz w:val="32"/>
          <w:szCs w:val="32"/>
        </w:rPr>
        <w:t>社会监督。项目应定期公示企业环境报告，公布污染物排放和环境管理情况。</w:t>
      </w:r>
    </w:p>
    <w:p>
      <w:pPr>
        <w:keepNext w:val="0"/>
        <w:keepLines w:val="0"/>
        <w:pageBreakBefore w:val="0"/>
        <w:widowControl w:val="0"/>
        <w:numPr>
          <w:ilvl w:val="0"/>
          <w:numId w:val="0"/>
        </w:numPr>
        <w:kinsoku/>
        <w:wordWrap/>
        <w:overflowPunct/>
        <w:topLinePunct w:val="0"/>
        <w:autoSpaceDE w:val="0"/>
        <w:autoSpaceDN/>
        <w:bidi w:val="0"/>
        <w:adjustRightInd w:val="0"/>
        <w:snapToGrid w:val="0"/>
        <w:spacing w:line="60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三、项目试运行和竣工验收的环保要求</w:t>
      </w:r>
    </w:p>
    <w:p>
      <w:pPr>
        <w:pageBreakBefore w:val="0"/>
        <w:kinsoku/>
        <w:overflowPunct/>
        <w:topLinePunct w:val="0"/>
        <w:autoSpaceDE w:val="0"/>
        <w:autoSpaceDN/>
        <w:bidi w:val="0"/>
        <w:adjustRightInd w:val="0"/>
        <w:snapToGrid w:val="0"/>
        <w:spacing w:line="600" w:lineRule="exact"/>
        <w:ind w:firstLine="640" w:firstLineChars="200"/>
        <w:textAlignment w:val="auto"/>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本项目建设必须严格执行环境保护设施与主体工程同时设计、同时施工、同时投入使用的环境保护“三同时”制度，落实《报告书》提出的各项环境保护措施。项目建成投入生产后，你公司应当按照相关规定要求，对配套建设的环境保护设施进行验收，编制验收报告，并依法向社会公开。你单位在环境保护设施验收过程中，应当如实查验、监测、记载建设项目环境保护设施的建设和调试情况，不得弄虚作假。项目经验收合格后方可正式投入运行。</w:t>
      </w:r>
    </w:p>
    <w:p>
      <w:pPr>
        <w:pageBreakBefore w:val="0"/>
        <w:kinsoku/>
        <w:overflowPunct/>
        <w:topLinePunct w:val="0"/>
        <w:autoSpaceDE w:val="0"/>
        <w:autoSpaceDN/>
        <w:bidi w:val="0"/>
        <w:adjustRightInd w:val="0"/>
        <w:snapToGrid w:val="0"/>
        <w:spacing w:line="60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四、其他环保要求</w:t>
      </w:r>
    </w:p>
    <w:p>
      <w:pPr>
        <w:pageBreakBefore w:val="0"/>
        <w:kinsoku/>
        <w:overflowPunct/>
        <w:topLinePunct w:val="0"/>
        <w:autoSpaceDE w:val="0"/>
        <w:autoSpaceDN/>
        <w:bidi w:val="0"/>
        <w:adjustRightInd w:val="0"/>
        <w:snapToGrid w:val="0"/>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（一）项目变更环保要求。</w:t>
      </w:r>
      <w:r>
        <w:rPr>
          <w:rFonts w:hint="eastAsia" w:ascii="仿宋_GB2312" w:hAnsi="Calibri" w:eastAsia="仿宋_GB2312"/>
          <w:color w:val="000000" w:themeColor="text1"/>
          <w:sz w:val="32"/>
          <w:szCs w:val="32"/>
          <w14:textFill>
            <w14:solidFill>
              <w14:schemeClr w14:val="tx1"/>
            </w14:solidFill>
          </w14:textFill>
        </w:rPr>
        <w:t>本项目批准后，若项目建设性质、规模、地点、内容、采用的生产工艺或者防治污染的措施等发生重大变化应重新报批环境影响评价文件，审批后超过5年方动工建设的，应当报我局重新审核。</w:t>
      </w:r>
    </w:p>
    <w:p>
      <w:pPr>
        <w:pageBreakBefore w:val="0"/>
        <w:kinsoku/>
        <w:overflowPunct/>
        <w:topLinePunct w:val="0"/>
        <w:autoSpaceDN/>
        <w:bidi w:val="0"/>
        <w:spacing w:line="600" w:lineRule="exact"/>
        <w:ind w:firstLine="640" w:firstLineChars="200"/>
        <w:textAlignment w:val="auto"/>
        <w:rPr>
          <w:rFonts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（二）排污许可要求。</w:t>
      </w:r>
      <w:r>
        <w:rPr>
          <w:rFonts w:hint="eastAsia" w:ascii="仿宋_GB2312" w:hAnsi="仿宋_GB2312" w:eastAsia="仿宋_GB2312" w:cs="仿宋_GB2312"/>
          <w:bCs/>
          <w:color w:val="000000" w:themeColor="text1"/>
          <w:sz w:val="32"/>
          <w:szCs w:val="32"/>
          <w14:textFill>
            <w14:solidFill>
              <w14:schemeClr w14:val="tx1"/>
            </w14:solidFill>
          </w14:textFill>
        </w:rPr>
        <w:t>你公司应在启动生产设施或者发生实际排污之前申请取得排污许可证或填报排污登记表。</w:t>
      </w:r>
    </w:p>
    <w:p>
      <w:pPr>
        <w:pageBreakBefore w:val="0"/>
        <w:kinsoku/>
        <w:overflowPunct/>
        <w:topLinePunct w:val="0"/>
        <w:autoSpaceDE w:val="0"/>
        <w:autoSpaceDN/>
        <w:bidi w:val="0"/>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（三）日常环保监管。</w:t>
      </w:r>
      <w:r>
        <w:rPr>
          <w:rFonts w:hint="eastAsia" w:ascii="仿宋_GB2312" w:eastAsia="仿宋_GB2312"/>
          <w:color w:val="000000" w:themeColor="text1"/>
          <w:sz w:val="32"/>
          <w:szCs w:val="32"/>
          <w14:textFill>
            <w14:solidFill>
              <w14:schemeClr w14:val="tx1"/>
            </w14:solidFill>
          </w14:textFill>
        </w:rPr>
        <w:t>请宜春市生态环境保护综合执法支队和宜春市</w:t>
      </w:r>
      <w:r>
        <w:rPr>
          <w:rFonts w:hint="eastAsia" w:ascii="仿宋_GB2312" w:eastAsia="仿宋_GB2312"/>
          <w:color w:val="000000" w:themeColor="text1"/>
          <w:sz w:val="32"/>
          <w:szCs w:val="32"/>
          <w:lang w:val="en-US" w:eastAsia="zh-CN"/>
          <w14:textFill>
            <w14:solidFill>
              <w14:schemeClr w14:val="tx1"/>
            </w14:solidFill>
          </w14:textFill>
        </w:rPr>
        <w:t>袁州</w:t>
      </w:r>
      <w:r>
        <w:rPr>
          <w:rFonts w:hint="eastAsia" w:ascii="仿宋_GB2312" w:eastAsia="仿宋_GB2312"/>
          <w:color w:val="000000" w:themeColor="text1"/>
          <w:sz w:val="32"/>
          <w:szCs w:val="32"/>
          <w14:textFill>
            <w14:solidFill>
              <w14:schemeClr w14:val="tx1"/>
            </w14:solidFill>
          </w14:textFill>
        </w:rPr>
        <w:t>生态环境局加强对该项目的环境监管，你公司应在收到本批复后20个工作日内，将批准后的《报告书》送至宜春市</w:t>
      </w:r>
      <w:r>
        <w:rPr>
          <w:rFonts w:hint="eastAsia" w:ascii="仿宋_GB2312" w:eastAsia="仿宋_GB2312"/>
          <w:color w:val="000000" w:themeColor="text1"/>
          <w:sz w:val="32"/>
          <w:szCs w:val="32"/>
          <w:lang w:val="en-US" w:eastAsia="zh-CN"/>
          <w14:textFill>
            <w14:solidFill>
              <w14:schemeClr w14:val="tx1"/>
            </w14:solidFill>
          </w14:textFill>
        </w:rPr>
        <w:t>袁州</w:t>
      </w:r>
      <w:r>
        <w:rPr>
          <w:rFonts w:hint="eastAsia" w:ascii="仿宋_GB2312" w:eastAsia="仿宋_GB2312"/>
          <w:color w:val="000000" w:themeColor="text1"/>
          <w:sz w:val="32"/>
          <w:szCs w:val="32"/>
          <w14:textFill>
            <w14:solidFill>
              <w14:schemeClr w14:val="tx1"/>
            </w14:solidFill>
          </w14:textFill>
        </w:rPr>
        <w:t>生态环境局并按规定接受各级生态环境主管部门的监督检查。涉及项目安全等问题，以相关单位和部门编制、批准的报告文件为准。</w:t>
      </w:r>
    </w:p>
    <w:p>
      <w:pPr>
        <w:autoSpaceDE w:val="0"/>
        <w:adjustRightInd w:val="0"/>
        <w:snapToGrid w:val="0"/>
        <w:spacing w:line="600" w:lineRule="exact"/>
        <w:ind w:firstLine="640" w:firstLineChars="200"/>
        <w:rPr>
          <w:rFonts w:ascii="仿宋_GB2312" w:hAnsi="华文仿宋" w:eastAsia="仿宋_GB2312"/>
          <w:color w:val="000000" w:themeColor="text1"/>
          <w:sz w:val="32"/>
          <w:szCs w:val="32"/>
          <w14:textFill>
            <w14:solidFill>
              <w14:schemeClr w14:val="tx1"/>
            </w14:solidFill>
          </w14:textFill>
        </w:rPr>
      </w:pPr>
    </w:p>
    <w:p>
      <w:pPr>
        <w:pStyle w:val="30"/>
        <w:rPr>
          <w:rFonts w:hint="default" w:ascii="仿宋_GB2312" w:hAnsi="华文仿宋" w:eastAsia="仿宋_GB2312"/>
          <w:color w:val="000000" w:themeColor="text1"/>
          <w:sz w:val="32"/>
          <w:szCs w:val="32"/>
          <w14:textFill>
            <w14:solidFill>
              <w14:schemeClr w14:val="tx1"/>
            </w14:solidFill>
          </w14:textFill>
        </w:rPr>
      </w:pPr>
    </w:p>
    <w:p>
      <w:pPr>
        <w:rPr>
          <w:rFonts w:hint="default"/>
        </w:rPr>
      </w:pPr>
    </w:p>
    <w:p>
      <w:pPr>
        <w:adjustRightInd w:val="0"/>
        <w:snapToGrid w:val="0"/>
        <w:spacing w:line="580" w:lineRule="exac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（此件主动公开）</w:t>
      </w:r>
    </w:p>
    <w:p>
      <w:pPr>
        <w:adjustRightInd w:val="0"/>
        <w:snapToGrid w:val="0"/>
        <w:spacing w:line="580" w:lineRule="exact"/>
        <w:jc w:val="right"/>
        <w:rPr>
          <w:rFonts w:ascii="仿宋_GB2312" w:hAnsi="华文仿宋" w:eastAsia="仿宋_GB2312"/>
          <w:color w:val="000000" w:themeColor="text1"/>
          <w:sz w:val="32"/>
          <w:szCs w:val="32"/>
          <w14:textFill>
            <w14:solidFill>
              <w14:schemeClr w14:val="tx1"/>
            </w14:solidFill>
          </w14:textFill>
        </w:rPr>
      </w:pPr>
      <w:r>
        <w:rPr>
          <w:rFonts w:hint="eastAsia" w:ascii="仿宋_GB2312" w:hAnsi="华文仿宋" w:eastAsia="仿宋_GB2312"/>
          <w:color w:val="000000" w:themeColor="text1"/>
          <w:sz w:val="32"/>
          <w:szCs w:val="32"/>
          <w14:textFill>
            <w14:solidFill>
              <w14:schemeClr w14:val="tx1"/>
            </w14:solidFill>
          </w14:textFill>
        </w:rPr>
        <w:t>宜春市生态环境局</w:t>
      </w:r>
    </w:p>
    <w:p>
      <w:pPr>
        <w:tabs>
          <w:tab w:val="left" w:pos="7513"/>
          <w:tab w:val="left" w:pos="7655"/>
          <w:tab w:val="left" w:pos="7797"/>
        </w:tabs>
        <w:adjustRightInd w:val="0"/>
        <w:snapToGrid w:val="0"/>
        <w:spacing w:line="580" w:lineRule="exact"/>
        <w:jc w:val="righ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11</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日</w:t>
      </w:r>
    </w:p>
    <w:p>
      <w:pPr>
        <w:spacing w:line="140" w:lineRule="exact"/>
        <w:rPr>
          <w:rFonts w:hint="eastAsia" w:ascii="仿宋_GB2312" w:eastAsia="仿宋_GB2312"/>
          <w:color w:val="000000" w:themeColor="text1"/>
          <w:sz w:val="28"/>
          <w:szCs w:val="32"/>
          <w:u w:val="single"/>
          <w14:textFill>
            <w14:solidFill>
              <w14:schemeClr w14:val="tx1"/>
            </w14:solidFill>
          </w14:textFill>
        </w:rPr>
      </w:pPr>
    </w:p>
    <w:p>
      <w:pPr>
        <w:pStyle w:val="21"/>
        <w:widowControl/>
        <w:spacing w:line="560" w:lineRule="exact"/>
        <w:ind w:right="840" w:rightChars="400" w:firstLine="640" w:firstLineChars="200"/>
        <w:rPr>
          <w:rFonts w:hint="eastAsia" w:ascii="仿宋_GB2312" w:hAnsi="仿宋" w:eastAsia="仿宋_GB2312"/>
          <w:sz w:val="32"/>
        </w:rPr>
      </w:pPr>
    </w:p>
    <w:p>
      <w:pPr>
        <w:pStyle w:val="21"/>
        <w:widowControl/>
        <w:spacing w:line="560" w:lineRule="exact"/>
        <w:ind w:right="840" w:rightChars="400" w:firstLine="640" w:firstLineChars="200"/>
        <w:rPr>
          <w:rFonts w:hint="eastAsia" w:ascii="仿宋_GB2312" w:hAnsi="仿宋" w:eastAsia="仿宋_GB2312"/>
          <w:sz w:val="32"/>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仿宋_GB2312" w:hAnsi="仿宋" w:eastAsia="仿宋_GB2312" w:cs="仿宋"/>
          <w:color w:val="000000"/>
          <w:sz w:val="30"/>
          <w:szCs w:val="30"/>
          <w:u w:val="single"/>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ascii="仿宋_GB2312" w:hAnsi="华文仿宋" w:eastAsia="仿宋_GB2312"/>
          <w:spacing w:val="-6"/>
          <w:sz w:val="32"/>
          <w:szCs w:val="32"/>
        </w:rPr>
      </w:pPr>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p>
      <w:pPr>
        <w:spacing w:line="460" w:lineRule="exact"/>
        <w:ind w:left="910" w:leftChars="100" w:right="210" w:rightChars="100" w:hanging="700" w:hangingChars="250"/>
        <w:rPr>
          <w:rFonts w:hint="eastAsia" w:ascii="仿宋_GB2312" w:eastAsia="仿宋_GB2312"/>
          <w:spacing w:val="-6"/>
          <w:sz w:val="28"/>
          <w:szCs w:val="28"/>
        </w:rPr>
      </w:pPr>
      <w:r>
        <w:rPr>
          <w:rFonts w:hint="eastAsia" w:ascii="仿宋_GB2312" w:hAnsi="宋体" w:eastAsia="仿宋_GB2312"/>
          <w:sz w:val="28"/>
          <w:szCs w:val="28"/>
        </w:rPr>
        <w:t>抄送:</w:t>
      </w:r>
      <w:r>
        <w:rPr>
          <w:rFonts w:hint="eastAsia" w:ascii="仿宋_GB2312" w:hAnsi="宋体" w:eastAsia="仿宋_GB2312"/>
          <w:sz w:val="28"/>
          <w:szCs w:val="28"/>
          <w:lang w:val="en-US" w:eastAsia="zh-CN"/>
        </w:rPr>
        <w:t>袁州区人民政府、宜春市袁州生态环境局，局相关科室，局直属相关单位，江西兴晟生态环境有限公司。</w:t>
      </w:r>
    </w:p>
    <w:p>
      <w:pPr>
        <w:spacing w:line="140" w:lineRule="exact"/>
        <w:rPr>
          <w:rFonts w:hint="default" w:ascii="仿宋_GB2312" w:eastAsia="仿宋_GB2312"/>
          <w:sz w:val="32"/>
          <w:szCs w:val="32"/>
          <w:lang w:val="en-US" w:eastAsia="zh-CN"/>
        </w:rPr>
      </w:pP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1050" w:leftChars="100" w:right="210" w:rightChars="100" w:hanging="840" w:hangingChars="300"/>
        <w:jc w:val="left"/>
        <w:textAlignment w:val="auto"/>
        <w:rPr>
          <w:rFonts w:hint="eastAsia" w:ascii="仿宋_GB2312" w:hAnsi="仿宋" w:eastAsia="仿宋_GB2312" w:cs="仿宋"/>
          <w:color w:val="000000"/>
          <w:sz w:val="28"/>
          <w:szCs w:val="28"/>
          <w:u w:val="none"/>
        </w:rPr>
      </w:pPr>
      <w:r>
        <w:rPr>
          <w:rFonts w:hint="eastAsia" w:ascii="仿宋_GB2312" w:hAnsi="仿宋" w:eastAsia="仿宋_GB2312" w:cs="仿宋"/>
          <w:color w:val="000000"/>
          <w:sz w:val="28"/>
          <w:szCs w:val="28"/>
          <w:u w:val="none"/>
          <w:lang w:eastAsia="zh-CN"/>
        </w:rPr>
        <w:t>宜春市生态环境局秘书科</w:t>
      </w:r>
      <w:r>
        <w:rPr>
          <w:rFonts w:hint="eastAsia" w:ascii="仿宋_GB2312" w:hAnsi="仿宋" w:eastAsia="仿宋_GB2312" w:cs="仿宋"/>
          <w:color w:val="000000"/>
          <w:sz w:val="28"/>
          <w:szCs w:val="28"/>
          <w:u w:val="none"/>
          <w:lang w:val="en-US" w:eastAsia="zh-CN"/>
        </w:rPr>
        <w:t xml:space="preserve">                  2</w:t>
      </w:r>
      <w:r>
        <w:rPr>
          <w:rFonts w:hint="eastAsia" w:ascii="仿宋_GB2312" w:hAnsi="宋体" w:eastAsia="仿宋_GB2312"/>
          <w:bCs/>
          <w:color w:val="000000" w:themeColor="text1"/>
          <w:sz w:val="28"/>
          <w:szCs w:val="32"/>
          <w:lang w:val="en-US" w:eastAsia="zh-CN"/>
          <w14:textFill>
            <w14:solidFill>
              <w14:schemeClr w14:val="tx1"/>
            </w14:solidFill>
          </w14:textFill>
        </w:rPr>
        <w:t>023年11月7日印发</w:t>
      </w:r>
    </w:p>
    <w:p>
      <w:pPr>
        <w:keepNext w:val="0"/>
        <w:keepLines w:val="0"/>
        <w:pageBreakBefore w:val="0"/>
        <w:widowControl w:val="0"/>
        <w:kinsoku/>
        <w:wordWrap/>
        <w:overflowPunct/>
        <w:topLinePunct w:val="0"/>
        <w:autoSpaceDE/>
        <w:autoSpaceDN/>
        <w:bidi w:val="0"/>
        <w:adjustRightInd/>
        <w:snapToGrid/>
        <w:spacing w:line="100" w:lineRule="exact"/>
        <w:ind w:left="0" w:hanging="1050" w:hangingChars="350"/>
        <w:textAlignment w:val="auto"/>
        <w:rPr>
          <w:rFonts w:ascii="仿宋_GB2312" w:hAnsi="华文仿宋" w:eastAsia="仿宋_GB2312"/>
          <w:spacing w:val="-6"/>
          <w:sz w:val="32"/>
          <w:szCs w:val="32"/>
        </w:rPr>
      </w:pPr>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sectPr>
      <w:footerReference r:id="rId3" w:type="default"/>
      <w:pgSz w:w="11906" w:h="16838"/>
      <w:pgMar w:top="2098" w:right="1587" w:bottom="1984" w:left="1587" w:header="851" w:footer="170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8"/>
    <w:family w:val="roman"/>
    <w:pitch w:val="default"/>
    <w:sig w:usb0="00000000" w:usb1="00000000" w:usb2="00000009" w:usb3="00000000" w:csb0="400001FF" w:csb1="FFFF0000"/>
  </w:font>
  <w:font w:name="宋体">
    <w:panose1 w:val="02010600030101010101"/>
    <w:charset w:val="88"/>
    <w:family w:val="modern"/>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auto"/>
    <w:pitch w:val="default"/>
    <w:sig w:usb0="00000000" w:usb1="00000000" w:usb2="0000003F" w:usb3="00000000" w:csb0="603F01FF" w:csb1="FFFF0000"/>
  </w:font>
  <w:font w:name="DejaVu Sans">
    <w:panose1 w:val="020B0603030804020204"/>
    <w:charset w:val="00"/>
    <w:family w:val="auto"/>
    <w:pitch w:val="default"/>
    <w:sig w:usb0="E7006EFF" w:usb1="D200FDFF" w:usb2="0A246029" w:usb3="0400200C" w:csb0="600001FF" w:csb1="DFFF0000"/>
  </w:font>
  <w:font w:name="新宋体">
    <w:panose1 w:val="02010609030101010101"/>
    <w:charset w:val="86"/>
    <w:family w:val="modern"/>
    <w:pitch w:val="default"/>
    <w:sig w:usb0="00000003" w:usb1="080E0000" w:usb2="00000000"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
    <w:altName w:val="微软雅黑"/>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华文仿宋">
    <w:altName w:val="汉仪仿宋简"/>
    <w:panose1 w:val="02010600040101010101"/>
    <w:charset w:val="86"/>
    <w:family w:val="auto"/>
    <w:pitch w:val="default"/>
    <w:sig w:usb0="00000000" w:usb1="00000000" w:usb2="00000000" w:usb3="00000000" w:csb0="0004009F" w:csb1="DFD70000"/>
  </w:font>
  <w:font w:name="汉仪仿宋简">
    <w:panose1 w:val="02010600000101010101"/>
    <w:charset w:val="86"/>
    <w:family w:val="auto"/>
    <w:pitch w:val="default"/>
    <w:sig w:usb0="00000001" w:usb1="080E0800" w:usb2="00000002" w:usb3="00000000" w:csb0="00040000" w:csb1="0000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">
              <v:fill on="f" focussize="0,0"/>
              <v:stroke on="f"/>
              <v:imagedata o:title=""/>
              <o:lock v:ext="edit" aspectratio="f"/>
              <v:textbox inset="0mm,0mm,0mm,0mm" style="mso-fit-shape-to-text:t;">
                <w:txbxContent>
                  <w:p>
                    <w:pPr>
                      <w:pStyle w:val="1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4E56E8"/>
    <w:multiLevelType w:val="singleLevel"/>
    <w:tmpl w:val="C14E56E8"/>
    <w:lvl w:ilvl="0" w:tentative="0">
      <w:start w:val="1"/>
      <w:numFmt w:val="chineseCounting"/>
      <w:suff w:val="nothing"/>
      <w:lvlText w:val="（%1）"/>
      <w:lvlJc w:val="left"/>
      <w:rPr>
        <w:rFonts w:hint="eastAsia"/>
      </w:rPr>
    </w:lvl>
  </w:abstractNum>
  <w:abstractNum w:abstractNumId="1">
    <w:nsid w:val="54B8B783"/>
    <w:multiLevelType w:val="multilevel"/>
    <w:tmpl w:val="54B8B783"/>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567"/>
        </w:tabs>
        <w:ind w:left="567" w:hanging="567"/>
      </w:pPr>
      <w:rPr>
        <w:rFonts w:hint="default" w:ascii="宋体" w:hAnsi="宋体" w:eastAsia="宋体" w:cs="宋体"/>
      </w:rPr>
    </w:lvl>
    <w:lvl w:ilvl="2" w:tentative="0">
      <w:start w:val="1"/>
      <w:numFmt w:val="decimal"/>
      <w:lvlText w:val="%1.%2.%3."/>
      <w:lvlJc w:val="left"/>
      <w:pPr>
        <w:tabs>
          <w:tab w:val="left" w:pos="709"/>
        </w:tabs>
        <w:ind w:left="709" w:hanging="709"/>
      </w:pPr>
      <w:rPr>
        <w:rFonts w:hint="default" w:ascii="宋体" w:hAnsi="宋体" w:eastAsia="宋体" w:cs="宋体"/>
      </w:rPr>
    </w:lvl>
    <w:lvl w:ilvl="3" w:tentative="0">
      <w:start w:val="1"/>
      <w:numFmt w:val="decimal"/>
      <w:pStyle w:val="7"/>
      <w:lvlText w:val="%1.%2.%3.%4."/>
      <w:lvlJc w:val="left"/>
      <w:pPr>
        <w:tabs>
          <w:tab w:val="left" w:pos="850"/>
        </w:tabs>
        <w:ind w:left="850" w:hanging="850"/>
      </w:pPr>
      <w:rPr>
        <w:rFonts w:hint="default" w:ascii="宋体" w:hAnsi="宋体" w:eastAsia="宋体" w:cs="宋体"/>
      </w:rPr>
    </w:lvl>
    <w:lvl w:ilvl="4" w:tentative="0">
      <w:start w:val="1"/>
      <w:numFmt w:val="decimal"/>
      <w:lvlText w:val="%1.%2.%3.%4.%5."/>
      <w:lvlJc w:val="left"/>
      <w:pPr>
        <w:tabs>
          <w:tab w:val="left" w:pos="991"/>
        </w:tabs>
        <w:ind w:left="991" w:hanging="991"/>
      </w:pPr>
      <w:rPr>
        <w:rFonts w:hint="default" w:ascii="宋体" w:hAnsi="宋体" w:eastAsia="宋体" w:cs="宋体"/>
      </w:rPr>
    </w:lvl>
    <w:lvl w:ilvl="5" w:tentative="0">
      <w:start w:val="1"/>
      <w:numFmt w:val="decimal"/>
      <w:lvlText w:val="%1.%2.%3.%4.%5.%6."/>
      <w:lvlJc w:val="left"/>
      <w:pPr>
        <w:tabs>
          <w:tab w:val="left" w:pos="1134"/>
        </w:tabs>
        <w:ind w:left="1134" w:hanging="1134"/>
      </w:pPr>
      <w:rPr>
        <w:rFonts w:hint="default" w:ascii="宋体" w:hAnsi="宋体" w:eastAsia="宋体" w:cs="宋体"/>
      </w:rPr>
    </w:lvl>
    <w:lvl w:ilvl="6" w:tentative="0">
      <w:start w:val="1"/>
      <w:numFmt w:val="decimal"/>
      <w:lvlText w:val="%1.%2.%3.%4.%5.%6.%7."/>
      <w:lvlJc w:val="left"/>
      <w:pPr>
        <w:tabs>
          <w:tab w:val="left" w:pos="1275"/>
        </w:tabs>
        <w:ind w:left="1275" w:hanging="1275"/>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8"/>
        </w:tabs>
        <w:ind w:left="1558" w:hanging="155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lYzVmMjM2Mjc1NzYzM2U5NzU0MTczZWJmNzBhYzUifQ=="/>
  </w:docVars>
  <w:rsids>
    <w:rsidRoot w:val="006B467D"/>
    <w:rsid w:val="00041B93"/>
    <w:rsid w:val="001C3BC7"/>
    <w:rsid w:val="001F081D"/>
    <w:rsid w:val="001F4AD4"/>
    <w:rsid w:val="00231263"/>
    <w:rsid w:val="00264DFF"/>
    <w:rsid w:val="0029574C"/>
    <w:rsid w:val="002A6121"/>
    <w:rsid w:val="002D36C8"/>
    <w:rsid w:val="003A09F5"/>
    <w:rsid w:val="00460A78"/>
    <w:rsid w:val="0057560A"/>
    <w:rsid w:val="005E59AF"/>
    <w:rsid w:val="00644899"/>
    <w:rsid w:val="006B467D"/>
    <w:rsid w:val="007560D8"/>
    <w:rsid w:val="0077442E"/>
    <w:rsid w:val="00914FB4"/>
    <w:rsid w:val="009402E4"/>
    <w:rsid w:val="009B44DF"/>
    <w:rsid w:val="009C4711"/>
    <w:rsid w:val="00A37078"/>
    <w:rsid w:val="00A415B5"/>
    <w:rsid w:val="00A60CA5"/>
    <w:rsid w:val="00B31BAC"/>
    <w:rsid w:val="00B60F18"/>
    <w:rsid w:val="00B77C27"/>
    <w:rsid w:val="00B849F8"/>
    <w:rsid w:val="00BB5BB4"/>
    <w:rsid w:val="00BD2CE5"/>
    <w:rsid w:val="00C04E94"/>
    <w:rsid w:val="00C23D98"/>
    <w:rsid w:val="00D0459C"/>
    <w:rsid w:val="00D06919"/>
    <w:rsid w:val="00D22F21"/>
    <w:rsid w:val="00D406FB"/>
    <w:rsid w:val="00DF1A97"/>
    <w:rsid w:val="00E73849"/>
    <w:rsid w:val="00F704E2"/>
    <w:rsid w:val="00F74BA4"/>
    <w:rsid w:val="00FC1B12"/>
    <w:rsid w:val="012732BA"/>
    <w:rsid w:val="012F2C7B"/>
    <w:rsid w:val="01703D1E"/>
    <w:rsid w:val="0179160B"/>
    <w:rsid w:val="017C52DD"/>
    <w:rsid w:val="01860F84"/>
    <w:rsid w:val="01992B72"/>
    <w:rsid w:val="01A4060B"/>
    <w:rsid w:val="01B612A4"/>
    <w:rsid w:val="01C46E2A"/>
    <w:rsid w:val="01DD1D6E"/>
    <w:rsid w:val="01E66AA5"/>
    <w:rsid w:val="021467C2"/>
    <w:rsid w:val="025331B3"/>
    <w:rsid w:val="02591E01"/>
    <w:rsid w:val="027C0F4C"/>
    <w:rsid w:val="027F62BA"/>
    <w:rsid w:val="03026814"/>
    <w:rsid w:val="030C6980"/>
    <w:rsid w:val="03336D8A"/>
    <w:rsid w:val="035816F4"/>
    <w:rsid w:val="03842595"/>
    <w:rsid w:val="04011366"/>
    <w:rsid w:val="04032C8E"/>
    <w:rsid w:val="040844BC"/>
    <w:rsid w:val="045D155C"/>
    <w:rsid w:val="047E6FDC"/>
    <w:rsid w:val="049B7758"/>
    <w:rsid w:val="04BC26AE"/>
    <w:rsid w:val="04C06FA9"/>
    <w:rsid w:val="05075043"/>
    <w:rsid w:val="050B1C9F"/>
    <w:rsid w:val="05131E7D"/>
    <w:rsid w:val="05146604"/>
    <w:rsid w:val="055924D7"/>
    <w:rsid w:val="057D502A"/>
    <w:rsid w:val="05897CDE"/>
    <w:rsid w:val="058A4304"/>
    <w:rsid w:val="058C31DC"/>
    <w:rsid w:val="058D3327"/>
    <w:rsid w:val="05B16C1D"/>
    <w:rsid w:val="05E730FB"/>
    <w:rsid w:val="061E31B0"/>
    <w:rsid w:val="063C3559"/>
    <w:rsid w:val="0653327E"/>
    <w:rsid w:val="067A04E9"/>
    <w:rsid w:val="06A55FC9"/>
    <w:rsid w:val="06AB37A3"/>
    <w:rsid w:val="06EB18BE"/>
    <w:rsid w:val="06F91373"/>
    <w:rsid w:val="07127C1C"/>
    <w:rsid w:val="071F0589"/>
    <w:rsid w:val="07217120"/>
    <w:rsid w:val="07262DEE"/>
    <w:rsid w:val="073C575A"/>
    <w:rsid w:val="075864DF"/>
    <w:rsid w:val="076017D2"/>
    <w:rsid w:val="07765FDB"/>
    <w:rsid w:val="07793F4D"/>
    <w:rsid w:val="078C3025"/>
    <w:rsid w:val="07AB4846"/>
    <w:rsid w:val="07C80583"/>
    <w:rsid w:val="07D75B7A"/>
    <w:rsid w:val="07F45F5B"/>
    <w:rsid w:val="08021920"/>
    <w:rsid w:val="083B28E2"/>
    <w:rsid w:val="08781185"/>
    <w:rsid w:val="08B0322F"/>
    <w:rsid w:val="08DB2E90"/>
    <w:rsid w:val="091335B7"/>
    <w:rsid w:val="095D6E55"/>
    <w:rsid w:val="09BC10FB"/>
    <w:rsid w:val="09DF6C0A"/>
    <w:rsid w:val="09E37015"/>
    <w:rsid w:val="09F95F1E"/>
    <w:rsid w:val="09FC169A"/>
    <w:rsid w:val="0A0A16AE"/>
    <w:rsid w:val="0A2150FA"/>
    <w:rsid w:val="0A4F6CD6"/>
    <w:rsid w:val="0A7710D8"/>
    <w:rsid w:val="0AB3237D"/>
    <w:rsid w:val="0AB508A0"/>
    <w:rsid w:val="0ABD519F"/>
    <w:rsid w:val="0AC173C5"/>
    <w:rsid w:val="0ADE06F6"/>
    <w:rsid w:val="0AFF0B00"/>
    <w:rsid w:val="0B43522B"/>
    <w:rsid w:val="0B796252"/>
    <w:rsid w:val="0B807143"/>
    <w:rsid w:val="0B89653B"/>
    <w:rsid w:val="0B9F1E4A"/>
    <w:rsid w:val="0BBFE6B3"/>
    <w:rsid w:val="0BDC07A5"/>
    <w:rsid w:val="0BDD0FC8"/>
    <w:rsid w:val="0BE820B6"/>
    <w:rsid w:val="0BFE35E3"/>
    <w:rsid w:val="0C0D0361"/>
    <w:rsid w:val="0C3B0427"/>
    <w:rsid w:val="0C3C7C2A"/>
    <w:rsid w:val="0C492ACA"/>
    <w:rsid w:val="0C4C22AB"/>
    <w:rsid w:val="0C4D3CDD"/>
    <w:rsid w:val="0C821662"/>
    <w:rsid w:val="0C8B7055"/>
    <w:rsid w:val="0CDE00E1"/>
    <w:rsid w:val="0D22103E"/>
    <w:rsid w:val="0DC760E1"/>
    <w:rsid w:val="0DE40431"/>
    <w:rsid w:val="0DF629C5"/>
    <w:rsid w:val="0DFF1127"/>
    <w:rsid w:val="0E3F25F8"/>
    <w:rsid w:val="0E3F7A66"/>
    <w:rsid w:val="0E4B2FE8"/>
    <w:rsid w:val="0E5E4AB5"/>
    <w:rsid w:val="0EC104DF"/>
    <w:rsid w:val="0EE033D5"/>
    <w:rsid w:val="0EF86306"/>
    <w:rsid w:val="0F0F77DB"/>
    <w:rsid w:val="0F3C2E29"/>
    <w:rsid w:val="0F89709B"/>
    <w:rsid w:val="0F8E0D44"/>
    <w:rsid w:val="0FB96372"/>
    <w:rsid w:val="0FC37304"/>
    <w:rsid w:val="0FCE6CA6"/>
    <w:rsid w:val="0FDF7909"/>
    <w:rsid w:val="0FEF586D"/>
    <w:rsid w:val="0FFED1D8"/>
    <w:rsid w:val="100E61F1"/>
    <w:rsid w:val="10A8045C"/>
    <w:rsid w:val="10F1302B"/>
    <w:rsid w:val="10FB0AD9"/>
    <w:rsid w:val="10FB6CD9"/>
    <w:rsid w:val="110C5765"/>
    <w:rsid w:val="11130AC1"/>
    <w:rsid w:val="112708C1"/>
    <w:rsid w:val="1127270D"/>
    <w:rsid w:val="113257B1"/>
    <w:rsid w:val="114F4B76"/>
    <w:rsid w:val="118C7988"/>
    <w:rsid w:val="11994A4D"/>
    <w:rsid w:val="119C22A2"/>
    <w:rsid w:val="11B92DC3"/>
    <w:rsid w:val="11B95C6D"/>
    <w:rsid w:val="11C31BB6"/>
    <w:rsid w:val="11F21525"/>
    <w:rsid w:val="11F565D7"/>
    <w:rsid w:val="11F623A5"/>
    <w:rsid w:val="12094C08"/>
    <w:rsid w:val="125A5F1B"/>
    <w:rsid w:val="1289397E"/>
    <w:rsid w:val="12AF571D"/>
    <w:rsid w:val="12F36AC7"/>
    <w:rsid w:val="13145380"/>
    <w:rsid w:val="136A680D"/>
    <w:rsid w:val="13967CA7"/>
    <w:rsid w:val="13D777E7"/>
    <w:rsid w:val="14032E0E"/>
    <w:rsid w:val="1411085C"/>
    <w:rsid w:val="14120302"/>
    <w:rsid w:val="144F64EE"/>
    <w:rsid w:val="145D12F1"/>
    <w:rsid w:val="1474071C"/>
    <w:rsid w:val="14B16B02"/>
    <w:rsid w:val="14B9495E"/>
    <w:rsid w:val="14ED2FF2"/>
    <w:rsid w:val="15142B33"/>
    <w:rsid w:val="152225E2"/>
    <w:rsid w:val="15294D8A"/>
    <w:rsid w:val="15337041"/>
    <w:rsid w:val="156C2C6F"/>
    <w:rsid w:val="156F6C53"/>
    <w:rsid w:val="15736790"/>
    <w:rsid w:val="15C36061"/>
    <w:rsid w:val="15CA7971"/>
    <w:rsid w:val="15E026AC"/>
    <w:rsid w:val="15F6C230"/>
    <w:rsid w:val="15F8C384"/>
    <w:rsid w:val="169D6C0C"/>
    <w:rsid w:val="16A060B1"/>
    <w:rsid w:val="16B36EB9"/>
    <w:rsid w:val="16BD7BFC"/>
    <w:rsid w:val="16C00BCF"/>
    <w:rsid w:val="16C200A7"/>
    <w:rsid w:val="16C54EE5"/>
    <w:rsid w:val="16C54FCF"/>
    <w:rsid w:val="16E06F52"/>
    <w:rsid w:val="16F05CB3"/>
    <w:rsid w:val="16F7346E"/>
    <w:rsid w:val="17006955"/>
    <w:rsid w:val="1703397C"/>
    <w:rsid w:val="17125099"/>
    <w:rsid w:val="171B0308"/>
    <w:rsid w:val="172C4E9D"/>
    <w:rsid w:val="173B5E82"/>
    <w:rsid w:val="174C684E"/>
    <w:rsid w:val="17642D57"/>
    <w:rsid w:val="176F9A6C"/>
    <w:rsid w:val="1799A8A5"/>
    <w:rsid w:val="17AC639D"/>
    <w:rsid w:val="17AD50CA"/>
    <w:rsid w:val="17CC1514"/>
    <w:rsid w:val="17DE36C5"/>
    <w:rsid w:val="17DFEC93"/>
    <w:rsid w:val="181B5628"/>
    <w:rsid w:val="184A22BF"/>
    <w:rsid w:val="18571D60"/>
    <w:rsid w:val="185C6A07"/>
    <w:rsid w:val="186A782D"/>
    <w:rsid w:val="187F3862"/>
    <w:rsid w:val="18E25EB7"/>
    <w:rsid w:val="18F96922"/>
    <w:rsid w:val="191307B4"/>
    <w:rsid w:val="196F1164"/>
    <w:rsid w:val="19B0490C"/>
    <w:rsid w:val="19B07C3A"/>
    <w:rsid w:val="19D334F1"/>
    <w:rsid w:val="19EF4A72"/>
    <w:rsid w:val="1A064112"/>
    <w:rsid w:val="1A18380B"/>
    <w:rsid w:val="1A3B7988"/>
    <w:rsid w:val="1A584A8E"/>
    <w:rsid w:val="1A7D3C65"/>
    <w:rsid w:val="1A8A56B4"/>
    <w:rsid w:val="1A9F52B2"/>
    <w:rsid w:val="1AAD1EE5"/>
    <w:rsid w:val="1AB335C5"/>
    <w:rsid w:val="1AC4571F"/>
    <w:rsid w:val="1AC8768F"/>
    <w:rsid w:val="1AE314E7"/>
    <w:rsid w:val="1AE86454"/>
    <w:rsid w:val="1AFC7E11"/>
    <w:rsid w:val="1B061008"/>
    <w:rsid w:val="1B1219C2"/>
    <w:rsid w:val="1B2C20AB"/>
    <w:rsid w:val="1B4648B6"/>
    <w:rsid w:val="1B704E36"/>
    <w:rsid w:val="1B850928"/>
    <w:rsid w:val="1BA209B9"/>
    <w:rsid w:val="1BB147EF"/>
    <w:rsid w:val="1BB7CF60"/>
    <w:rsid w:val="1BBD4F55"/>
    <w:rsid w:val="1BD72B89"/>
    <w:rsid w:val="1BF569A8"/>
    <w:rsid w:val="1BFEFA07"/>
    <w:rsid w:val="1C147663"/>
    <w:rsid w:val="1C1C0AD2"/>
    <w:rsid w:val="1C1C79CE"/>
    <w:rsid w:val="1C2873C6"/>
    <w:rsid w:val="1C293BBB"/>
    <w:rsid w:val="1C300430"/>
    <w:rsid w:val="1C5F6220"/>
    <w:rsid w:val="1C77099D"/>
    <w:rsid w:val="1C7E7A7F"/>
    <w:rsid w:val="1CBD824C"/>
    <w:rsid w:val="1CC36DA2"/>
    <w:rsid w:val="1CCD3678"/>
    <w:rsid w:val="1CED0C71"/>
    <w:rsid w:val="1CF2CF0A"/>
    <w:rsid w:val="1D1A50CE"/>
    <w:rsid w:val="1D623ECD"/>
    <w:rsid w:val="1D6F0745"/>
    <w:rsid w:val="1D7E7C7B"/>
    <w:rsid w:val="1D7F7B99"/>
    <w:rsid w:val="1DB924E9"/>
    <w:rsid w:val="1DC74215"/>
    <w:rsid w:val="1DC92773"/>
    <w:rsid w:val="1DE7DC64"/>
    <w:rsid w:val="1DF41A03"/>
    <w:rsid w:val="1DF722E9"/>
    <w:rsid w:val="1E7ED145"/>
    <w:rsid w:val="1E9A6476"/>
    <w:rsid w:val="1EB47D2E"/>
    <w:rsid w:val="1EBFF32A"/>
    <w:rsid w:val="1EE06DBC"/>
    <w:rsid w:val="1EE87DF5"/>
    <w:rsid w:val="1EEB4BB9"/>
    <w:rsid w:val="1EFE9D96"/>
    <w:rsid w:val="1EFF78FB"/>
    <w:rsid w:val="1EFF910E"/>
    <w:rsid w:val="1EFFD1C0"/>
    <w:rsid w:val="1F493459"/>
    <w:rsid w:val="1F5950EB"/>
    <w:rsid w:val="1F678E3F"/>
    <w:rsid w:val="1F6D0499"/>
    <w:rsid w:val="1F7A1E3D"/>
    <w:rsid w:val="1F894E20"/>
    <w:rsid w:val="1F8AC30B"/>
    <w:rsid w:val="1FA75C0D"/>
    <w:rsid w:val="1FA917E5"/>
    <w:rsid w:val="1FBFF046"/>
    <w:rsid w:val="1FD1682D"/>
    <w:rsid w:val="1FDF234E"/>
    <w:rsid w:val="1FEDB956"/>
    <w:rsid w:val="1FEE0E62"/>
    <w:rsid w:val="1FFF9B15"/>
    <w:rsid w:val="1FFF9DF5"/>
    <w:rsid w:val="202A6496"/>
    <w:rsid w:val="202B0A86"/>
    <w:rsid w:val="2067117D"/>
    <w:rsid w:val="207A4E88"/>
    <w:rsid w:val="20A13C0F"/>
    <w:rsid w:val="20BF7A14"/>
    <w:rsid w:val="20D608A9"/>
    <w:rsid w:val="20E27A8F"/>
    <w:rsid w:val="211C4DD9"/>
    <w:rsid w:val="21203717"/>
    <w:rsid w:val="213B3315"/>
    <w:rsid w:val="214C7015"/>
    <w:rsid w:val="216604F1"/>
    <w:rsid w:val="217258E1"/>
    <w:rsid w:val="21DA531C"/>
    <w:rsid w:val="22051DF6"/>
    <w:rsid w:val="22175FAE"/>
    <w:rsid w:val="2253045C"/>
    <w:rsid w:val="228F002F"/>
    <w:rsid w:val="229751A9"/>
    <w:rsid w:val="23270B1C"/>
    <w:rsid w:val="233918F8"/>
    <w:rsid w:val="23477ED4"/>
    <w:rsid w:val="23522119"/>
    <w:rsid w:val="2354237E"/>
    <w:rsid w:val="23827FA5"/>
    <w:rsid w:val="23AB634C"/>
    <w:rsid w:val="23B84492"/>
    <w:rsid w:val="23C8626A"/>
    <w:rsid w:val="23D93184"/>
    <w:rsid w:val="24040DE9"/>
    <w:rsid w:val="24182136"/>
    <w:rsid w:val="2424664A"/>
    <w:rsid w:val="249B5628"/>
    <w:rsid w:val="24B37EF0"/>
    <w:rsid w:val="24D258E3"/>
    <w:rsid w:val="250D41B3"/>
    <w:rsid w:val="25191F5F"/>
    <w:rsid w:val="25297614"/>
    <w:rsid w:val="252D7A5F"/>
    <w:rsid w:val="253C1DCE"/>
    <w:rsid w:val="25500A93"/>
    <w:rsid w:val="257D2248"/>
    <w:rsid w:val="25806570"/>
    <w:rsid w:val="259B2C36"/>
    <w:rsid w:val="259F32DA"/>
    <w:rsid w:val="25A26B9E"/>
    <w:rsid w:val="25B50677"/>
    <w:rsid w:val="25CD625A"/>
    <w:rsid w:val="25DF9CD3"/>
    <w:rsid w:val="25E31ACB"/>
    <w:rsid w:val="2603596E"/>
    <w:rsid w:val="261457E5"/>
    <w:rsid w:val="2614741E"/>
    <w:rsid w:val="26526993"/>
    <w:rsid w:val="265C71AB"/>
    <w:rsid w:val="265E6149"/>
    <w:rsid w:val="26A2644A"/>
    <w:rsid w:val="26BF2702"/>
    <w:rsid w:val="26CD052F"/>
    <w:rsid w:val="26D72A9C"/>
    <w:rsid w:val="26D9450D"/>
    <w:rsid w:val="270B55FD"/>
    <w:rsid w:val="2718473C"/>
    <w:rsid w:val="275405E2"/>
    <w:rsid w:val="276F60D3"/>
    <w:rsid w:val="277E2115"/>
    <w:rsid w:val="278A6AED"/>
    <w:rsid w:val="27B330D3"/>
    <w:rsid w:val="27D73FB5"/>
    <w:rsid w:val="27DD1AC9"/>
    <w:rsid w:val="280E4DA9"/>
    <w:rsid w:val="2821102E"/>
    <w:rsid w:val="28360750"/>
    <w:rsid w:val="284B1866"/>
    <w:rsid w:val="28966573"/>
    <w:rsid w:val="289E7F40"/>
    <w:rsid w:val="28EE20F0"/>
    <w:rsid w:val="28F79117"/>
    <w:rsid w:val="2902463D"/>
    <w:rsid w:val="290D041C"/>
    <w:rsid w:val="291B3CEF"/>
    <w:rsid w:val="29363C40"/>
    <w:rsid w:val="29443FB0"/>
    <w:rsid w:val="29513A4C"/>
    <w:rsid w:val="296F53A2"/>
    <w:rsid w:val="29797096"/>
    <w:rsid w:val="29837114"/>
    <w:rsid w:val="29A91E09"/>
    <w:rsid w:val="29AC13BE"/>
    <w:rsid w:val="29C0187A"/>
    <w:rsid w:val="2A0D6FEB"/>
    <w:rsid w:val="2A7C3107"/>
    <w:rsid w:val="2A826B38"/>
    <w:rsid w:val="2A951FF8"/>
    <w:rsid w:val="2AB14540"/>
    <w:rsid w:val="2AFD6359"/>
    <w:rsid w:val="2B3B0C82"/>
    <w:rsid w:val="2B4F5DB3"/>
    <w:rsid w:val="2B50012B"/>
    <w:rsid w:val="2B5865A9"/>
    <w:rsid w:val="2B8A133E"/>
    <w:rsid w:val="2BAF35FD"/>
    <w:rsid w:val="2BB40893"/>
    <w:rsid w:val="2BE84C5A"/>
    <w:rsid w:val="2BEF0821"/>
    <w:rsid w:val="2BEF0AF0"/>
    <w:rsid w:val="2C0355FA"/>
    <w:rsid w:val="2C1756A2"/>
    <w:rsid w:val="2C1770D0"/>
    <w:rsid w:val="2C1E1FF8"/>
    <w:rsid w:val="2C3D8901"/>
    <w:rsid w:val="2C450939"/>
    <w:rsid w:val="2C7F5562"/>
    <w:rsid w:val="2C9674ED"/>
    <w:rsid w:val="2CA752A7"/>
    <w:rsid w:val="2CC11962"/>
    <w:rsid w:val="2D1BB423"/>
    <w:rsid w:val="2D7F519A"/>
    <w:rsid w:val="2D95747A"/>
    <w:rsid w:val="2DA92295"/>
    <w:rsid w:val="2DC72E95"/>
    <w:rsid w:val="2DC77851"/>
    <w:rsid w:val="2DDB21CB"/>
    <w:rsid w:val="2DE018D0"/>
    <w:rsid w:val="2E1A5F94"/>
    <w:rsid w:val="2E464130"/>
    <w:rsid w:val="2E587BFB"/>
    <w:rsid w:val="2E8C4B5C"/>
    <w:rsid w:val="2EA71F55"/>
    <w:rsid w:val="2EB11A78"/>
    <w:rsid w:val="2EBF1253"/>
    <w:rsid w:val="2EBFFB87"/>
    <w:rsid w:val="2F00520A"/>
    <w:rsid w:val="2F083B51"/>
    <w:rsid w:val="2F16A0F4"/>
    <w:rsid w:val="2F1E7FD4"/>
    <w:rsid w:val="2F352256"/>
    <w:rsid w:val="2F441649"/>
    <w:rsid w:val="2F732C21"/>
    <w:rsid w:val="2F7DB2C9"/>
    <w:rsid w:val="2F7F8C41"/>
    <w:rsid w:val="2F7F9F30"/>
    <w:rsid w:val="2F934158"/>
    <w:rsid w:val="2F97C55F"/>
    <w:rsid w:val="2FA3D559"/>
    <w:rsid w:val="2FA73A76"/>
    <w:rsid w:val="2FAD5A25"/>
    <w:rsid w:val="2FB11E53"/>
    <w:rsid w:val="2FBB31C8"/>
    <w:rsid w:val="2FBE0BB7"/>
    <w:rsid w:val="2FDED22B"/>
    <w:rsid w:val="2FE322E4"/>
    <w:rsid w:val="2FE6569A"/>
    <w:rsid w:val="2FE703D3"/>
    <w:rsid w:val="2FF9C26C"/>
    <w:rsid w:val="2FFB6CE5"/>
    <w:rsid w:val="2FFB73D3"/>
    <w:rsid w:val="2FFCBB44"/>
    <w:rsid w:val="2FFF6AC5"/>
    <w:rsid w:val="301A59AF"/>
    <w:rsid w:val="303E4CF8"/>
    <w:rsid w:val="305035AB"/>
    <w:rsid w:val="30784272"/>
    <w:rsid w:val="307A60F9"/>
    <w:rsid w:val="308658EE"/>
    <w:rsid w:val="30977202"/>
    <w:rsid w:val="30B061DA"/>
    <w:rsid w:val="30C231E5"/>
    <w:rsid w:val="30DED144"/>
    <w:rsid w:val="310A5D18"/>
    <w:rsid w:val="31205B2A"/>
    <w:rsid w:val="314606BC"/>
    <w:rsid w:val="31506F60"/>
    <w:rsid w:val="318023E6"/>
    <w:rsid w:val="31B27EE2"/>
    <w:rsid w:val="31BF7619"/>
    <w:rsid w:val="31D75558"/>
    <w:rsid w:val="31E42C68"/>
    <w:rsid w:val="31E76F4F"/>
    <w:rsid w:val="32377A05"/>
    <w:rsid w:val="323C5CC8"/>
    <w:rsid w:val="324115CC"/>
    <w:rsid w:val="32473C68"/>
    <w:rsid w:val="324D6D20"/>
    <w:rsid w:val="324E0D32"/>
    <w:rsid w:val="327534F5"/>
    <w:rsid w:val="328B3072"/>
    <w:rsid w:val="32BBC036"/>
    <w:rsid w:val="32C04477"/>
    <w:rsid w:val="32CA3A34"/>
    <w:rsid w:val="32D44BF2"/>
    <w:rsid w:val="32DB279B"/>
    <w:rsid w:val="331B0A3B"/>
    <w:rsid w:val="336F9A83"/>
    <w:rsid w:val="33830A36"/>
    <w:rsid w:val="33CF901D"/>
    <w:rsid w:val="33DC2DCC"/>
    <w:rsid w:val="33E540A5"/>
    <w:rsid w:val="33EB22FC"/>
    <w:rsid w:val="341B325B"/>
    <w:rsid w:val="342E31B0"/>
    <w:rsid w:val="344C7DAF"/>
    <w:rsid w:val="345F719B"/>
    <w:rsid w:val="349066C6"/>
    <w:rsid w:val="34AC31AC"/>
    <w:rsid w:val="34C04967"/>
    <w:rsid w:val="34D5304A"/>
    <w:rsid w:val="34DE3D3B"/>
    <w:rsid w:val="34EB2034"/>
    <w:rsid w:val="35112672"/>
    <w:rsid w:val="352A5DFA"/>
    <w:rsid w:val="35413E85"/>
    <w:rsid w:val="35974677"/>
    <w:rsid w:val="35A80747"/>
    <w:rsid w:val="35BA0BE8"/>
    <w:rsid w:val="35E95678"/>
    <w:rsid w:val="35ED0573"/>
    <w:rsid w:val="35FEE9D5"/>
    <w:rsid w:val="35FF882F"/>
    <w:rsid w:val="36156BBA"/>
    <w:rsid w:val="362A2C0A"/>
    <w:rsid w:val="36664FD1"/>
    <w:rsid w:val="36665D2D"/>
    <w:rsid w:val="368B3201"/>
    <w:rsid w:val="36B279B1"/>
    <w:rsid w:val="36B70208"/>
    <w:rsid w:val="36B955A4"/>
    <w:rsid w:val="36DF2F50"/>
    <w:rsid w:val="36FE4DFC"/>
    <w:rsid w:val="371B268F"/>
    <w:rsid w:val="371E6429"/>
    <w:rsid w:val="3777FC00"/>
    <w:rsid w:val="379E4A38"/>
    <w:rsid w:val="37BF760E"/>
    <w:rsid w:val="37DFA41B"/>
    <w:rsid w:val="37EF08E1"/>
    <w:rsid w:val="37FB78CB"/>
    <w:rsid w:val="37FC3623"/>
    <w:rsid w:val="37FFDFE5"/>
    <w:rsid w:val="381C450D"/>
    <w:rsid w:val="38441DA0"/>
    <w:rsid w:val="385A0D73"/>
    <w:rsid w:val="385B1F92"/>
    <w:rsid w:val="386E6066"/>
    <w:rsid w:val="387442ED"/>
    <w:rsid w:val="388C7A87"/>
    <w:rsid w:val="38AF6807"/>
    <w:rsid w:val="38D53ED1"/>
    <w:rsid w:val="38EF70FB"/>
    <w:rsid w:val="38FC59B1"/>
    <w:rsid w:val="393222AA"/>
    <w:rsid w:val="396B3DAF"/>
    <w:rsid w:val="39C11DBC"/>
    <w:rsid w:val="39F00F6B"/>
    <w:rsid w:val="39F59D4D"/>
    <w:rsid w:val="3A005026"/>
    <w:rsid w:val="3A271528"/>
    <w:rsid w:val="3A4D5F79"/>
    <w:rsid w:val="3A603086"/>
    <w:rsid w:val="3A903868"/>
    <w:rsid w:val="3AB7A406"/>
    <w:rsid w:val="3AEA6A84"/>
    <w:rsid w:val="3B277521"/>
    <w:rsid w:val="3B326F38"/>
    <w:rsid w:val="3B3E184B"/>
    <w:rsid w:val="3B48159D"/>
    <w:rsid w:val="3B73BCC3"/>
    <w:rsid w:val="3BB71564"/>
    <w:rsid w:val="3BBF06F6"/>
    <w:rsid w:val="3BE27E23"/>
    <w:rsid w:val="3BE51489"/>
    <w:rsid w:val="3BFA93EF"/>
    <w:rsid w:val="3BFCF68E"/>
    <w:rsid w:val="3C6C15EF"/>
    <w:rsid w:val="3C9B1AF4"/>
    <w:rsid w:val="3CA00EC4"/>
    <w:rsid w:val="3CA059E2"/>
    <w:rsid w:val="3CBD4165"/>
    <w:rsid w:val="3CD83CD7"/>
    <w:rsid w:val="3CD93B40"/>
    <w:rsid w:val="3CEF0F2A"/>
    <w:rsid w:val="3CFFD5E6"/>
    <w:rsid w:val="3D6A1184"/>
    <w:rsid w:val="3D6BA22E"/>
    <w:rsid w:val="3D6EDC11"/>
    <w:rsid w:val="3D794DBC"/>
    <w:rsid w:val="3D864F7C"/>
    <w:rsid w:val="3D87691E"/>
    <w:rsid w:val="3D8EC0EE"/>
    <w:rsid w:val="3D921B4E"/>
    <w:rsid w:val="3D9D2AFD"/>
    <w:rsid w:val="3DB7C61D"/>
    <w:rsid w:val="3DC11532"/>
    <w:rsid w:val="3DD26A94"/>
    <w:rsid w:val="3DE76524"/>
    <w:rsid w:val="3DF7DBA4"/>
    <w:rsid w:val="3DF906CD"/>
    <w:rsid w:val="3E03359B"/>
    <w:rsid w:val="3E1C7283"/>
    <w:rsid w:val="3E2F6D9B"/>
    <w:rsid w:val="3E4B7E5C"/>
    <w:rsid w:val="3E6BEA48"/>
    <w:rsid w:val="3E6F7714"/>
    <w:rsid w:val="3E8913B8"/>
    <w:rsid w:val="3E962242"/>
    <w:rsid w:val="3E9C4014"/>
    <w:rsid w:val="3EAB0813"/>
    <w:rsid w:val="3EBF32F0"/>
    <w:rsid w:val="3ECC2B87"/>
    <w:rsid w:val="3EEE6DE0"/>
    <w:rsid w:val="3EF79DC0"/>
    <w:rsid w:val="3EFC387B"/>
    <w:rsid w:val="3EFECE1A"/>
    <w:rsid w:val="3EFF5510"/>
    <w:rsid w:val="3EFF5E97"/>
    <w:rsid w:val="3F090F6A"/>
    <w:rsid w:val="3F352BC0"/>
    <w:rsid w:val="3F4E08CC"/>
    <w:rsid w:val="3F4F7DA2"/>
    <w:rsid w:val="3F4FA6F9"/>
    <w:rsid w:val="3F5A0E09"/>
    <w:rsid w:val="3F6619F5"/>
    <w:rsid w:val="3F790CB0"/>
    <w:rsid w:val="3F7B049D"/>
    <w:rsid w:val="3F7EF851"/>
    <w:rsid w:val="3F7F5C6A"/>
    <w:rsid w:val="3F8954B2"/>
    <w:rsid w:val="3F8D0899"/>
    <w:rsid w:val="3F911FB7"/>
    <w:rsid w:val="3F970855"/>
    <w:rsid w:val="3F9B8D70"/>
    <w:rsid w:val="3F9C704E"/>
    <w:rsid w:val="3F9EF683"/>
    <w:rsid w:val="3FAE6D2D"/>
    <w:rsid w:val="3FBD71D2"/>
    <w:rsid w:val="3FBD8D6B"/>
    <w:rsid w:val="3FC111A5"/>
    <w:rsid w:val="3FC767C0"/>
    <w:rsid w:val="3FCB541B"/>
    <w:rsid w:val="3FE394E7"/>
    <w:rsid w:val="3FF729DE"/>
    <w:rsid w:val="3FFB0E64"/>
    <w:rsid w:val="3FFBE772"/>
    <w:rsid w:val="3FFD09BF"/>
    <w:rsid w:val="3FFF180E"/>
    <w:rsid w:val="3FFF3C7C"/>
    <w:rsid w:val="40406848"/>
    <w:rsid w:val="40507D03"/>
    <w:rsid w:val="406F0D95"/>
    <w:rsid w:val="40A244D3"/>
    <w:rsid w:val="40CC3D01"/>
    <w:rsid w:val="410846C7"/>
    <w:rsid w:val="41170D8C"/>
    <w:rsid w:val="411E3DC1"/>
    <w:rsid w:val="415663BE"/>
    <w:rsid w:val="416F7A1E"/>
    <w:rsid w:val="417B233A"/>
    <w:rsid w:val="417F6D50"/>
    <w:rsid w:val="418F7470"/>
    <w:rsid w:val="41A1787D"/>
    <w:rsid w:val="41C344C9"/>
    <w:rsid w:val="41F60D82"/>
    <w:rsid w:val="421B56A5"/>
    <w:rsid w:val="42321AFB"/>
    <w:rsid w:val="4244105B"/>
    <w:rsid w:val="424B3D9F"/>
    <w:rsid w:val="424E7A5B"/>
    <w:rsid w:val="42770709"/>
    <w:rsid w:val="4284141A"/>
    <w:rsid w:val="428618D8"/>
    <w:rsid w:val="428D2894"/>
    <w:rsid w:val="42AE4623"/>
    <w:rsid w:val="42C709D9"/>
    <w:rsid w:val="42C764D3"/>
    <w:rsid w:val="43054F2D"/>
    <w:rsid w:val="430E0410"/>
    <w:rsid w:val="4346240A"/>
    <w:rsid w:val="434C0FF8"/>
    <w:rsid w:val="435503EE"/>
    <w:rsid w:val="435530F7"/>
    <w:rsid w:val="4367401B"/>
    <w:rsid w:val="436843DE"/>
    <w:rsid w:val="438A7376"/>
    <w:rsid w:val="43B16906"/>
    <w:rsid w:val="43ED2B7B"/>
    <w:rsid w:val="44111269"/>
    <w:rsid w:val="443E2FA8"/>
    <w:rsid w:val="44442155"/>
    <w:rsid w:val="447F6E97"/>
    <w:rsid w:val="449B55DB"/>
    <w:rsid w:val="44A20C85"/>
    <w:rsid w:val="44A96D87"/>
    <w:rsid w:val="44C57C74"/>
    <w:rsid w:val="44E71F3D"/>
    <w:rsid w:val="44EF286E"/>
    <w:rsid w:val="457654BD"/>
    <w:rsid w:val="45781435"/>
    <w:rsid w:val="458F461A"/>
    <w:rsid w:val="45A809B5"/>
    <w:rsid w:val="45B2422F"/>
    <w:rsid w:val="45B51851"/>
    <w:rsid w:val="45BD31FC"/>
    <w:rsid w:val="45BF1B18"/>
    <w:rsid w:val="45C03E43"/>
    <w:rsid w:val="45CF606B"/>
    <w:rsid w:val="45DA659D"/>
    <w:rsid w:val="45E63C2A"/>
    <w:rsid w:val="45F85E56"/>
    <w:rsid w:val="46343AB7"/>
    <w:rsid w:val="46377C27"/>
    <w:rsid w:val="46481401"/>
    <w:rsid w:val="4656259A"/>
    <w:rsid w:val="46632AB1"/>
    <w:rsid w:val="4678252F"/>
    <w:rsid w:val="46796C81"/>
    <w:rsid w:val="467F3C4B"/>
    <w:rsid w:val="46997D2D"/>
    <w:rsid w:val="46BD3720"/>
    <w:rsid w:val="46CF51CF"/>
    <w:rsid w:val="46F61B58"/>
    <w:rsid w:val="46F6BC41"/>
    <w:rsid w:val="46F94D90"/>
    <w:rsid w:val="46FF4BB7"/>
    <w:rsid w:val="4715052C"/>
    <w:rsid w:val="471C01E6"/>
    <w:rsid w:val="472932F9"/>
    <w:rsid w:val="47621692"/>
    <w:rsid w:val="476B10DE"/>
    <w:rsid w:val="477379B4"/>
    <w:rsid w:val="47DA0EAA"/>
    <w:rsid w:val="47E437B2"/>
    <w:rsid w:val="482C068C"/>
    <w:rsid w:val="486E3D4D"/>
    <w:rsid w:val="48760EB1"/>
    <w:rsid w:val="48A9213B"/>
    <w:rsid w:val="48B03789"/>
    <w:rsid w:val="48CD5054"/>
    <w:rsid w:val="490365E8"/>
    <w:rsid w:val="49564D6C"/>
    <w:rsid w:val="495858C8"/>
    <w:rsid w:val="496D29C4"/>
    <w:rsid w:val="498324DD"/>
    <w:rsid w:val="49865B8B"/>
    <w:rsid w:val="498F266D"/>
    <w:rsid w:val="49955D36"/>
    <w:rsid w:val="499D7BE9"/>
    <w:rsid w:val="49AF721B"/>
    <w:rsid w:val="49CF608B"/>
    <w:rsid w:val="49EF2AF6"/>
    <w:rsid w:val="49F6339E"/>
    <w:rsid w:val="4A146D63"/>
    <w:rsid w:val="4A4B7096"/>
    <w:rsid w:val="4A7EB2FF"/>
    <w:rsid w:val="4AB75723"/>
    <w:rsid w:val="4ABDA9E8"/>
    <w:rsid w:val="4ABF315C"/>
    <w:rsid w:val="4B080EAE"/>
    <w:rsid w:val="4B155BEE"/>
    <w:rsid w:val="4B7F6F51"/>
    <w:rsid w:val="4B855F61"/>
    <w:rsid w:val="4B975DC1"/>
    <w:rsid w:val="4BBD5DFB"/>
    <w:rsid w:val="4BBFD9DF"/>
    <w:rsid w:val="4BC1009B"/>
    <w:rsid w:val="4BC6194C"/>
    <w:rsid w:val="4BDEA82A"/>
    <w:rsid w:val="4BEB532E"/>
    <w:rsid w:val="4BFF2C20"/>
    <w:rsid w:val="4C096C67"/>
    <w:rsid w:val="4C145D63"/>
    <w:rsid w:val="4C2F2752"/>
    <w:rsid w:val="4C435CA4"/>
    <w:rsid w:val="4C530CB4"/>
    <w:rsid w:val="4C766B16"/>
    <w:rsid w:val="4C7A3834"/>
    <w:rsid w:val="4CA5621B"/>
    <w:rsid w:val="4CCA43F7"/>
    <w:rsid w:val="4CF0D4FF"/>
    <w:rsid w:val="4CFDCBFB"/>
    <w:rsid w:val="4CFEAD37"/>
    <w:rsid w:val="4D222835"/>
    <w:rsid w:val="4D262E79"/>
    <w:rsid w:val="4D292CD4"/>
    <w:rsid w:val="4D663CA8"/>
    <w:rsid w:val="4D7D6118"/>
    <w:rsid w:val="4D968124"/>
    <w:rsid w:val="4D9C370C"/>
    <w:rsid w:val="4DA91C91"/>
    <w:rsid w:val="4DB9F78C"/>
    <w:rsid w:val="4DCA17BE"/>
    <w:rsid w:val="4DE52F92"/>
    <w:rsid w:val="4DE777E6"/>
    <w:rsid w:val="4DED67BF"/>
    <w:rsid w:val="4E6DB298"/>
    <w:rsid w:val="4E7816D4"/>
    <w:rsid w:val="4E9E2993"/>
    <w:rsid w:val="4EAFD821"/>
    <w:rsid w:val="4EBC0FDC"/>
    <w:rsid w:val="4EBE67B2"/>
    <w:rsid w:val="4F260F14"/>
    <w:rsid w:val="4F3374B4"/>
    <w:rsid w:val="4F3DFD49"/>
    <w:rsid w:val="4F4F65BB"/>
    <w:rsid w:val="4F6036C3"/>
    <w:rsid w:val="4F77A3DB"/>
    <w:rsid w:val="4F7B626C"/>
    <w:rsid w:val="4FB60EB6"/>
    <w:rsid w:val="4FC9436C"/>
    <w:rsid w:val="4FD72B41"/>
    <w:rsid w:val="4FF36A56"/>
    <w:rsid w:val="4FF41F1D"/>
    <w:rsid w:val="4FFE1847"/>
    <w:rsid w:val="4FFF0867"/>
    <w:rsid w:val="501749FF"/>
    <w:rsid w:val="503940D1"/>
    <w:rsid w:val="504D3366"/>
    <w:rsid w:val="50626EC3"/>
    <w:rsid w:val="507512B8"/>
    <w:rsid w:val="507A79BC"/>
    <w:rsid w:val="509C3921"/>
    <w:rsid w:val="50C371D3"/>
    <w:rsid w:val="50FA5731"/>
    <w:rsid w:val="51303228"/>
    <w:rsid w:val="51347BFF"/>
    <w:rsid w:val="51446B7A"/>
    <w:rsid w:val="51531ED8"/>
    <w:rsid w:val="51551E00"/>
    <w:rsid w:val="5165255B"/>
    <w:rsid w:val="51750003"/>
    <w:rsid w:val="519D6088"/>
    <w:rsid w:val="51F22714"/>
    <w:rsid w:val="520A52BC"/>
    <w:rsid w:val="52144A10"/>
    <w:rsid w:val="522225CC"/>
    <w:rsid w:val="525547D9"/>
    <w:rsid w:val="527C0316"/>
    <w:rsid w:val="52A0709E"/>
    <w:rsid w:val="52D70337"/>
    <w:rsid w:val="52D742B0"/>
    <w:rsid w:val="52DA2780"/>
    <w:rsid w:val="52F21026"/>
    <w:rsid w:val="52F34C34"/>
    <w:rsid w:val="52F50577"/>
    <w:rsid w:val="5304599C"/>
    <w:rsid w:val="531648B5"/>
    <w:rsid w:val="534C6F1B"/>
    <w:rsid w:val="53580D45"/>
    <w:rsid w:val="536136A1"/>
    <w:rsid w:val="537DC0A2"/>
    <w:rsid w:val="53A928A9"/>
    <w:rsid w:val="53B2024F"/>
    <w:rsid w:val="53B83907"/>
    <w:rsid w:val="53E91301"/>
    <w:rsid w:val="53F0747B"/>
    <w:rsid w:val="545112A5"/>
    <w:rsid w:val="54756E9F"/>
    <w:rsid w:val="54BEB7BD"/>
    <w:rsid w:val="550175B7"/>
    <w:rsid w:val="553734B8"/>
    <w:rsid w:val="55A57E46"/>
    <w:rsid w:val="55AD3E33"/>
    <w:rsid w:val="55AE42D8"/>
    <w:rsid w:val="55B20BE0"/>
    <w:rsid w:val="55C53039"/>
    <w:rsid w:val="55D949DC"/>
    <w:rsid w:val="55EB5F65"/>
    <w:rsid w:val="55F53D2C"/>
    <w:rsid w:val="560D42BB"/>
    <w:rsid w:val="562E2B35"/>
    <w:rsid w:val="56434699"/>
    <w:rsid w:val="564641FE"/>
    <w:rsid w:val="5681698A"/>
    <w:rsid w:val="569EF7B0"/>
    <w:rsid w:val="56AC3A71"/>
    <w:rsid w:val="56C6473B"/>
    <w:rsid w:val="56CC6EAB"/>
    <w:rsid w:val="56D74735"/>
    <w:rsid w:val="56DE000D"/>
    <w:rsid w:val="56EC104E"/>
    <w:rsid w:val="56F33945"/>
    <w:rsid w:val="56F6DAB0"/>
    <w:rsid w:val="571D495C"/>
    <w:rsid w:val="574645BE"/>
    <w:rsid w:val="576919EA"/>
    <w:rsid w:val="57732AC1"/>
    <w:rsid w:val="577D65AF"/>
    <w:rsid w:val="577F6FDC"/>
    <w:rsid w:val="57843B76"/>
    <w:rsid w:val="57A52339"/>
    <w:rsid w:val="57AC5A1C"/>
    <w:rsid w:val="57B66A9F"/>
    <w:rsid w:val="57B95083"/>
    <w:rsid w:val="57D9D5BC"/>
    <w:rsid w:val="57DD7529"/>
    <w:rsid w:val="57DE385A"/>
    <w:rsid w:val="57DF2C92"/>
    <w:rsid w:val="57F306A6"/>
    <w:rsid w:val="57F7D34F"/>
    <w:rsid w:val="57F8EF97"/>
    <w:rsid w:val="57FD6F33"/>
    <w:rsid w:val="57FE9A6A"/>
    <w:rsid w:val="57FF410E"/>
    <w:rsid w:val="57FF62C0"/>
    <w:rsid w:val="581727A0"/>
    <w:rsid w:val="583BBBA1"/>
    <w:rsid w:val="5873337D"/>
    <w:rsid w:val="58741794"/>
    <w:rsid w:val="587E07B8"/>
    <w:rsid w:val="58AF4E41"/>
    <w:rsid w:val="58B41022"/>
    <w:rsid w:val="58B97F29"/>
    <w:rsid w:val="58C46B40"/>
    <w:rsid w:val="58DA705B"/>
    <w:rsid w:val="58E72F20"/>
    <w:rsid w:val="58FB1F94"/>
    <w:rsid w:val="592D53E5"/>
    <w:rsid w:val="59482DC3"/>
    <w:rsid w:val="594C2C9B"/>
    <w:rsid w:val="595D0599"/>
    <w:rsid w:val="595DEFC6"/>
    <w:rsid w:val="59724B00"/>
    <w:rsid w:val="59870899"/>
    <w:rsid w:val="5992714E"/>
    <w:rsid w:val="59EA212F"/>
    <w:rsid w:val="59F271D3"/>
    <w:rsid w:val="59F87366"/>
    <w:rsid w:val="59FF35F5"/>
    <w:rsid w:val="5A04162B"/>
    <w:rsid w:val="5A145BBF"/>
    <w:rsid w:val="5A81421E"/>
    <w:rsid w:val="5A963AAD"/>
    <w:rsid w:val="5A9E2282"/>
    <w:rsid w:val="5ACFD81A"/>
    <w:rsid w:val="5AFA4BDB"/>
    <w:rsid w:val="5B3A6098"/>
    <w:rsid w:val="5B410D79"/>
    <w:rsid w:val="5B4D177D"/>
    <w:rsid w:val="5B57206F"/>
    <w:rsid w:val="5B6B7A7F"/>
    <w:rsid w:val="5B7E537A"/>
    <w:rsid w:val="5B8643BE"/>
    <w:rsid w:val="5B9752C3"/>
    <w:rsid w:val="5BA1550F"/>
    <w:rsid w:val="5BAEC8ED"/>
    <w:rsid w:val="5BB25C1D"/>
    <w:rsid w:val="5BBF10B3"/>
    <w:rsid w:val="5BCB0034"/>
    <w:rsid w:val="5BDA3F4B"/>
    <w:rsid w:val="5BDC5203"/>
    <w:rsid w:val="5BEE2622"/>
    <w:rsid w:val="5BF492AF"/>
    <w:rsid w:val="5BFC5543"/>
    <w:rsid w:val="5C111171"/>
    <w:rsid w:val="5C4B152E"/>
    <w:rsid w:val="5C676E46"/>
    <w:rsid w:val="5CCD14E8"/>
    <w:rsid w:val="5CD906FD"/>
    <w:rsid w:val="5CE721B5"/>
    <w:rsid w:val="5CF559A5"/>
    <w:rsid w:val="5CFDB53B"/>
    <w:rsid w:val="5CFFE782"/>
    <w:rsid w:val="5D00630C"/>
    <w:rsid w:val="5D380745"/>
    <w:rsid w:val="5D3D737A"/>
    <w:rsid w:val="5D3D94CB"/>
    <w:rsid w:val="5D3E705B"/>
    <w:rsid w:val="5D566855"/>
    <w:rsid w:val="5D5E0BBC"/>
    <w:rsid w:val="5D5F20F7"/>
    <w:rsid w:val="5D5F7C39"/>
    <w:rsid w:val="5D7DCA96"/>
    <w:rsid w:val="5D8601B4"/>
    <w:rsid w:val="5D882F4C"/>
    <w:rsid w:val="5D917DBC"/>
    <w:rsid w:val="5DBB749C"/>
    <w:rsid w:val="5DDDF97C"/>
    <w:rsid w:val="5DDFE3B3"/>
    <w:rsid w:val="5DE2D309"/>
    <w:rsid w:val="5DE95F2B"/>
    <w:rsid w:val="5DEA24FB"/>
    <w:rsid w:val="5DF519EE"/>
    <w:rsid w:val="5DF661F6"/>
    <w:rsid w:val="5DFD7F64"/>
    <w:rsid w:val="5E0D6CBF"/>
    <w:rsid w:val="5E204EB5"/>
    <w:rsid w:val="5E253E99"/>
    <w:rsid w:val="5E2E4D2C"/>
    <w:rsid w:val="5E3B4A4A"/>
    <w:rsid w:val="5E3D3C52"/>
    <w:rsid w:val="5E4317BE"/>
    <w:rsid w:val="5E5E3E17"/>
    <w:rsid w:val="5E9AD703"/>
    <w:rsid w:val="5EB51100"/>
    <w:rsid w:val="5EBD085D"/>
    <w:rsid w:val="5EBFC788"/>
    <w:rsid w:val="5EC50CAA"/>
    <w:rsid w:val="5ECA649A"/>
    <w:rsid w:val="5ECFC980"/>
    <w:rsid w:val="5EDB06B5"/>
    <w:rsid w:val="5EE70D55"/>
    <w:rsid w:val="5EF09A9F"/>
    <w:rsid w:val="5EFD8B08"/>
    <w:rsid w:val="5EFE6967"/>
    <w:rsid w:val="5EFFEE16"/>
    <w:rsid w:val="5F0757FB"/>
    <w:rsid w:val="5F0C3810"/>
    <w:rsid w:val="5F143E66"/>
    <w:rsid w:val="5F195058"/>
    <w:rsid w:val="5F2008EF"/>
    <w:rsid w:val="5F2F140A"/>
    <w:rsid w:val="5F379D50"/>
    <w:rsid w:val="5F3DE5EE"/>
    <w:rsid w:val="5F4776BD"/>
    <w:rsid w:val="5F5920E6"/>
    <w:rsid w:val="5F5A5F43"/>
    <w:rsid w:val="5F5AFB79"/>
    <w:rsid w:val="5F73DE65"/>
    <w:rsid w:val="5F74F361"/>
    <w:rsid w:val="5F7EDA11"/>
    <w:rsid w:val="5F874302"/>
    <w:rsid w:val="5F8E49D3"/>
    <w:rsid w:val="5FB00E66"/>
    <w:rsid w:val="5FB6969D"/>
    <w:rsid w:val="5FB7CC16"/>
    <w:rsid w:val="5FBA3B31"/>
    <w:rsid w:val="5FBA7FDE"/>
    <w:rsid w:val="5FBFE689"/>
    <w:rsid w:val="5FC5229F"/>
    <w:rsid w:val="5FC64909"/>
    <w:rsid w:val="5FD3833D"/>
    <w:rsid w:val="5FD3DC4E"/>
    <w:rsid w:val="5FDBCECD"/>
    <w:rsid w:val="5FDF4090"/>
    <w:rsid w:val="5FE5379D"/>
    <w:rsid w:val="5FE57CB9"/>
    <w:rsid w:val="5FE78E32"/>
    <w:rsid w:val="5FE7C409"/>
    <w:rsid w:val="5FE7E352"/>
    <w:rsid w:val="5FEE8E24"/>
    <w:rsid w:val="5FF70023"/>
    <w:rsid w:val="5FF9301E"/>
    <w:rsid w:val="5FFC636E"/>
    <w:rsid w:val="5FFDC5BE"/>
    <w:rsid w:val="5FFE2399"/>
    <w:rsid w:val="5FFF20F2"/>
    <w:rsid w:val="5FFF6142"/>
    <w:rsid w:val="5FFF733F"/>
    <w:rsid w:val="5FFF741B"/>
    <w:rsid w:val="5FFF7E69"/>
    <w:rsid w:val="5FFFA877"/>
    <w:rsid w:val="5FFFB5C4"/>
    <w:rsid w:val="60406F40"/>
    <w:rsid w:val="604331D2"/>
    <w:rsid w:val="6089467D"/>
    <w:rsid w:val="608953DB"/>
    <w:rsid w:val="609C6958"/>
    <w:rsid w:val="60AB4398"/>
    <w:rsid w:val="60F33635"/>
    <w:rsid w:val="6101478D"/>
    <w:rsid w:val="61327751"/>
    <w:rsid w:val="613A0DE9"/>
    <w:rsid w:val="61417994"/>
    <w:rsid w:val="61557A49"/>
    <w:rsid w:val="6159583F"/>
    <w:rsid w:val="61810FC4"/>
    <w:rsid w:val="619341DA"/>
    <w:rsid w:val="61CB14FE"/>
    <w:rsid w:val="620C1111"/>
    <w:rsid w:val="62297121"/>
    <w:rsid w:val="622D0298"/>
    <w:rsid w:val="624E26A5"/>
    <w:rsid w:val="627259F3"/>
    <w:rsid w:val="62742135"/>
    <w:rsid w:val="628B5661"/>
    <w:rsid w:val="629B6D4B"/>
    <w:rsid w:val="62B76960"/>
    <w:rsid w:val="62E654A9"/>
    <w:rsid w:val="631B7965"/>
    <w:rsid w:val="633E09DF"/>
    <w:rsid w:val="63441EDC"/>
    <w:rsid w:val="634B7CDF"/>
    <w:rsid w:val="637B471D"/>
    <w:rsid w:val="638C14FA"/>
    <w:rsid w:val="63904125"/>
    <w:rsid w:val="63B55F66"/>
    <w:rsid w:val="63D461A2"/>
    <w:rsid w:val="63F6AF09"/>
    <w:rsid w:val="63F75FE1"/>
    <w:rsid w:val="6407213A"/>
    <w:rsid w:val="64200576"/>
    <w:rsid w:val="6432530E"/>
    <w:rsid w:val="6475604C"/>
    <w:rsid w:val="647B80EC"/>
    <w:rsid w:val="64A2696B"/>
    <w:rsid w:val="64C748BF"/>
    <w:rsid w:val="64CA6A88"/>
    <w:rsid w:val="64D709CE"/>
    <w:rsid w:val="6507390C"/>
    <w:rsid w:val="654F48C4"/>
    <w:rsid w:val="65764BF7"/>
    <w:rsid w:val="65DA75E4"/>
    <w:rsid w:val="65ED38F4"/>
    <w:rsid w:val="65EF1B82"/>
    <w:rsid w:val="65F446F9"/>
    <w:rsid w:val="65F96C4A"/>
    <w:rsid w:val="6604481D"/>
    <w:rsid w:val="66081F7D"/>
    <w:rsid w:val="661B4A1F"/>
    <w:rsid w:val="662002BE"/>
    <w:rsid w:val="66442E07"/>
    <w:rsid w:val="664B3584"/>
    <w:rsid w:val="666E68F5"/>
    <w:rsid w:val="6697307D"/>
    <w:rsid w:val="66B62C47"/>
    <w:rsid w:val="66B62CF2"/>
    <w:rsid w:val="66C56A99"/>
    <w:rsid w:val="66DFA41F"/>
    <w:rsid w:val="66E00E86"/>
    <w:rsid w:val="66E75849"/>
    <w:rsid w:val="66FD15F9"/>
    <w:rsid w:val="66FF9A14"/>
    <w:rsid w:val="66FFED5E"/>
    <w:rsid w:val="670D246B"/>
    <w:rsid w:val="670E1946"/>
    <w:rsid w:val="672C15F6"/>
    <w:rsid w:val="672D5D2B"/>
    <w:rsid w:val="6731557F"/>
    <w:rsid w:val="673F298B"/>
    <w:rsid w:val="6753B605"/>
    <w:rsid w:val="6763731F"/>
    <w:rsid w:val="6772763E"/>
    <w:rsid w:val="6775352F"/>
    <w:rsid w:val="677EA2CA"/>
    <w:rsid w:val="67875BEC"/>
    <w:rsid w:val="6797C3E4"/>
    <w:rsid w:val="67981E55"/>
    <w:rsid w:val="679A30E1"/>
    <w:rsid w:val="67BB5DCF"/>
    <w:rsid w:val="67CF4B12"/>
    <w:rsid w:val="67D56C7D"/>
    <w:rsid w:val="67DB7D86"/>
    <w:rsid w:val="67E34958"/>
    <w:rsid w:val="67EDB27E"/>
    <w:rsid w:val="67EDBDA0"/>
    <w:rsid w:val="67FF0E94"/>
    <w:rsid w:val="68835F71"/>
    <w:rsid w:val="68EE5790"/>
    <w:rsid w:val="690432A4"/>
    <w:rsid w:val="692F6DAF"/>
    <w:rsid w:val="69787C50"/>
    <w:rsid w:val="697FCD9D"/>
    <w:rsid w:val="6987583A"/>
    <w:rsid w:val="69964C41"/>
    <w:rsid w:val="69C26DD9"/>
    <w:rsid w:val="69D45A86"/>
    <w:rsid w:val="69E80CC5"/>
    <w:rsid w:val="69F63C71"/>
    <w:rsid w:val="69F6F957"/>
    <w:rsid w:val="6A1F4150"/>
    <w:rsid w:val="6A2D1CCF"/>
    <w:rsid w:val="6A7E092E"/>
    <w:rsid w:val="6A904237"/>
    <w:rsid w:val="6AB5277B"/>
    <w:rsid w:val="6AEBD79B"/>
    <w:rsid w:val="6AF040E0"/>
    <w:rsid w:val="6AF711C0"/>
    <w:rsid w:val="6AFAFFDE"/>
    <w:rsid w:val="6AFF09AC"/>
    <w:rsid w:val="6B131661"/>
    <w:rsid w:val="6B39269D"/>
    <w:rsid w:val="6B6E2ECF"/>
    <w:rsid w:val="6B744899"/>
    <w:rsid w:val="6B7D00D8"/>
    <w:rsid w:val="6B7F6011"/>
    <w:rsid w:val="6B84408B"/>
    <w:rsid w:val="6BAE6F4B"/>
    <w:rsid w:val="6BBB38C9"/>
    <w:rsid w:val="6BBD121A"/>
    <w:rsid w:val="6BBDD199"/>
    <w:rsid w:val="6BBE2EC3"/>
    <w:rsid w:val="6BD4BFFA"/>
    <w:rsid w:val="6BDDBC3F"/>
    <w:rsid w:val="6BE03964"/>
    <w:rsid w:val="6BEEC6FD"/>
    <w:rsid w:val="6BEFC8D0"/>
    <w:rsid w:val="6BFF2C4A"/>
    <w:rsid w:val="6BFF6F90"/>
    <w:rsid w:val="6C1C2C64"/>
    <w:rsid w:val="6C5DB040"/>
    <w:rsid w:val="6C6351B9"/>
    <w:rsid w:val="6C6F4811"/>
    <w:rsid w:val="6C745F04"/>
    <w:rsid w:val="6C7FDC0D"/>
    <w:rsid w:val="6C815AFB"/>
    <w:rsid w:val="6C9106CB"/>
    <w:rsid w:val="6CB392BE"/>
    <w:rsid w:val="6CEB81F2"/>
    <w:rsid w:val="6CF43927"/>
    <w:rsid w:val="6CFDC25F"/>
    <w:rsid w:val="6CFEC4E7"/>
    <w:rsid w:val="6D3A7270"/>
    <w:rsid w:val="6D3F0101"/>
    <w:rsid w:val="6D457A57"/>
    <w:rsid w:val="6D47055B"/>
    <w:rsid w:val="6D552320"/>
    <w:rsid w:val="6D6D55B1"/>
    <w:rsid w:val="6D7B1EFA"/>
    <w:rsid w:val="6D7E025D"/>
    <w:rsid w:val="6D7FF225"/>
    <w:rsid w:val="6D9416E8"/>
    <w:rsid w:val="6DA22463"/>
    <w:rsid w:val="6DE70451"/>
    <w:rsid w:val="6DE77A1B"/>
    <w:rsid w:val="6DF93840"/>
    <w:rsid w:val="6DFB7502"/>
    <w:rsid w:val="6DFD15BA"/>
    <w:rsid w:val="6DFE3646"/>
    <w:rsid w:val="6DFFDE98"/>
    <w:rsid w:val="6E0A0FF3"/>
    <w:rsid w:val="6E200660"/>
    <w:rsid w:val="6E3C2184"/>
    <w:rsid w:val="6E501280"/>
    <w:rsid w:val="6E541107"/>
    <w:rsid w:val="6E6D3F1C"/>
    <w:rsid w:val="6E6F13E2"/>
    <w:rsid w:val="6E7F4EDF"/>
    <w:rsid w:val="6E7FB585"/>
    <w:rsid w:val="6EBA0434"/>
    <w:rsid w:val="6EBE0B2E"/>
    <w:rsid w:val="6EBFC098"/>
    <w:rsid w:val="6EC117B0"/>
    <w:rsid w:val="6EC73413"/>
    <w:rsid w:val="6ED04039"/>
    <w:rsid w:val="6EEFA056"/>
    <w:rsid w:val="6EF6D4E8"/>
    <w:rsid w:val="6F1B6A0E"/>
    <w:rsid w:val="6F2F99B7"/>
    <w:rsid w:val="6F339185"/>
    <w:rsid w:val="6F3BBDA7"/>
    <w:rsid w:val="6F536A96"/>
    <w:rsid w:val="6F572A87"/>
    <w:rsid w:val="6F598764"/>
    <w:rsid w:val="6F5F9545"/>
    <w:rsid w:val="6F6749DE"/>
    <w:rsid w:val="6F6EBA27"/>
    <w:rsid w:val="6F6F7E42"/>
    <w:rsid w:val="6F7AE86B"/>
    <w:rsid w:val="6F7B8F75"/>
    <w:rsid w:val="6F7F97B7"/>
    <w:rsid w:val="6F7FA439"/>
    <w:rsid w:val="6FB0302E"/>
    <w:rsid w:val="6FBB02AE"/>
    <w:rsid w:val="6FBF5CB5"/>
    <w:rsid w:val="6FCE37D4"/>
    <w:rsid w:val="6FDF893A"/>
    <w:rsid w:val="6FE70858"/>
    <w:rsid w:val="6FE71825"/>
    <w:rsid w:val="6FEB3409"/>
    <w:rsid w:val="6FF2EFD2"/>
    <w:rsid w:val="6FF55067"/>
    <w:rsid w:val="6FF70C7C"/>
    <w:rsid w:val="6FF736B6"/>
    <w:rsid w:val="6FF9061E"/>
    <w:rsid w:val="6FFE666F"/>
    <w:rsid w:val="6FFEE4E9"/>
    <w:rsid w:val="704A5458"/>
    <w:rsid w:val="705F6570"/>
    <w:rsid w:val="70607C3E"/>
    <w:rsid w:val="70942BA8"/>
    <w:rsid w:val="70970059"/>
    <w:rsid w:val="70AB1F88"/>
    <w:rsid w:val="70D71DCC"/>
    <w:rsid w:val="70FB4E67"/>
    <w:rsid w:val="70FF3E19"/>
    <w:rsid w:val="71312567"/>
    <w:rsid w:val="714C0320"/>
    <w:rsid w:val="71C81420"/>
    <w:rsid w:val="71CA1358"/>
    <w:rsid w:val="71CDA7D5"/>
    <w:rsid w:val="71D327A6"/>
    <w:rsid w:val="71DD7CED"/>
    <w:rsid w:val="71F20864"/>
    <w:rsid w:val="72036D04"/>
    <w:rsid w:val="72455C53"/>
    <w:rsid w:val="725D0296"/>
    <w:rsid w:val="727470BE"/>
    <w:rsid w:val="72E0F452"/>
    <w:rsid w:val="72F202C1"/>
    <w:rsid w:val="72FC7BB3"/>
    <w:rsid w:val="7315134E"/>
    <w:rsid w:val="731D7F68"/>
    <w:rsid w:val="733483F2"/>
    <w:rsid w:val="73392D88"/>
    <w:rsid w:val="734320A0"/>
    <w:rsid w:val="734A513A"/>
    <w:rsid w:val="735BE9EB"/>
    <w:rsid w:val="739550E5"/>
    <w:rsid w:val="73A14FE3"/>
    <w:rsid w:val="73A676AB"/>
    <w:rsid w:val="73B3F77A"/>
    <w:rsid w:val="73BF3206"/>
    <w:rsid w:val="73C814DA"/>
    <w:rsid w:val="73DD33BD"/>
    <w:rsid w:val="73EBD575"/>
    <w:rsid w:val="73EF44FA"/>
    <w:rsid w:val="73F66136"/>
    <w:rsid w:val="73F74C80"/>
    <w:rsid w:val="73FEEAA2"/>
    <w:rsid w:val="73FF8131"/>
    <w:rsid w:val="74314E22"/>
    <w:rsid w:val="74486AF1"/>
    <w:rsid w:val="7456248E"/>
    <w:rsid w:val="74645ED5"/>
    <w:rsid w:val="74977CC5"/>
    <w:rsid w:val="74AD3EBF"/>
    <w:rsid w:val="74BF48AA"/>
    <w:rsid w:val="74E77EFD"/>
    <w:rsid w:val="74FB735B"/>
    <w:rsid w:val="7519F0F1"/>
    <w:rsid w:val="753A75CE"/>
    <w:rsid w:val="7547410B"/>
    <w:rsid w:val="75670E1B"/>
    <w:rsid w:val="757E8488"/>
    <w:rsid w:val="759D5D2B"/>
    <w:rsid w:val="759DDA6E"/>
    <w:rsid w:val="75B57793"/>
    <w:rsid w:val="75B847FC"/>
    <w:rsid w:val="75DFB6E5"/>
    <w:rsid w:val="75E60986"/>
    <w:rsid w:val="75FFAC91"/>
    <w:rsid w:val="76067541"/>
    <w:rsid w:val="76171E85"/>
    <w:rsid w:val="761E1DD9"/>
    <w:rsid w:val="766D0A82"/>
    <w:rsid w:val="767F7BF5"/>
    <w:rsid w:val="76824B18"/>
    <w:rsid w:val="769FBAE5"/>
    <w:rsid w:val="76A357D8"/>
    <w:rsid w:val="76D76BDA"/>
    <w:rsid w:val="76E9CBF5"/>
    <w:rsid w:val="76F2C855"/>
    <w:rsid w:val="76FB0D0B"/>
    <w:rsid w:val="76FDC104"/>
    <w:rsid w:val="76FE6EBE"/>
    <w:rsid w:val="76FF4B69"/>
    <w:rsid w:val="7712305A"/>
    <w:rsid w:val="772F2AF1"/>
    <w:rsid w:val="773809EA"/>
    <w:rsid w:val="773A67E9"/>
    <w:rsid w:val="773D0D7D"/>
    <w:rsid w:val="773E0BF8"/>
    <w:rsid w:val="773F6C09"/>
    <w:rsid w:val="77574C09"/>
    <w:rsid w:val="775FECDC"/>
    <w:rsid w:val="776FDB6C"/>
    <w:rsid w:val="777DBF53"/>
    <w:rsid w:val="77856AD2"/>
    <w:rsid w:val="77930992"/>
    <w:rsid w:val="779DE44C"/>
    <w:rsid w:val="77AF5D8E"/>
    <w:rsid w:val="77B721C1"/>
    <w:rsid w:val="77BDE492"/>
    <w:rsid w:val="77C108C2"/>
    <w:rsid w:val="77D17308"/>
    <w:rsid w:val="77D1C8D7"/>
    <w:rsid w:val="77D6F24B"/>
    <w:rsid w:val="77D88B02"/>
    <w:rsid w:val="77DC26BA"/>
    <w:rsid w:val="77DDBC11"/>
    <w:rsid w:val="77DF785A"/>
    <w:rsid w:val="77DF97EA"/>
    <w:rsid w:val="77EA7643"/>
    <w:rsid w:val="77FB1360"/>
    <w:rsid w:val="77FBF545"/>
    <w:rsid w:val="77FC65BD"/>
    <w:rsid w:val="77FD2258"/>
    <w:rsid w:val="77FDAFC9"/>
    <w:rsid w:val="77FDD67D"/>
    <w:rsid w:val="77FFAA62"/>
    <w:rsid w:val="78267840"/>
    <w:rsid w:val="7884684B"/>
    <w:rsid w:val="788F6003"/>
    <w:rsid w:val="78A6232C"/>
    <w:rsid w:val="78BE02B4"/>
    <w:rsid w:val="78BF6301"/>
    <w:rsid w:val="78FD9EBC"/>
    <w:rsid w:val="78FFBEFD"/>
    <w:rsid w:val="79087EEE"/>
    <w:rsid w:val="790E7CE1"/>
    <w:rsid w:val="79534090"/>
    <w:rsid w:val="795E420B"/>
    <w:rsid w:val="796444BD"/>
    <w:rsid w:val="796F34B3"/>
    <w:rsid w:val="796F51DC"/>
    <w:rsid w:val="797B5B8F"/>
    <w:rsid w:val="798878F8"/>
    <w:rsid w:val="79974A93"/>
    <w:rsid w:val="79AA1270"/>
    <w:rsid w:val="79AE2E76"/>
    <w:rsid w:val="79B72421"/>
    <w:rsid w:val="79BC82F7"/>
    <w:rsid w:val="79BF02A4"/>
    <w:rsid w:val="79C242E3"/>
    <w:rsid w:val="79C82838"/>
    <w:rsid w:val="79CA02C6"/>
    <w:rsid w:val="79DF155F"/>
    <w:rsid w:val="79F79C22"/>
    <w:rsid w:val="79FD4EC0"/>
    <w:rsid w:val="79FE9E76"/>
    <w:rsid w:val="79FEC00F"/>
    <w:rsid w:val="79FFA556"/>
    <w:rsid w:val="7A0E1B94"/>
    <w:rsid w:val="7A0E5F46"/>
    <w:rsid w:val="7A0F73B7"/>
    <w:rsid w:val="7A1B0F1C"/>
    <w:rsid w:val="7A2D6E1C"/>
    <w:rsid w:val="7A3748F4"/>
    <w:rsid w:val="7A510E3D"/>
    <w:rsid w:val="7A5BA7D9"/>
    <w:rsid w:val="7A5F61C5"/>
    <w:rsid w:val="7A7BF9CE"/>
    <w:rsid w:val="7A7D2433"/>
    <w:rsid w:val="7ADE746F"/>
    <w:rsid w:val="7ADF8D6D"/>
    <w:rsid w:val="7ADFEA57"/>
    <w:rsid w:val="7AEF646F"/>
    <w:rsid w:val="7AF46CCC"/>
    <w:rsid w:val="7AF80114"/>
    <w:rsid w:val="7AFBA5EB"/>
    <w:rsid w:val="7B0C378D"/>
    <w:rsid w:val="7B211BE0"/>
    <w:rsid w:val="7B3604A3"/>
    <w:rsid w:val="7B64B9A8"/>
    <w:rsid w:val="7B77B281"/>
    <w:rsid w:val="7B7E3534"/>
    <w:rsid w:val="7B975221"/>
    <w:rsid w:val="7BA47726"/>
    <w:rsid w:val="7BB23E9F"/>
    <w:rsid w:val="7BBE7689"/>
    <w:rsid w:val="7BCA5CF9"/>
    <w:rsid w:val="7BCF053D"/>
    <w:rsid w:val="7BCFB8A0"/>
    <w:rsid w:val="7BDB8B1C"/>
    <w:rsid w:val="7BDE04C2"/>
    <w:rsid w:val="7BDF1B52"/>
    <w:rsid w:val="7BDFF045"/>
    <w:rsid w:val="7BE627E0"/>
    <w:rsid w:val="7BED0A2D"/>
    <w:rsid w:val="7BEF63A1"/>
    <w:rsid w:val="7BF2732B"/>
    <w:rsid w:val="7BF36A1C"/>
    <w:rsid w:val="7BF73FA3"/>
    <w:rsid w:val="7BF7FA5E"/>
    <w:rsid w:val="7BF84618"/>
    <w:rsid w:val="7BF98F73"/>
    <w:rsid w:val="7BFBE961"/>
    <w:rsid w:val="7BFCCF9A"/>
    <w:rsid w:val="7BFD23BE"/>
    <w:rsid w:val="7BFF1252"/>
    <w:rsid w:val="7BFF4CBB"/>
    <w:rsid w:val="7BFF804B"/>
    <w:rsid w:val="7BFFBEF3"/>
    <w:rsid w:val="7BFFFB61"/>
    <w:rsid w:val="7C199E8E"/>
    <w:rsid w:val="7C1E4662"/>
    <w:rsid w:val="7C51667B"/>
    <w:rsid w:val="7C6FAC73"/>
    <w:rsid w:val="7C805BDF"/>
    <w:rsid w:val="7C960D11"/>
    <w:rsid w:val="7C9D15C7"/>
    <w:rsid w:val="7CBE8518"/>
    <w:rsid w:val="7CD09542"/>
    <w:rsid w:val="7CD51442"/>
    <w:rsid w:val="7CEC546D"/>
    <w:rsid w:val="7CF11320"/>
    <w:rsid w:val="7CF81A8E"/>
    <w:rsid w:val="7CFE4646"/>
    <w:rsid w:val="7D4877F9"/>
    <w:rsid w:val="7D5F766F"/>
    <w:rsid w:val="7D772C0B"/>
    <w:rsid w:val="7D7F3FD0"/>
    <w:rsid w:val="7D804B82"/>
    <w:rsid w:val="7D841571"/>
    <w:rsid w:val="7D9E4DCD"/>
    <w:rsid w:val="7DAE0760"/>
    <w:rsid w:val="7DB44617"/>
    <w:rsid w:val="7DB912C6"/>
    <w:rsid w:val="7DCDEB79"/>
    <w:rsid w:val="7DCFA9AF"/>
    <w:rsid w:val="7DEFDD4D"/>
    <w:rsid w:val="7DF55D84"/>
    <w:rsid w:val="7DF5E540"/>
    <w:rsid w:val="7DFFD3A2"/>
    <w:rsid w:val="7E02029D"/>
    <w:rsid w:val="7E15D1C6"/>
    <w:rsid w:val="7E1861B4"/>
    <w:rsid w:val="7E1E6385"/>
    <w:rsid w:val="7E1FF0C7"/>
    <w:rsid w:val="7E3D5B49"/>
    <w:rsid w:val="7E3D6278"/>
    <w:rsid w:val="7E47238B"/>
    <w:rsid w:val="7E4F8CD2"/>
    <w:rsid w:val="7E5FA9CB"/>
    <w:rsid w:val="7E5FC950"/>
    <w:rsid w:val="7E604681"/>
    <w:rsid w:val="7E697DDA"/>
    <w:rsid w:val="7E6C5F5B"/>
    <w:rsid w:val="7E6D7AE2"/>
    <w:rsid w:val="7E6E564E"/>
    <w:rsid w:val="7E6F2C42"/>
    <w:rsid w:val="7E7860E8"/>
    <w:rsid w:val="7E7CEC10"/>
    <w:rsid w:val="7E7D396A"/>
    <w:rsid w:val="7E8D9246"/>
    <w:rsid w:val="7E979A7E"/>
    <w:rsid w:val="7E9EC589"/>
    <w:rsid w:val="7E9F085D"/>
    <w:rsid w:val="7EAB51D6"/>
    <w:rsid w:val="7EAC7562"/>
    <w:rsid w:val="7EB33B75"/>
    <w:rsid w:val="7EBC9211"/>
    <w:rsid w:val="7EBD0BE1"/>
    <w:rsid w:val="7EBF7EBE"/>
    <w:rsid w:val="7ECD3183"/>
    <w:rsid w:val="7ED98415"/>
    <w:rsid w:val="7EDFE720"/>
    <w:rsid w:val="7EE4341C"/>
    <w:rsid w:val="7EE97414"/>
    <w:rsid w:val="7EED88DE"/>
    <w:rsid w:val="7EEE2962"/>
    <w:rsid w:val="7EF93AE8"/>
    <w:rsid w:val="7EFB48B0"/>
    <w:rsid w:val="7EFDBDD5"/>
    <w:rsid w:val="7EFF22D5"/>
    <w:rsid w:val="7EFF55D8"/>
    <w:rsid w:val="7EFF5995"/>
    <w:rsid w:val="7EFFCA79"/>
    <w:rsid w:val="7F0B523C"/>
    <w:rsid w:val="7F1A2ADD"/>
    <w:rsid w:val="7F1FE4C4"/>
    <w:rsid w:val="7F2E9941"/>
    <w:rsid w:val="7F3AC36D"/>
    <w:rsid w:val="7F3F0374"/>
    <w:rsid w:val="7F3F48D2"/>
    <w:rsid w:val="7F3F8307"/>
    <w:rsid w:val="7F3FBEE0"/>
    <w:rsid w:val="7F566DA0"/>
    <w:rsid w:val="7F5B0192"/>
    <w:rsid w:val="7F5ECA21"/>
    <w:rsid w:val="7F661F11"/>
    <w:rsid w:val="7F666B4F"/>
    <w:rsid w:val="7F66706F"/>
    <w:rsid w:val="7F6C9FEC"/>
    <w:rsid w:val="7F753CAD"/>
    <w:rsid w:val="7F77DAA1"/>
    <w:rsid w:val="7F7B93FD"/>
    <w:rsid w:val="7F7D363C"/>
    <w:rsid w:val="7F7DAC06"/>
    <w:rsid w:val="7F7DB235"/>
    <w:rsid w:val="7F7DEE50"/>
    <w:rsid w:val="7F7F6CA6"/>
    <w:rsid w:val="7F7FA077"/>
    <w:rsid w:val="7F7FA806"/>
    <w:rsid w:val="7F9E5011"/>
    <w:rsid w:val="7F9FA1D3"/>
    <w:rsid w:val="7FAD3878"/>
    <w:rsid w:val="7FAF19EE"/>
    <w:rsid w:val="7FB9C803"/>
    <w:rsid w:val="7FBA1318"/>
    <w:rsid w:val="7FBBD329"/>
    <w:rsid w:val="7FBD0D9F"/>
    <w:rsid w:val="7FBD0DDC"/>
    <w:rsid w:val="7FBD3C31"/>
    <w:rsid w:val="7FBD6887"/>
    <w:rsid w:val="7FBF10A2"/>
    <w:rsid w:val="7FBF4759"/>
    <w:rsid w:val="7FC7B7AE"/>
    <w:rsid w:val="7FCB0E86"/>
    <w:rsid w:val="7FCDBC4D"/>
    <w:rsid w:val="7FCFE3A1"/>
    <w:rsid w:val="7FD7B55D"/>
    <w:rsid w:val="7FDA4A78"/>
    <w:rsid w:val="7FDBD71A"/>
    <w:rsid w:val="7FDE6D84"/>
    <w:rsid w:val="7FDF0F57"/>
    <w:rsid w:val="7FDF8A26"/>
    <w:rsid w:val="7FDF9583"/>
    <w:rsid w:val="7FE45506"/>
    <w:rsid w:val="7FE777B0"/>
    <w:rsid w:val="7FED35EB"/>
    <w:rsid w:val="7FED80C2"/>
    <w:rsid w:val="7FEFB642"/>
    <w:rsid w:val="7FEFD588"/>
    <w:rsid w:val="7FEFF9FF"/>
    <w:rsid w:val="7FF06597"/>
    <w:rsid w:val="7FF40534"/>
    <w:rsid w:val="7FF43A54"/>
    <w:rsid w:val="7FF4E625"/>
    <w:rsid w:val="7FF50D29"/>
    <w:rsid w:val="7FF61C38"/>
    <w:rsid w:val="7FF67E62"/>
    <w:rsid w:val="7FF756F8"/>
    <w:rsid w:val="7FF7B148"/>
    <w:rsid w:val="7FF9D75E"/>
    <w:rsid w:val="7FFA0210"/>
    <w:rsid w:val="7FFB1B1E"/>
    <w:rsid w:val="7FFB5EB7"/>
    <w:rsid w:val="7FFBE9D5"/>
    <w:rsid w:val="7FFCFDD1"/>
    <w:rsid w:val="7FFDC326"/>
    <w:rsid w:val="7FFDF859"/>
    <w:rsid w:val="7FFF3702"/>
    <w:rsid w:val="7FFF4C0D"/>
    <w:rsid w:val="7FFF5AD3"/>
    <w:rsid w:val="7FFFDA9F"/>
    <w:rsid w:val="7FFFEDA8"/>
    <w:rsid w:val="7FFFFFF5"/>
    <w:rsid w:val="80FFD23B"/>
    <w:rsid w:val="87647AF8"/>
    <w:rsid w:val="87FBEAE8"/>
    <w:rsid w:val="8BAD3C64"/>
    <w:rsid w:val="8DFFD1AA"/>
    <w:rsid w:val="8EEFB323"/>
    <w:rsid w:val="8F3E3382"/>
    <w:rsid w:val="8F7302B9"/>
    <w:rsid w:val="8FBB9A55"/>
    <w:rsid w:val="91DFE8F5"/>
    <w:rsid w:val="93DB74AF"/>
    <w:rsid w:val="97D71DFE"/>
    <w:rsid w:val="99ED0C9D"/>
    <w:rsid w:val="99FEE736"/>
    <w:rsid w:val="9A1E0A07"/>
    <w:rsid w:val="9B1F6BC4"/>
    <w:rsid w:val="9D3EAF1C"/>
    <w:rsid w:val="9D6B2ED6"/>
    <w:rsid w:val="9D7F0DA6"/>
    <w:rsid w:val="9D9F82B4"/>
    <w:rsid w:val="9DBE3653"/>
    <w:rsid w:val="9DBF28CB"/>
    <w:rsid w:val="9DEEA1A7"/>
    <w:rsid w:val="9DFFC56B"/>
    <w:rsid w:val="9EFFBFDC"/>
    <w:rsid w:val="9F1F0774"/>
    <w:rsid w:val="9F5770BF"/>
    <w:rsid w:val="9F746438"/>
    <w:rsid w:val="9F7F0326"/>
    <w:rsid w:val="9FAE96CE"/>
    <w:rsid w:val="9FBF075C"/>
    <w:rsid w:val="9FBF926B"/>
    <w:rsid w:val="9FDFF670"/>
    <w:rsid w:val="9FF6BE78"/>
    <w:rsid w:val="9FFFBA19"/>
    <w:rsid w:val="9FFFF6C8"/>
    <w:rsid w:val="A4F29759"/>
    <w:rsid w:val="A56A5B4C"/>
    <w:rsid w:val="A5FD887E"/>
    <w:rsid w:val="A69E7D90"/>
    <w:rsid w:val="A798F561"/>
    <w:rsid w:val="A7CF7B0F"/>
    <w:rsid w:val="A7F5298F"/>
    <w:rsid w:val="A9FBD03D"/>
    <w:rsid w:val="ABF7DC2D"/>
    <w:rsid w:val="ABFDE009"/>
    <w:rsid w:val="ABFFE5E5"/>
    <w:rsid w:val="AD6D9B49"/>
    <w:rsid w:val="ADFA5E98"/>
    <w:rsid w:val="AEAF57D7"/>
    <w:rsid w:val="AEBFBB0B"/>
    <w:rsid w:val="AEF841E1"/>
    <w:rsid w:val="AF3EBA8C"/>
    <w:rsid w:val="AF4E1E1B"/>
    <w:rsid w:val="AF5E2C0D"/>
    <w:rsid w:val="AF7D47ED"/>
    <w:rsid w:val="AFAEDFA2"/>
    <w:rsid w:val="AFBCBFC8"/>
    <w:rsid w:val="AFBF3CD1"/>
    <w:rsid w:val="AFBFB8AE"/>
    <w:rsid w:val="AFBFF267"/>
    <w:rsid w:val="AFF77C1E"/>
    <w:rsid w:val="AFFEB026"/>
    <w:rsid w:val="AFFEF838"/>
    <w:rsid w:val="AFFF15B6"/>
    <w:rsid w:val="B0CFD3B6"/>
    <w:rsid w:val="B1F7F022"/>
    <w:rsid w:val="B3630DF1"/>
    <w:rsid w:val="B3DED562"/>
    <w:rsid w:val="B4CF5131"/>
    <w:rsid w:val="B4FACC98"/>
    <w:rsid w:val="B53E93B6"/>
    <w:rsid w:val="B5E54587"/>
    <w:rsid w:val="B5F597AE"/>
    <w:rsid w:val="B6743D77"/>
    <w:rsid w:val="B6F78BBC"/>
    <w:rsid w:val="B6FF2A8E"/>
    <w:rsid w:val="B6FF60FB"/>
    <w:rsid w:val="B73B3728"/>
    <w:rsid w:val="B7792E3B"/>
    <w:rsid w:val="B77E4031"/>
    <w:rsid w:val="B77F9227"/>
    <w:rsid w:val="B78ED157"/>
    <w:rsid w:val="B78F4E27"/>
    <w:rsid w:val="B7A2D194"/>
    <w:rsid w:val="B7BF41DE"/>
    <w:rsid w:val="B7DC0139"/>
    <w:rsid w:val="B7DF8790"/>
    <w:rsid w:val="B7EF1635"/>
    <w:rsid w:val="B7F3D556"/>
    <w:rsid w:val="B7F59EB5"/>
    <w:rsid w:val="B82FA061"/>
    <w:rsid w:val="B8834A40"/>
    <w:rsid w:val="B8C36AD2"/>
    <w:rsid w:val="B8FB85AD"/>
    <w:rsid w:val="B94390A1"/>
    <w:rsid w:val="B9F7DB7E"/>
    <w:rsid w:val="B9FDF686"/>
    <w:rsid w:val="BABB2ACA"/>
    <w:rsid w:val="BB3E3D98"/>
    <w:rsid w:val="BB5D82F3"/>
    <w:rsid w:val="BB6D2A73"/>
    <w:rsid w:val="BB77A2D1"/>
    <w:rsid w:val="BB7916AC"/>
    <w:rsid w:val="BBB26A87"/>
    <w:rsid w:val="BBCF4FBF"/>
    <w:rsid w:val="BBDD7A8B"/>
    <w:rsid w:val="BBDEB2DA"/>
    <w:rsid w:val="BBDF3B74"/>
    <w:rsid w:val="BBDFEAAB"/>
    <w:rsid w:val="BBFE9003"/>
    <w:rsid w:val="BC35AEB4"/>
    <w:rsid w:val="BCCD3A25"/>
    <w:rsid w:val="BD6A2F93"/>
    <w:rsid w:val="BD7FB6AF"/>
    <w:rsid w:val="BD9FB11C"/>
    <w:rsid w:val="BDAFF17D"/>
    <w:rsid w:val="BDBB88FB"/>
    <w:rsid w:val="BDE358E1"/>
    <w:rsid w:val="BDF54444"/>
    <w:rsid w:val="BDF62983"/>
    <w:rsid w:val="BDF7AF13"/>
    <w:rsid w:val="BDFED5AD"/>
    <w:rsid w:val="BDFF0CCC"/>
    <w:rsid w:val="BDFFB0DE"/>
    <w:rsid w:val="BE2E71F8"/>
    <w:rsid w:val="BE57D109"/>
    <w:rsid w:val="BE7FE035"/>
    <w:rsid w:val="BE8E899D"/>
    <w:rsid w:val="BEBBD8C1"/>
    <w:rsid w:val="BEDB8436"/>
    <w:rsid w:val="BEF7187E"/>
    <w:rsid w:val="BEFB0E83"/>
    <w:rsid w:val="BEFFF11B"/>
    <w:rsid w:val="BF3A91C7"/>
    <w:rsid w:val="BF604D9D"/>
    <w:rsid w:val="BF6BD8BA"/>
    <w:rsid w:val="BF76AA92"/>
    <w:rsid w:val="BF76E7B0"/>
    <w:rsid w:val="BF793CE4"/>
    <w:rsid w:val="BF7E4088"/>
    <w:rsid w:val="BF7F3C1C"/>
    <w:rsid w:val="BF9A05E5"/>
    <w:rsid w:val="BFA12AD0"/>
    <w:rsid w:val="BFB75766"/>
    <w:rsid w:val="BFBD201B"/>
    <w:rsid w:val="BFBD622E"/>
    <w:rsid w:val="BFBFCBD6"/>
    <w:rsid w:val="BFDBC591"/>
    <w:rsid w:val="BFDC8098"/>
    <w:rsid w:val="BFDFF8CA"/>
    <w:rsid w:val="BFE32A1E"/>
    <w:rsid w:val="BFE7CE16"/>
    <w:rsid w:val="BFEDD8B4"/>
    <w:rsid w:val="BFEEB6FB"/>
    <w:rsid w:val="BFEF8AF5"/>
    <w:rsid w:val="BFF5BC68"/>
    <w:rsid w:val="BFF7C788"/>
    <w:rsid w:val="BFF8B842"/>
    <w:rsid w:val="BFFC6D96"/>
    <w:rsid w:val="BFFF0B13"/>
    <w:rsid w:val="BFFFF591"/>
    <w:rsid w:val="C57B30B2"/>
    <w:rsid w:val="C5923726"/>
    <w:rsid w:val="C5BF2169"/>
    <w:rsid w:val="C5DF0AA3"/>
    <w:rsid w:val="C7470024"/>
    <w:rsid w:val="CB339C4C"/>
    <w:rsid w:val="CB5FE9A0"/>
    <w:rsid w:val="CBBD9BF9"/>
    <w:rsid w:val="CBF68264"/>
    <w:rsid w:val="CBFFBB8F"/>
    <w:rsid w:val="CC6D41A8"/>
    <w:rsid w:val="CCE3DF2C"/>
    <w:rsid w:val="CD9379DD"/>
    <w:rsid w:val="CDD5C00D"/>
    <w:rsid w:val="CDEE0A57"/>
    <w:rsid w:val="CDFD62BF"/>
    <w:rsid w:val="CDFDE3EF"/>
    <w:rsid w:val="CEDF4929"/>
    <w:rsid w:val="CEFA3080"/>
    <w:rsid w:val="CF543888"/>
    <w:rsid w:val="CF7AE5F7"/>
    <w:rsid w:val="CFB78B5A"/>
    <w:rsid w:val="CFDFBBE1"/>
    <w:rsid w:val="CFEC6FE4"/>
    <w:rsid w:val="CFF35901"/>
    <w:rsid w:val="CFFA2BF5"/>
    <w:rsid w:val="CFFD22C0"/>
    <w:rsid w:val="CFFD36AB"/>
    <w:rsid w:val="CFFD3FE0"/>
    <w:rsid w:val="D2B783A0"/>
    <w:rsid w:val="D2BCD071"/>
    <w:rsid w:val="D37A3B23"/>
    <w:rsid w:val="D37E89CE"/>
    <w:rsid w:val="D3BDE6DD"/>
    <w:rsid w:val="D3F707AB"/>
    <w:rsid w:val="D3F7AEF2"/>
    <w:rsid w:val="D3FA2600"/>
    <w:rsid w:val="D3FF6AE8"/>
    <w:rsid w:val="D45FBA60"/>
    <w:rsid w:val="D4BDA523"/>
    <w:rsid w:val="D5FD486A"/>
    <w:rsid w:val="D5FD875C"/>
    <w:rsid w:val="D5FF1039"/>
    <w:rsid w:val="D6EB4C31"/>
    <w:rsid w:val="D73FAC7A"/>
    <w:rsid w:val="D7BBF31B"/>
    <w:rsid w:val="D7D5CC6F"/>
    <w:rsid w:val="D7DE753A"/>
    <w:rsid w:val="D7E09F42"/>
    <w:rsid w:val="D7FB59A0"/>
    <w:rsid w:val="D7FED8D0"/>
    <w:rsid w:val="D7FF672B"/>
    <w:rsid w:val="D7FFF9DF"/>
    <w:rsid w:val="D8A9D188"/>
    <w:rsid w:val="D9719662"/>
    <w:rsid w:val="D9BD42E9"/>
    <w:rsid w:val="D9BE4408"/>
    <w:rsid w:val="DABFB485"/>
    <w:rsid w:val="DB1FC230"/>
    <w:rsid w:val="DB2E96B1"/>
    <w:rsid w:val="DB99523A"/>
    <w:rsid w:val="DBBFC65C"/>
    <w:rsid w:val="DBCB3E80"/>
    <w:rsid w:val="DBD5E18D"/>
    <w:rsid w:val="DBDD1800"/>
    <w:rsid w:val="DBEA5FD9"/>
    <w:rsid w:val="DBF5FCE0"/>
    <w:rsid w:val="DBF6C713"/>
    <w:rsid w:val="DBFAB6E2"/>
    <w:rsid w:val="DBFDE20D"/>
    <w:rsid w:val="DBFF2B01"/>
    <w:rsid w:val="DBFFB739"/>
    <w:rsid w:val="DC7FF3D4"/>
    <w:rsid w:val="DCBDD353"/>
    <w:rsid w:val="DCE9A5E8"/>
    <w:rsid w:val="DCEBD107"/>
    <w:rsid w:val="DCEFE6D6"/>
    <w:rsid w:val="DCF18845"/>
    <w:rsid w:val="DCFE0F4D"/>
    <w:rsid w:val="DD722B29"/>
    <w:rsid w:val="DDAB0F76"/>
    <w:rsid w:val="DDDCC728"/>
    <w:rsid w:val="DDFE9AAD"/>
    <w:rsid w:val="DEAC06F5"/>
    <w:rsid w:val="DEAF3FB5"/>
    <w:rsid w:val="DEBE04B8"/>
    <w:rsid w:val="DEBFF87C"/>
    <w:rsid w:val="DECD45E5"/>
    <w:rsid w:val="DED7F2B4"/>
    <w:rsid w:val="DEDFDF58"/>
    <w:rsid w:val="DEE54E08"/>
    <w:rsid w:val="DEE670BC"/>
    <w:rsid w:val="DEFDB41D"/>
    <w:rsid w:val="DF37A205"/>
    <w:rsid w:val="DF3F1911"/>
    <w:rsid w:val="DF6DD13C"/>
    <w:rsid w:val="DF763325"/>
    <w:rsid w:val="DF78CB1A"/>
    <w:rsid w:val="DF7DA1F1"/>
    <w:rsid w:val="DF7F260B"/>
    <w:rsid w:val="DF8D2CD7"/>
    <w:rsid w:val="DF8FE69E"/>
    <w:rsid w:val="DF9C7BDB"/>
    <w:rsid w:val="DFA13E8B"/>
    <w:rsid w:val="DFAFCA63"/>
    <w:rsid w:val="DFB39FB3"/>
    <w:rsid w:val="DFBDBE68"/>
    <w:rsid w:val="DFBEA04D"/>
    <w:rsid w:val="DFC6161D"/>
    <w:rsid w:val="DFCB2CD1"/>
    <w:rsid w:val="DFCE7609"/>
    <w:rsid w:val="DFD4C987"/>
    <w:rsid w:val="DFD9E5D0"/>
    <w:rsid w:val="DFDFAC6F"/>
    <w:rsid w:val="DFE73EF5"/>
    <w:rsid w:val="DFEC7A3A"/>
    <w:rsid w:val="DFEFA24D"/>
    <w:rsid w:val="DFEFFE04"/>
    <w:rsid w:val="DFF0F891"/>
    <w:rsid w:val="DFF1EC04"/>
    <w:rsid w:val="DFF30972"/>
    <w:rsid w:val="DFF72CF6"/>
    <w:rsid w:val="DFFB4111"/>
    <w:rsid w:val="DFFBC7E1"/>
    <w:rsid w:val="DFFCACE0"/>
    <w:rsid w:val="DFFF2B5D"/>
    <w:rsid w:val="DFFF3928"/>
    <w:rsid w:val="DFFFB827"/>
    <w:rsid w:val="E0FBC29F"/>
    <w:rsid w:val="E17F3390"/>
    <w:rsid w:val="E1BDB81F"/>
    <w:rsid w:val="E1EF2A08"/>
    <w:rsid w:val="E2CDAC7E"/>
    <w:rsid w:val="E2ED36E5"/>
    <w:rsid w:val="E5BFBD14"/>
    <w:rsid w:val="E5FD79EC"/>
    <w:rsid w:val="E69DB6F6"/>
    <w:rsid w:val="E6EEE5E3"/>
    <w:rsid w:val="E6FA0EAF"/>
    <w:rsid w:val="E6FF671B"/>
    <w:rsid w:val="E774A128"/>
    <w:rsid w:val="E7BC093D"/>
    <w:rsid w:val="E7BECC07"/>
    <w:rsid w:val="E7DD1255"/>
    <w:rsid w:val="E7E8552A"/>
    <w:rsid w:val="E7EC02B5"/>
    <w:rsid w:val="E7EFCC3F"/>
    <w:rsid w:val="E7F92ABF"/>
    <w:rsid w:val="E7FE228B"/>
    <w:rsid w:val="E8830704"/>
    <w:rsid w:val="E94D0411"/>
    <w:rsid w:val="E9738885"/>
    <w:rsid w:val="E9BD5729"/>
    <w:rsid w:val="E9BF4FF5"/>
    <w:rsid w:val="E9DF79C3"/>
    <w:rsid w:val="E9FB3148"/>
    <w:rsid w:val="EA7D5EEF"/>
    <w:rsid w:val="EAFA4B77"/>
    <w:rsid w:val="EAFBA0C5"/>
    <w:rsid w:val="EAFEB82D"/>
    <w:rsid w:val="EB5A0704"/>
    <w:rsid w:val="EB7E0D37"/>
    <w:rsid w:val="EBAD28DF"/>
    <w:rsid w:val="EBB6D35F"/>
    <w:rsid w:val="EBBF4A2E"/>
    <w:rsid w:val="EBBFAF58"/>
    <w:rsid w:val="EBD957CC"/>
    <w:rsid w:val="EBDFCE57"/>
    <w:rsid w:val="EBFBA9D6"/>
    <w:rsid w:val="EBFD03CE"/>
    <w:rsid w:val="EBFFD39E"/>
    <w:rsid w:val="EC75EFAF"/>
    <w:rsid w:val="EC7FA350"/>
    <w:rsid w:val="ECF1EE47"/>
    <w:rsid w:val="ECF3EF46"/>
    <w:rsid w:val="ED690673"/>
    <w:rsid w:val="ED7E040F"/>
    <w:rsid w:val="EDC312B6"/>
    <w:rsid w:val="EDEBC201"/>
    <w:rsid w:val="EDEC1D5D"/>
    <w:rsid w:val="EDF08611"/>
    <w:rsid w:val="EDF48900"/>
    <w:rsid w:val="EDF71846"/>
    <w:rsid w:val="EDF91812"/>
    <w:rsid w:val="EE33BD15"/>
    <w:rsid w:val="EE3E5393"/>
    <w:rsid w:val="EE7D0F1E"/>
    <w:rsid w:val="EE7F91A3"/>
    <w:rsid w:val="EEF8367A"/>
    <w:rsid w:val="EF1BEDAE"/>
    <w:rsid w:val="EF27FB06"/>
    <w:rsid w:val="EF2E6B80"/>
    <w:rsid w:val="EF433FF5"/>
    <w:rsid w:val="EF495D11"/>
    <w:rsid w:val="EF4B19DF"/>
    <w:rsid w:val="EF6E6B32"/>
    <w:rsid w:val="EF6F4391"/>
    <w:rsid w:val="EF773B82"/>
    <w:rsid w:val="EF7FA93E"/>
    <w:rsid w:val="EF87F285"/>
    <w:rsid w:val="EFB99481"/>
    <w:rsid w:val="EFBAEAA7"/>
    <w:rsid w:val="EFBFFBC7"/>
    <w:rsid w:val="EFCF1850"/>
    <w:rsid w:val="EFDE05E6"/>
    <w:rsid w:val="EFDF616C"/>
    <w:rsid w:val="EFF4B0B3"/>
    <w:rsid w:val="EFF5875C"/>
    <w:rsid w:val="EFF74B30"/>
    <w:rsid w:val="EFF92E18"/>
    <w:rsid w:val="EFFB9311"/>
    <w:rsid w:val="EFFBBA0B"/>
    <w:rsid w:val="EFFBF828"/>
    <w:rsid w:val="EFFF6F19"/>
    <w:rsid w:val="F11FEDF9"/>
    <w:rsid w:val="F17F5E1A"/>
    <w:rsid w:val="F1DFE06D"/>
    <w:rsid w:val="F23F20A1"/>
    <w:rsid w:val="F2899859"/>
    <w:rsid w:val="F2BF5C01"/>
    <w:rsid w:val="F2CD36F5"/>
    <w:rsid w:val="F2DCE203"/>
    <w:rsid w:val="F2FBA260"/>
    <w:rsid w:val="F32FE83B"/>
    <w:rsid w:val="F3723DB1"/>
    <w:rsid w:val="F3D7D169"/>
    <w:rsid w:val="F3EA0697"/>
    <w:rsid w:val="F3EF2933"/>
    <w:rsid w:val="F3F2F550"/>
    <w:rsid w:val="F3F5BEE9"/>
    <w:rsid w:val="F3F8EE6C"/>
    <w:rsid w:val="F3FB14F0"/>
    <w:rsid w:val="F3FF05B4"/>
    <w:rsid w:val="F3FFD2DD"/>
    <w:rsid w:val="F4571BDB"/>
    <w:rsid w:val="F4BF339E"/>
    <w:rsid w:val="F4CF00A8"/>
    <w:rsid w:val="F56D78F0"/>
    <w:rsid w:val="F57EA373"/>
    <w:rsid w:val="F5AB4465"/>
    <w:rsid w:val="F5AF1AAC"/>
    <w:rsid w:val="F5BF2197"/>
    <w:rsid w:val="F5D6D416"/>
    <w:rsid w:val="F5EF5BA1"/>
    <w:rsid w:val="F5FFA048"/>
    <w:rsid w:val="F66E6811"/>
    <w:rsid w:val="F6F676D6"/>
    <w:rsid w:val="F6F715DC"/>
    <w:rsid w:val="F6FC548F"/>
    <w:rsid w:val="F6FF0645"/>
    <w:rsid w:val="F6FFF807"/>
    <w:rsid w:val="F70F4387"/>
    <w:rsid w:val="F737D671"/>
    <w:rsid w:val="F74CB9BB"/>
    <w:rsid w:val="F75DEE87"/>
    <w:rsid w:val="F76FC34E"/>
    <w:rsid w:val="F77EAFBC"/>
    <w:rsid w:val="F79BF327"/>
    <w:rsid w:val="F7B72CE9"/>
    <w:rsid w:val="F7BB0BC8"/>
    <w:rsid w:val="F7BB5C28"/>
    <w:rsid w:val="F7BB7DA5"/>
    <w:rsid w:val="F7BF4B69"/>
    <w:rsid w:val="F7BFDD02"/>
    <w:rsid w:val="F7C640FC"/>
    <w:rsid w:val="F7CB3D4A"/>
    <w:rsid w:val="F7D30B5E"/>
    <w:rsid w:val="F7D5FA45"/>
    <w:rsid w:val="F7DF177A"/>
    <w:rsid w:val="F7DFD18F"/>
    <w:rsid w:val="F7EF6B7F"/>
    <w:rsid w:val="F7EFD4DB"/>
    <w:rsid w:val="F7FCA197"/>
    <w:rsid w:val="F7FD22F1"/>
    <w:rsid w:val="F7FD386B"/>
    <w:rsid w:val="F7FD7703"/>
    <w:rsid w:val="F7FE284C"/>
    <w:rsid w:val="F7FF9535"/>
    <w:rsid w:val="F7FF9C5D"/>
    <w:rsid w:val="F7FFFA83"/>
    <w:rsid w:val="F8BCFDD8"/>
    <w:rsid w:val="F8DFCC7B"/>
    <w:rsid w:val="F8E5AE44"/>
    <w:rsid w:val="F8F29178"/>
    <w:rsid w:val="F917FFBA"/>
    <w:rsid w:val="F935F7E5"/>
    <w:rsid w:val="F94A355D"/>
    <w:rsid w:val="F94ED4F1"/>
    <w:rsid w:val="F96FE810"/>
    <w:rsid w:val="F999C915"/>
    <w:rsid w:val="F9FA94DA"/>
    <w:rsid w:val="F9FFCD8A"/>
    <w:rsid w:val="F9FFE9E2"/>
    <w:rsid w:val="FA673975"/>
    <w:rsid w:val="FA6F5FA1"/>
    <w:rsid w:val="FA6F7A3B"/>
    <w:rsid w:val="FA9F3B8F"/>
    <w:rsid w:val="FABB1ADF"/>
    <w:rsid w:val="FAFB5879"/>
    <w:rsid w:val="FAFFE8B1"/>
    <w:rsid w:val="FB0FA5A1"/>
    <w:rsid w:val="FB1B2E8B"/>
    <w:rsid w:val="FB3F993E"/>
    <w:rsid w:val="FB5DDB87"/>
    <w:rsid w:val="FB5F7A41"/>
    <w:rsid w:val="FB6141D0"/>
    <w:rsid w:val="FB6DADAC"/>
    <w:rsid w:val="FB737713"/>
    <w:rsid w:val="FB7620CB"/>
    <w:rsid w:val="FBAD924E"/>
    <w:rsid w:val="FBB3B80B"/>
    <w:rsid w:val="FBB7E5DC"/>
    <w:rsid w:val="FBBD5543"/>
    <w:rsid w:val="FBCC4718"/>
    <w:rsid w:val="FBD25553"/>
    <w:rsid w:val="FBD647BE"/>
    <w:rsid w:val="FBDB1119"/>
    <w:rsid w:val="FBE7BEA8"/>
    <w:rsid w:val="FBEEBC0C"/>
    <w:rsid w:val="FBF5E698"/>
    <w:rsid w:val="FBF784B0"/>
    <w:rsid w:val="FBF7A574"/>
    <w:rsid w:val="FBFBDFFA"/>
    <w:rsid w:val="FBFCD4F4"/>
    <w:rsid w:val="FBFCEF3F"/>
    <w:rsid w:val="FBFF537C"/>
    <w:rsid w:val="FBFF59BB"/>
    <w:rsid w:val="FBFFDD3D"/>
    <w:rsid w:val="FBFFFF9E"/>
    <w:rsid w:val="FC2F7095"/>
    <w:rsid w:val="FC45570C"/>
    <w:rsid w:val="FC5D01CF"/>
    <w:rsid w:val="FC7390B6"/>
    <w:rsid w:val="FC7D08FF"/>
    <w:rsid w:val="FCBD7C47"/>
    <w:rsid w:val="FCCAE4B4"/>
    <w:rsid w:val="FCDF586A"/>
    <w:rsid w:val="FCEF4AA4"/>
    <w:rsid w:val="FCF3C0FF"/>
    <w:rsid w:val="FCFE3BF1"/>
    <w:rsid w:val="FCFFC7AA"/>
    <w:rsid w:val="FD1F198B"/>
    <w:rsid w:val="FD3D1E0E"/>
    <w:rsid w:val="FD5A3379"/>
    <w:rsid w:val="FD7F9963"/>
    <w:rsid w:val="FD8F501F"/>
    <w:rsid w:val="FD9F4A15"/>
    <w:rsid w:val="FDAFF0EB"/>
    <w:rsid w:val="FDBE483E"/>
    <w:rsid w:val="FDCBF945"/>
    <w:rsid w:val="FDDF292B"/>
    <w:rsid w:val="FDE47190"/>
    <w:rsid w:val="FDEB5CB7"/>
    <w:rsid w:val="FDEB6716"/>
    <w:rsid w:val="FDEF2A04"/>
    <w:rsid w:val="FDF399A8"/>
    <w:rsid w:val="FDF97ECA"/>
    <w:rsid w:val="FDFD1D0F"/>
    <w:rsid w:val="FDFF1998"/>
    <w:rsid w:val="FDFF695A"/>
    <w:rsid w:val="FDFFD0E6"/>
    <w:rsid w:val="FDFFF9C0"/>
    <w:rsid w:val="FE2D8208"/>
    <w:rsid w:val="FE39F1BD"/>
    <w:rsid w:val="FE3EDEB0"/>
    <w:rsid w:val="FE665DB5"/>
    <w:rsid w:val="FE671CFE"/>
    <w:rsid w:val="FE6FD557"/>
    <w:rsid w:val="FE71C8AF"/>
    <w:rsid w:val="FE7F36DC"/>
    <w:rsid w:val="FEA89E19"/>
    <w:rsid w:val="FEAB2201"/>
    <w:rsid w:val="FEABC31E"/>
    <w:rsid w:val="FEB633E9"/>
    <w:rsid w:val="FEBFBACD"/>
    <w:rsid w:val="FED376AA"/>
    <w:rsid w:val="FED76919"/>
    <w:rsid w:val="FEDB8BC8"/>
    <w:rsid w:val="FEDEB09E"/>
    <w:rsid w:val="FEDFB70C"/>
    <w:rsid w:val="FEEF0ED8"/>
    <w:rsid w:val="FEF608EA"/>
    <w:rsid w:val="FEF7D53C"/>
    <w:rsid w:val="FEF99CBF"/>
    <w:rsid w:val="FEFC12E3"/>
    <w:rsid w:val="FEFEA587"/>
    <w:rsid w:val="FEFF7BD4"/>
    <w:rsid w:val="FF1E1442"/>
    <w:rsid w:val="FF3D390A"/>
    <w:rsid w:val="FF3E59B5"/>
    <w:rsid w:val="FF4FE9F1"/>
    <w:rsid w:val="FF5B8D7F"/>
    <w:rsid w:val="FF5D1F29"/>
    <w:rsid w:val="FF659D82"/>
    <w:rsid w:val="FF660C39"/>
    <w:rsid w:val="FF6BA83A"/>
    <w:rsid w:val="FF6C3765"/>
    <w:rsid w:val="FF6F0E8D"/>
    <w:rsid w:val="FF6FB5D7"/>
    <w:rsid w:val="FF738773"/>
    <w:rsid w:val="FF75DB73"/>
    <w:rsid w:val="FF76FAD4"/>
    <w:rsid w:val="FF7AEC13"/>
    <w:rsid w:val="FF7B056A"/>
    <w:rsid w:val="FF7B52EA"/>
    <w:rsid w:val="FF7B874E"/>
    <w:rsid w:val="FF7C84EC"/>
    <w:rsid w:val="FF7DC127"/>
    <w:rsid w:val="FF7EEB41"/>
    <w:rsid w:val="FF7F4185"/>
    <w:rsid w:val="FF7F4461"/>
    <w:rsid w:val="FF8F6649"/>
    <w:rsid w:val="FF97B671"/>
    <w:rsid w:val="FF9FA02E"/>
    <w:rsid w:val="FF9FA27F"/>
    <w:rsid w:val="FFA6D6F5"/>
    <w:rsid w:val="FFADDE42"/>
    <w:rsid w:val="FFAF5F11"/>
    <w:rsid w:val="FFAFD1D1"/>
    <w:rsid w:val="FFB2CB99"/>
    <w:rsid w:val="FFB769D4"/>
    <w:rsid w:val="FFB9A9CC"/>
    <w:rsid w:val="FFBCC349"/>
    <w:rsid w:val="FFBD8E1E"/>
    <w:rsid w:val="FFBEB8C7"/>
    <w:rsid w:val="FFBEC378"/>
    <w:rsid w:val="FFBF0390"/>
    <w:rsid w:val="FFC7C6F9"/>
    <w:rsid w:val="FFCC2759"/>
    <w:rsid w:val="FFCE4F99"/>
    <w:rsid w:val="FFCF23F3"/>
    <w:rsid w:val="FFCF688E"/>
    <w:rsid w:val="FFCF6C60"/>
    <w:rsid w:val="FFD1C576"/>
    <w:rsid w:val="FFD34341"/>
    <w:rsid w:val="FFD51B27"/>
    <w:rsid w:val="FFD55392"/>
    <w:rsid w:val="FFD73722"/>
    <w:rsid w:val="FFD9E784"/>
    <w:rsid w:val="FFDD0B96"/>
    <w:rsid w:val="FFDDA225"/>
    <w:rsid w:val="FFDDC40C"/>
    <w:rsid w:val="FFDE8C99"/>
    <w:rsid w:val="FFDE8DF5"/>
    <w:rsid w:val="FFDF3294"/>
    <w:rsid w:val="FFDF4B46"/>
    <w:rsid w:val="FFE5B316"/>
    <w:rsid w:val="FFE91623"/>
    <w:rsid w:val="FFE9570B"/>
    <w:rsid w:val="FFED1D65"/>
    <w:rsid w:val="FFED1EE6"/>
    <w:rsid w:val="FFEDFAC1"/>
    <w:rsid w:val="FFEE1D91"/>
    <w:rsid w:val="FFEF3160"/>
    <w:rsid w:val="FFEFCD9F"/>
    <w:rsid w:val="FFF3BB09"/>
    <w:rsid w:val="FFF51EDB"/>
    <w:rsid w:val="FFF55BBF"/>
    <w:rsid w:val="FFF5F873"/>
    <w:rsid w:val="FFF73F68"/>
    <w:rsid w:val="FFF79053"/>
    <w:rsid w:val="FFF7980B"/>
    <w:rsid w:val="FFF7DB44"/>
    <w:rsid w:val="FFF9C139"/>
    <w:rsid w:val="FFFA577C"/>
    <w:rsid w:val="FFFAAC08"/>
    <w:rsid w:val="FFFAFB73"/>
    <w:rsid w:val="FFFAFE94"/>
    <w:rsid w:val="FFFB0977"/>
    <w:rsid w:val="FFFB2B15"/>
    <w:rsid w:val="FFFBAE4E"/>
    <w:rsid w:val="FFFD5F2A"/>
    <w:rsid w:val="FFFD8BDA"/>
    <w:rsid w:val="FFFDC7E6"/>
    <w:rsid w:val="FFFDDB9B"/>
    <w:rsid w:val="FFFE0AE4"/>
    <w:rsid w:val="FFFE5B9E"/>
    <w:rsid w:val="FFFEAABD"/>
    <w:rsid w:val="FFFEAF29"/>
    <w:rsid w:val="FFFECC37"/>
    <w:rsid w:val="FFFF509D"/>
    <w:rsid w:val="FFFF56D4"/>
    <w:rsid w:val="FFFF7226"/>
    <w:rsid w:val="FFFF923F"/>
    <w:rsid w:val="FFFFBEC4"/>
    <w:rsid w:val="FFFFC103"/>
    <w:rsid w:val="FFFFC18F"/>
    <w:rsid w:val="FFFFCD85"/>
    <w:rsid w:val="FFFFEA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6">
    <w:name w:val="heading 3"/>
    <w:basedOn w:val="1"/>
    <w:next w:val="1"/>
    <w:qFormat/>
    <w:uiPriority w:val="9"/>
    <w:pPr>
      <w:keepNext/>
      <w:keepLines/>
      <w:spacing w:before="260" w:after="260" w:line="416" w:lineRule="auto"/>
      <w:outlineLvl w:val="2"/>
    </w:pPr>
    <w:rPr>
      <w:bCs/>
      <w:szCs w:val="32"/>
    </w:rPr>
  </w:style>
  <w:style w:type="paragraph" w:styleId="7">
    <w:name w:val="heading 4"/>
    <w:basedOn w:val="1"/>
    <w:next w:val="1"/>
    <w:qFormat/>
    <w:uiPriority w:val="0"/>
    <w:pPr>
      <w:keepNext/>
      <w:keepLines/>
      <w:numPr>
        <w:ilvl w:val="3"/>
        <w:numId w:val="1"/>
      </w:numPr>
      <w:tabs>
        <w:tab w:val="left" w:pos="1726"/>
        <w:tab w:val="clear" w:pos="850"/>
      </w:tabs>
      <w:ind w:firstLineChars="0"/>
      <w:jc w:val="left"/>
      <w:outlineLvl w:val="3"/>
    </w:pPr>
    <w:rPr>
      <w:rFonts w:hAnsi="Arial"/>
      <w:bCs/>
      <w:szCs w:val="28"/>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0"/>
    <w:pPr>
      <w:spacing w:line="480" w:lineRule="exact"/>
      <w:ind w:firstLine="480" w:firstLineChars="200"/>
    </w:pPr>
    <w:rPr>
      <w:rFonts w:ascii="宋体" w:hAnsi="宋体"/>
      <w:color w:val="FF0000"/>
      <w:kern w:val="0"/>
      <w:sz w:val="24"/>
    </w:rPr>
  </w:style>
  <w:style w:type="paragraph" w:styleId="3">
    <w:name w:val="Body Text First Indent 2"/>
    <w:basedOn w:val="2"/>
    <w:next w:val="1"/>
    <w:unhideWhenUsed/>
    <w:qFormat/>
    <w:uiPriority w:val="0"/>
    <w:pPr>
      <w:spacing w:after="120" w:line="240" w:lineRule="auto"/>
      <w:ind w:left="420" w:leftChars="200" w:firstLine="420"/>
    </w:pPr>
  </w:style>
  <w:style w:type="paragraph" w:styleId="8">
    <w:name w:val="Normal Indent"/>
    <w:basedOn w:val="1"/>
    <w:unhideWhenUsed/>
    <w:qFormat/>
    <w:uiPriority w:val="0"/>
    <w:pPr>
      <w:ind w:firstLine="420" w:firstLineChars="200"/>
    </w:pPr>
    <w:rPr>
      <w:kern w:val="0"/>
      <w:sz w:val="20"/>
    </w:rPr>
  </w:style>
  <w:style w:type="paragraph" w:styleId="9">
    <w:name w:val="annotation text"/>
    <w:basedOn w:val="1"/>
    <w:link w:val="33"/>
    <w:qFormat/>
    <w:uiPriority w:val="0"/>
    <w:pPr>
      <w:jc w:val="left"/>
    </w:pPr>
  </w:style>
  <w:style w:type="paragraph" w:styleId="10">
    <w:name w:val="Body Text"/>
    <w:basedOn w:val="1"/>
    <w:next w:val="11"/>
    <w:qFormat/>
    <w:uiPriority w:val="0"/>
    <w:pPr>
      <w:spacing w:after="120"/>
    </w:pPr>
  </w:style>
  <w:style w:type="paragraph" w:customStyle="1" w:styleId="11">
    <w:name w:val="xl27"/>
    <w:basedOn w:val="1"/>
    <w:next w:val="12"/>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2"/>
      <w:szCs w:val="22"/>
    </w:rPr>
  </w:style>
  <w:style w:type="paragraph" w:customStyle="1" w:styleId="12">
    <w:name w:val="A正文"/>
    <w:basedOn w:val="1"/>
    <w:qFormat/>
    <w:uiPriority w:val="0"/>
    <w:pPr>
      <w:widowControl/>
      <w:overflowPunct w:val="0"/>
      <w:autoSpaceDE w:val="0"/>
      <w:autoSpaceDN w:val="0"/>
      <w:jc w:val="left"/>
      <w:textAlignment w:val="baseline"/>
    </w:pPr>
  </w:style>
  <w:style w:type="paragraph" w:styleId="13">
    <w:name w:val="Plain Text"/>
    <w:basedOn w:val="1"/>
    <w:unhideWhenUsed/>
    <w:qFormat/>
    <w:uiPriority w:val="99"/>
    <w:rPr>
      <w:rFonts w:ascii="宋体" w:hAnsi="Courier New" w:cs="Courier New"/>
    </w:rPr>
  </w:style>
  <w:style w:type="paragraph" w:styleId="14">
    <w:name w:val="Body Text Indent 2"/>
    <w:basedOn w:val="1"/>
    <w:next w:val="3"/>
    <w:qFormat/>
    <w:uiPriority w:val="0"/>
    <w:pPr>
      <w:spacing w:line="460" w:lineRule="exact"/>
      <w:ind w:firstLine="600" w:firstLineChars="200"/>
    </w:pPr>
    <w:rPr>
      <w:rFonts w:ascii="仿宋_GB2312" w:hAnsi="宋体" w:eastAsia="仿宋_GB2312"/>
      <w:sz w:val="30"/>
      <w:szCs w:val="28"/>
    </w:rPr>
  </w:style>
  <w:style w:type="paragraph" w:styleId="15">
    <w:name w:val="Balloon Text"/>
    <w:basedOn w:val="1"/>
    <w:link w:val="35"/>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next w:val="1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8">
    <w:name w:val="样式5"/>
    <w:basedOn w:val="19"/>
    <w:qFormat/>
    <w:uiPriority w:val="0"/>
    <w:pPr>
      <w:snapToGrid w:val="0"/>
      <w:spacing w:line="360" w:lineRule="auto"/>
      <w:ind w:firstLine="510"/>
    </w:pPr>
    <w:rPr>
      <w:sz w:val="24"/>
    </w:rPr>
  </w:style>
  <w:style w:type="paragraph" w:customStyle="1" w:styleId="19">
    <w:name w:val="正文1"/>
    <w:basedOn w:val="1"/>
    <w:next w:val="1"/>
    <w:qFormat/>
    <w:uiPriority w:val="0"/>
  </w:style>
  <w:style w:type="paragraph" w:styleId="2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1">
    <w:name w:val="Normal (Web)"/>
    <w:basedOn w:val="1"/>
    <w:qFormat/>
    <w:uiPriority w:val="0"/>
    <w:pPr>
      <w:jc w:val="left"/>
    </w:pPr>
    <w:rPr>
      <w:rFonts w:cs="Times New Roman"/>
      <w:kern w:val="0"/>
      <w:sz w:val="24"/>
    </w:rPr>
  </w:style>
  <w:style w:type="paragraph" w:styleId="22">
    <w:name w:val="annotation subject"/>
    <w:basedOn w:val="9"/>
    <w:next w:val="9"/>
    <w:link w:val="34"/>
    <w:qFormat/>
    <w:uiPriority w:val="0"/>
    <w:rPr>
      <w:b/>
      <w:bCs/>
    </w:rPr>
  </w:style>
  <w:style w:type="paragraph" w:styleId="23">
    <w:name w:val="Body Text First Indent"/>
    <w:basedOn w:val="10"/>
    <w:next w:val="1"/>
    <w:unhideWhenUsed/>
    <w:qFormat/>
    <w:uiPriority w:val="99"/>
    <w:pPr>
      <w:spacing w:after="120"/>
      <w:ind w:firstLine="420" w:firstLineChars="100"/>
    </w:pPr>
    <w:rPr>
      <w:rFonts w:ascii="Calibri" w:hAnsi="Calibri" w:eastAsia="宋体" w:cs="Times New Roman"/>
      <w:szCs w:val="22"/>
    </w:rPr>
  </w:style>
  <w:style w:type="character" w:styleId="26">
    <w:name w:val="annotation reference"/>
    <w:basedOn w:val="25"/>
    <w:qFormat/>
    <w:uiPriority w:val="0"/>
    <w:rPr>
      <w:sz w:val="21"/>
      <w:szCs w:val="21"/>
    </w:rPr>
  </w:style>
  <w:style w:type="paragraph" w:customStyle="1" w:styleId="27">
    <w:name w:val="Default"/>
    <w:basedOn w:val="28"/>
    <w:next w:val="3"/>
    <w:qFormat/>
    <w:uiPriority w:val="0"/>
    <w:pPr>
      <w:autoSpaceDE w:val="0"/>
      <w:autoSpaceDN w:val="0"/>
      <w:adjustRightInd w:val="0"/>
    </w:pPr>
    <w:rPr>
      <w:rFonts w:ascii="仿宋_GB2312" w:eastAsia="仿宋_GB2312" w:cs="仿宋_GB2312"/>
      <w:sz w:val="24"/>
    </w:rPr>
  </w:style>
  <w:style w:type="paragraph" w:customStyle="1" w:styleId="28">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29">
    <w:name w:val="纯文本1"/>
    <w:basedOn w:val="1"/>
    <w:qFormat/>
    <w:uiPriority w:val="0"/>
    <w:pPr>
      <w:autoSpaceDE w:val="0"/>
      <w:autoSpaceDN w:val="0"/>
      <w:adjustRightInd w:val="0"/>
      <w:snapToGrid w:val="0"/>
      <w:ind w:firstLine="476"/>
      <w:textAlignment w:val="baseline"/>
    </w:pPr>
    <w:rPr>
      <w:rFonts w:ascii="Courier New" w:hAnsi="Courier New"/>
      <w:snapToGrid w:val="0"/>
      <w:spacing w:val="4"/>
      <w:sz w:val="15"/>
      <w:szCs w:val="24"/>
    </w:rPr>
  </w:style>
  <w:style w:type="paragraph" w:customStyle="1" w:styleId="30">
    <w:name w:val="Default1"/>
    <w:basedOn w:val="31"/>
    <w:next w:val="1"/>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paragraph" w:customStyle="1" w:styleId="31">
    <w:name w:val="常用正文样式"/>
    <w:qFormat/>
    <w:uiPriority w:val="0"/>
    <w:pPr>
      <w:widowControl w:val="0"/>
      <w:spacing w:line="360" w:lineRule="auto"/>
      <w:ind w:firstLine="454"/>
      <w:jc w:val="both"/>
    </w:pPr>
    <w:rPr>
      <w:rFonts w:ascii="宋体" w:hAnsi="新宋体" w:eastAsia="仿宋_GB2312" w:cs="Times New Roman"/>
      <w:kern w:val="2"/>
      <w:sz w:val="24"/>
      <w:szCs w:val="24"/>
      <w:lang w:val="en-US" w:eastAsia="zh-CN" w:bidi="ar-SA"/>
    </w:rPr>
  </w:style>
  <w:style w:type="paragraph" w:customStyle="1" w:styleId="32">
    <w:name w:val="样式 标题 2"/>
    <w:basedOn w:val="5"/>
    <w:next w:val="30"/>
    <w:qFormat/>
    <w:uiPriority w:val="0"/>
    <w:pPr>
      <w:spacing w:before="50" w:after="50"/>
    </w:pPr>
    <w:rPr>
      <w:szCs w:val="28"/>
    </w:rPr>
  </w:style>
  <w:style w:type="character" w:customStyle="1" w:styleId="33">
    <w:name w:val="批注文字 Char"/>
    <w:basedOn w:val="25"/>
    <w:link w:val="9"/>
    <w:qFormat/>
    <w:uiPriority w:val="0"/>
    <w:rPr>
      <w:kern w:val="2"/>
      <w:sz w:val="21"/>
      <w:szCs w:val="24"/>
    </w:rPr>
  </w:style>
  <w:style w:type="character" w:customStyle="1" w:styleId="34">
    <w:name w:val="批注主题 Char"/>
    <w:basedOn w:val="33"/>
    <w:link w:val="22"/>
    <w:qFormat/>
    <w:uiPriority w:val="0"/>
    <w:rPr>
      <w:b/>
      <w:bCs/>
      <w:kern w:val="2"/>
      <w:sz w:val="21"/>
      <w:szCs w:val="24"/>
    </w:rPr>
  </w:style>
  <w:style w:type="character" w:customStyle="1" w:styleId="35">
    <w:name w:val="批注框文本 Char"/>
    <w:basedOn w:val="25"/>
    <w:link w:val="15"/>
    <w:qFormat/>
    <w:uiPriority w:val="0"/>
    <w:rPr>
      <w:kern w:val="2"/>
      <w:sz w:val="18"/>
      <w:szCs w:val="18"/>
    </w:rPr>
  </w:style>
  <w:style w:type="paragraph" w:customStyle="1" w:styleId="36">
    <w:name w:val="正文11111111111111"/>
    <w:basedOn w:val="1"/>
    <w:qFormat/>
    <w:uiPriority w:val="99"/>
    <w:pPr>
      <w:adjustRightInd w:val="0"/>
      <w:snapToGrid w:val="0"/>
      <w:spacing w:line="360" w:lineRule="auto"/>
      <w:ind w:firstLine="480" w:firstLineChars="200"/>
    </w:pPr>
    <w:rPr>
      <w:rFonts w:ascii="Times New Roman" w:hAnsi="Times New Roman"/>
      <w:color w:val="000000"/>
      <w:sz w:val="24"/>
    </w:rPr>
  </w:style>
  <w:style w:type="paragraph" w:styleId="37">
    <w:name w:val="List Paragraph"/>
    <w:basedOn w:val="1"/>
    <w:unhideWhenUsed/>
    <w:qFormat/>
    <w:uiPriority w:val="99"/>
    <w:pPr>
      <w:ind w:firstLine="420" w:firstLineChars="200"/>
    </w:pPr>
  </w:style>
  <w:style w:type="paragraph" w:customStyle="1" w:styleId="38">
    <w:name w:val="A0正文"/>
    <w:basedOn w:val="1"/>
    <w:qFormat/>
    <w:uiPriority w:val="0"/>
    <w:pPr>
      <w:spacing w:line="560" w:lineRule="exact"/>
      <w:ind w:firstLine="200" w:firstLineChars="200"/>
    </w:pPr>
    <w:rPr>
      <w:sz w:val="24"/>
      <w:szCs w:val="20"/>
      <w:lang w:val="zh-CN"/>
    </w:rPr>
  </w:style>
  <w:style w:type="paragraph" w:customStyle="1" w:styleId="39">
    <w:name w:val="小四+首行缩进"/>
    <w:basedOn w:val="1"/>
    <w:qFormat/>
    <w:uiPriority w:val="0"/>
    <w:pPr>
      <w:spacing w:line="360" w:lineRule="auto"/>
      <w:ind w:firstLine="482"/>
    </w:pPr>
    <w:rPr>
      <w:rFonts w:ascii="宋体" w:hAnsi="宋体"/>
      <w:kern w:val="0"/>
      <w:sz w:val="24"/>
    </w:rPr>
  </w:style>
  <w:style w:type="paragraph" w:customStyle="1" w:styleId="40">
    <w:name w:val="D正文"/>
    <w:basedOn w:val="1"/>
    <w:qFormat/>
    <w:uiPriority w:val="0"/>
    <w:pPr>
      <w:spacing w:line="360" w:lineRule="auto"/>
      <w:ind w:firstLine="480" w:firstLineChars="200"/>
    </w:pPr>
    <w:rPr>
      <w:sz w:val="24"/>
    </w:rPr>
  </w:style>
  <w:style w:type="paragraph" w:customStyle="1" w:styleId="41">
    <w:name w:val="【正文】"/>
    <w:basedOn w:val="1"/>
    <w:qFormat/>
    <w:uiPriority w:val="0"/>
    <w:pPr>
      <w:spacing w:line="440" w:lineRule="exact"/>
      <w:ind w:firstLine="544" w:firstLineChars="200"/>
    </w:pPr>
    <w:rPr>
      <w:color w:val="auto"/>
      <w:sz w:val="24"/>
      <w:szCs w:val="20"/>
    </w:rPr>
  </w:style>
  <w:style w:type="paragraph" w:customStyle="1" w:styleId="42">
    <w:name w:val="ZH正文"/>
    <w:basedOn w:val="1"/>
    <w:qFormat/>
    <w:uiPriority w:val="0"/>
    <w:pPr>
      <w:spacing w:line="360" w:lineRule="auto"/>
      <w:ind w:firstLine="200" w:firstLineChars="200"/>
    </w:pPr>
    <w:rPr>
      <w:rFonts w:eastAsia="宋体"/>
      <w:sz w:val="24"/>
    </w:rPr>
  </w:style>
  <w:style w:type="paragraph" w:customStyle="1" w:styleId="43">
    <w:name w:val="aa表格内容"/>
    <w:basedOn w:val="1"/>
    <w:qFormat/>
    <w:uiPriority w:val="0"/>
    <w:pPr>
      <w:adjustRightInd w:val="0"/>
      <w:snapToGrid w:val="0"/>
      <w:jc w:val="center"/>
    </w:pPr>
    <w:rPr>
      <w:rFonts w:ascii="Times New Roman" w:hAnsi="Times New Roman"/>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Zxmsoft</Company>
  <Pages>7</Pages>
  <Words>3242</Words>
  <Characters>3502</Characters>
  <Lines>26</Lines>
  <Paragraphs>7</Paragraphs>
  <TotalTime>1</TotalTime>
  <ScaleCrop>false</ScaleCrop>
  <LinksUpToDate>false</LinksUpToDate>
  <CharactersWithSpaces>3735</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2022-03-15T09:25:00Z</dcterms:created>
  <dc:creator>Administrator</dc:creator>
  <cp:lastModifiedBy>admin123</cp:lastModifiedBy>
  <cp:lastPrinted>2023-10-27T22:43:00Z</cp:lastPrinted>
  <dcterms:modified xsi:type="dcterms:W3CDTF">2023-11-07T09:19:04Z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8B7D63C1D9750F99889049654EA52677</vt:lpwstr>
  </property>
</Properties>
</file>