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lang w:val="en-US" w:eastAsia="zh-CN"/>
          <w14:textFill>
            <w14:solidFill>
              <w14:schemeClr w14:val="tx1"/>
            </w14:solidFill>
          </w14:textFill>
        </w:rPr>
        <w:t>宜春市供销合作社联合社2021年</w:t>
      </w: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32"/>
          <w:szCs w:val="32"/>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根据《中华人民共和国政府信息公开条例》（国务院令第711号）和《国务院办公厅政府信息与政务公开办公室关于政府信息公开工作年度报告有关事项的通知》（国办公开办函〔2019〕60号）有关要求，结合工作实际，编制《宜春市供销合作社联合社2021年政府信息公开工作年度报告》，报告由总体情况、主动公开政府信息情况、收到和处理政府信息公开申请情况、政府信息公开行政复议、行政诉讼情况、存在的主要问题及改进情况、其他需要报告的事项等六个部分组成。本报告中所列数据的统计期限自2021年1月1日起至2021年12月31日止。本年度报告的电子版可以从宜春市供销合作社联合社政府信息公开平台下载。如对本报告有任何疑问，请与宜春市供销联社秘书科联系（地址：宜春市袁州区宜阳大厦中座1130，电话：0795—3272028，邮编：366000）。</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一、</w:t>
      </w: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微软雅黑" w:eastAsia="仿宋_GB2312" w:cs="仿宋_GB2312"/>
          <w:i w:val="0"/>
          <w:caps w:val="0"/>
          <w:color w:val="000000" w:themeColor="text1"/>
          <w:spacing w:val="0"/>
          <w:kern w:val="0"/>
          <w:sz w:val="32"/>
          <w:szCs w:val="32"/>
          <w:lang w:val="en-US" w:eastAsia="zh-CN" w:bidi="ar"/>
          <w14:textFill>
            <w14:solidFill>
              <w14:schemeClr w14:val="tx1"/>
            </w14:solidFill>
          </w14:textFill>
        </w:rPr>
        <w:t>2021年度，宜春市供销联社积极推进决策、执行、管理、服务、结果全过程公开，</w:t>
      </w:r>
      <w:r>
        <w:rPr>
          <w:rFonts w:hint="eastAsia" w:ascii="仿宋_GB2312" w:hAnsi="仿宋_GB2312" w:eastAsia="仿宋_GB2312" w:cs="仿宋_GB2312"/>
          <w:color w:val="000000"/>
          <w:sz w:val="32"/>
          <w:szCs w:val="32"/>
          <w:lang w:val="en-US" w:eastAsia="zh-CN"/>
        </w:rPr>
        <w:t>强化组织领导，加快完善工作机制，认真落实有关工作部署，推动政务公开工作取得一定成效。</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主动公开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切实抓好政务公开工作，我社印发了《宜春市供销合作社2021年政务公开工作要点》，对规范政务公开、强化解读回应、推进重大行政决策公开、推动政务公开平台建设、推动重点工作信息公开和强化政务公开保障等工作进行了安排和部署。我社结合有关要求，参照先进地区经验</w:t>
      </w:r>
      <w:r>
        <w:rPr>
          <w:rFonts w:hint="eastAsia" w:ascii="仿宋_GB2312" w:hAnsi="微软雅黑" w:eastAsia="仿宋_GB2312" w:cs="仿宋_GB2312"/>
          <w:i w:val="0"/>
          <w:caps w:val="0"/>
          <w:color w:val="000000"/>
          <w:spacing w:val="0"/>
          <w:kern w:val="0"/>
          <w:sz w:val="32"/>
          <w:szCs w:val="32"/>
          <w:lang w:val="en-US" w:eastAsia="zh-CN" w:bidi="ar"/>
        </w:rPr>
        <w:t>进一步调整和完善政府信息公开平台目录，并组织和协调有关科室对照调整后的目录发布有关信息。认真对照有关要求，抓好门户网站建设，根据网站监测报告等反馈的问题，进行及时的整改和改进，切实强化门户网站和政务信息公开平台维护和更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2021年度，共更新和发布287条各类信息，收到并处理“12345”市政府服务热线反馈工单2个，工单处理得到了服务对象满意评价。</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依申请公开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按照有关要求进一步完善《宜春市供销合作社机关政府信息公开指南》，修改和规范依申请公开有关内容，认真做好依申请公开工作。2021年度我社未收到依申请公开事项。</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sz w:val="32"/>
          <w:szCs w:val="32"/>
          <w:lang w:val="en-US" w:eastAsia="zh-CN"/>
        </w:rPr>
        <w:t>市供销联社积极做好政务信息平台内容管理，认真落实“三审三校”制度，坚持导向正确、事实准确、来源规范、合法合规的原则，切实规范发布各类信息。认真对照有关部门下发的网站监测报告及时修改网络平台错别字，提高信息发布的准确度。</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平台建设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color w:val="000000"/>
          <w:sz w:val="32"/>
          <w:szCs w:val="32"/>
          <w:lang w:val="en-US" w:eastAsia="zh-CN"/>
        </w:rPr>
        <w:t>宜春市供销联社原有网站和政府信息公开平台共两个网络平台，该两个平台内容存在一定的重合，两个平台同时进行维护难度较大，且宜春市供销联社门户网站的技术维护较为缺乏、网络安全管理存在一些短板。2021年7月起，市供销联社按照网站关停的流程，先后完成了申请关停、发出公告、注销ICP备案和有关标识等工作。目前，我单位仅有一个政务信息平台即市供销联社政府信息公开平台。</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shd w:val="clear" w:fill="FFFFFF"/>
          <w:lang w:eastAsia="zh-CN"/>
          <w14:textFill>
            <w14:solidFill>
              <w14:schemeClr w14:val="tx1"/>
            </w14:solidFill>
          </w14:textFill>
        </w:rPr>
        <w:t>监督保障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通过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印发《宜春市供销合作社2021年政务公开工作要点》文件和召开主任办公会研究部署政务公开工作等形式</w:t>
      </w:r>
      <w:r>
        <w:rPr>
          <w:rFonts w:hint="eastAsia" w:ascii="仿宋_GB2312" w:hAnsi="仿宋_GB2312" w:eastAsia="仿宋_GB2312" w:cs="仿宋_GB2312"/>
          <w:color w:val="000000"/>
          <w:sz w:val="32"/>
          <w:szCs w:val="32"/>
          <w:lang w:val="en-US" w:eastAsia="zh-CN"/>
        </w:rPr>
        <w:t>进一步完善了主要领导亲自抓、分管领导具体负责、责任科室抓落实、各科室协调配合的工作机制，切实</w:t>
      </w:r>
      <w:r>
        <w:rPr>
          <w:rFonts w:hint="eastAsia" w:ascii="仿宋_GB2312" w:hAnsi="仿宋_GB2312" w:eastAsia="仿宋_GB2312" w:cs="仿宋_GB2312"/>
          <w:color w:val="000000"/>
          <w:sz w:val="32"/>
          <w:szCs w:val="32"/>
          <w:lang w:eastAsia="zh-CN"/>
        </w:rPr>
        <w:t>将政务信息公开责任到人，确保工作有人管、有人推动。根据我社政务信息公开栏目设置情况，编制了《栏目保障表》，明确了责任科室，标明最近更新日期，及时通知有关科室更新信息，切实加强政务公开保障力度。</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主动公开政府信息情况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Chars="200" w:right="0" w:rightChars="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Chars="200" w:right="0" w:rightChars="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Chars="200" w:right="0" w:rightChars="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Chars="200" w:right="0" w:rightChars="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Chars="200" w:right="0" w:rightChars="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Chars="200" w:right="0" w:rightChars="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Chars="200" w:right="0" w:rightChars="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tbl>
      <w:tblPr>
        <w:tblStyle w:val="4"/>
        <w:tblW w:w="15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5"/>
        <w:gridCol w:w="3889"/>
        <w:gridCol w:w="4416"/>
        <w:gridCol w:w="4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5860" w:type="dxa"/>
            <w:gridSpan w:val="4"/>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2815" w:type="dxa"/>
            <w:vMerge w:val="restart"/>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3889"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本年制发件数</w:t>
            </w:r>
          </w:p>
        </w:tc>
        <w:tc>
          <w:tcPr>
            <w:tcW w:w="4416"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本年废止件数</w:t>
            </w:r>
          </w:p>
        </w:tc>
        <w:tc>
          <w:tcPr>
            <w:tcW w:w="4740" w:type="dxa"/>
            <w:vMerge w:val="restart"/>
            <w:tcBorders>
              <w:top w:val="single" w:color="000000" w:sz="8" w:space="0"/>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815"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b/>
                <w:bCs/>
                <w:i w:val="0"/>
                <w:iCs w:val="0"/>
                <w:color w:val="333333"/>
                <w:sz w:val="18"/>
                <w:szCs w:val="18"/>
                <w:u w:val="none"/>
              </w:rPr>
            </w:pPr>
          </w:p>
        </w:tc>
        <w:tc>
          <w:tcPr>
            <w:tcW w:w="3889" w:type="dxa"/>
            <w:vMerge w:val="continue"/>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b/>
                <w:bCs/>
                <w:i w:val="0"/>
                <w:iCs w:val="0"/>
                <w:color w:val="333333"/>
                <w:sz w:val="18"/>
                <w:szCs w:val="18"/>
                <w:u w:val="none"/>
              </w:rPr>
            </w:pPr>
          </w:p>
        </w:tc>
        <w:tc>
          <w:tcPr>
            <w:tcW w:w="4416" w:type="dxa"/>
            <w:vMerge w:val="continue"/>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b/>
                <w:bCs/>
                <w:i w:val="0"/>
                <w:iCs w:val="0"/>
                <w:color w:val="333333"/>
                <w:sz w:val="18"/>
                <w:szCs w:val="18"/>
                <w:u w:val="none"/>
              </w:rPr>
            </w:pPr>
          </w:p>
        </w:tc>
        <w:tc>
          <w:tcPr>
            <w:tcW w:w="4740" w:type="dxa"/>
            <w:vMerge w:val="continue"/>
            <w:tcBorders>
              <w:top w:val="single" w:color="000000" w:sz="8" w:space="0"/>
              <w:left w:val="nil"/>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b/>
                <w:bCs/>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10"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规章</w:t>
            </w:r>
          </w:p>
        </w:tc>
        <w:tc>
          <w:tcPr>
            <w:tcW w:w="388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4416"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474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规范性文件</w:t>
            </w:r>
          </w:p>
        </w:tc>
        <w:tc>
          <w:tcPr>
            <w:tcW w:w="3889"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4416"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c>
          <w:tcPr>
            <w:tcW w:w="4740" w:type="dxa"/>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5860" w:type="dxa"/>
            <w:gridSpan w:val="4"/>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13045" w:type="dxa"/>
            <w:gridSpan w:val="3"/>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9"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行政许可</w:t>
            </w:r>
          </w:p>
        </w:tc>
        <w:tc>
          <w:tcPr>
            <w:tcW w:w="13045" w:type="dxa"/>
            <w:gridSpan w:val="3"/>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15860" w:type="dxa"/>
            <w:gridSpan w:val="4"/>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13045" w:type="dxa"/>
            <w:gridSpan w:val="3"/>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行政处罚</w:t>
            </w:r>
          </w:p>
        </w:tc>
        <w:tc>
          <w:tcPr>
            <w:tcW w:w="13045" w:type="dxa"/>
            <w:gridSpan w:val="3"/>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9"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行政强制</w:t>
            </w:r>
          </w:p>
        </w:tc>
        <w:tc>
          <w:tcPr>
            <w:tcW w:w="13045" w:type="dxa"/>
            <w:gridSpan w:val="3"/>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15860" w:type="dxa"/>
            <w:gridSpan w:val="4"/>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trPr>
        <w:tc>
          <w:tcPr>
            <w:tcW w:w="2815" w:type="dxa"/>
            <w:tcBorders>
              <w:top w:val="nil"/>
              <w:left w:val="single" w:color="000000" w:sz="8" w:space="0"/>
              <w:bottom w:val="single" w:color="000000" w:sz="8" w:space="0"/>
              <w:right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信息内容</w:t>
            </w:r>
          </w:p>
        </w:tc>
        <w:tc>
          <w:tcPr>
            <w:tcW w:w="13045" w:type="dxa"/>
            <w:gridSpan w:val="3"/>
            <w:tcBorders>
              <w:top w:val="single" w:color="000000" w:sz="8" w:space="0"/>
              <w:left w:val="single" w:color="000000" w:sz="8" w:space="0"/>
              <w:bottom w:val="single" w:color="000000" w:sz="8"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2815" w:type="dxa"/>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lang w:val="en-US" w:eastAsia="zh-CN" w:bidi="ar"/>
              </w:rPr>
              <w:t>行政事业性收费</w:t>
            </w:r>
          </w:p>
        </w:tc>
        <w:tc>
          <w:tcPr>
            <w:tcW w:w="13045" w:type="dxa"/>
            <w:gridSpan w:val="3"/>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微软雅黑" w:hAnsi="微软雅黑" w:eastAsia="微软雅黑" w:cs="微软雅黑"/>
                <w:i w:val="0"/>
                <w:iCs w:val="0"/>
                <w:color w:val="333333"/>
                <w:sz w:val="21"/>
                <w:szCs w:val="21"/>
                <w:u w:val="none"/>
                <w:lang w:val="en-US" w:eastAsia="zh-CN"/>
              </w:rPr>
            </w:pPr>
            <w:r>
              <w:rPr>
                <w:rFonts w:hint="eastAsia" w:ascii="微软雅黑" w:hAnsi="微软雅黑" w:eastAsia="微软雅黑" w:cs="微软雅黑"/>
                <w:i w:val="0"/>
                <w:iCs w:val="0"/>
                <w:color w:val="333333"/>
                <w:sz w:val="21"/>
                <w:szCs w:val="21"/>
                <w:u w:val="none"/>
                <w:lang w:val="en-US" w:eastAsia="zh-CN"/>
              </w:rPr>
              <w:t>0</w:t>
            </w: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Chars="200" w:right="0" w:rightChars="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sectPr>
          <w:pgSz w:w="16838" w:h="11906" w:orient="landscape"/>
          <w:pgMar w:top="720" w:right="720" w:bottom="720" w:left="720" w:header="851" w:footer="992" w:gutter="0"/>
          <w:cols w:space="425" w:num="1"/>
          <w:docGrid w:type="lines" w:linePitch="312" w:charSpace="0"/>
        </w:sectPr>
      </w:pPr>
    </w:p>
    <w:p>
      <w:pPr>
        <w:spacing w:line="540" w:lineRule="exact"/>
        <w:rPr>
          <w:rFonts w:ascii="仿宋_GB2312" w:hAnsi="仿宋" w:eastAsia="仿宋_GB2312" w:cs="仿宋"/>
          <w:b/>
          <w:color w:val="000000" w:themeColor="text1"/>
          <w:sz w:val="32"/>
          <w:szCs w:val="32"/>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三、收到和处理政府信息公开申请情况</w:t>
      </w:r>
    </w:p>
    <w:tbl>
      <w:tblPr>
        <w:tblStyle w:val="4"/>
        <w:tblW w:w="89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8"/>
        <w:gridCol w:w="1102"/>
        <w:gridCol w:w="1657"/>
        <w:gridCol w:w="727"/>
        <w:gridCol w:w="717"/>
        <w:gridCol w:w="748"/>
        <w:gridCol w:w="873"/>
        <w:gridCol w:w="884"/>
        <w:gridCol w:w="753"/>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3507"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（本列数据的勾稽关系为：第一项加第二项之和，等于第三项加第四项之和）</w:t>
            </w:r>
          </w:p>
        </w:tc>
        <w:tc>
          <w:tcPr>
            <w:tcW w:w="5452" w:type="dxa"/>
            <w:gridSpan w:val="7"/>
            <w:tcBorders>
              <w:top w:val="single" w:color="000000" w:sz="8" w:space="0"/>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3507"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rPr>
                <w:rFonts w:hint="eastAsia" w:ascii="宋体" w:hAnsi="宋体" w:eastAsia="宋体" w:cs="宋体"/>
                <w:i w:val="0"/>
                <w:iCs w:val="0"/>
                <w:color w:val="333333"/>
                <w:sz w:val="18"/>
                <w:szCs w:val="18"/>
                <w:u w:val="none"/>
              </w:rPr>
            </w:pPr>
          </w:p>
        </w:tc>
        <w:tc>
          <w:tcPr>
            <w:tcW w:w="727"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自然人</w:t>
            </w:r>
          </w:p>
        </w:tc>
        <w:tc>
          <w:tcPr>
            <w:tcW w:w="3975" w:type="dxa"/>
            <w:gridSpan w:val="5"/>
            <w:tcBorders>
              <w:top w:val="single" w:color="000000" w:sz="8" w:space="0"/>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法人或其他组织</w:t>
            </w:r>
          </w:p>
        </w:tc>
        <w:tc>
          <w:tcPr>
            <w:tcW w:w="750"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507"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rPr>
                <w:rFonts w:hint="eastAsia" w:ascii="宋体" w:hAnsi="宋体" w:eastAsia="宋体" w:cs="宋体"/>
                <w:i w:val="0"/>
                <w:iCs w:val="0"/>
                <w:color w:val="333333"/>
                <w:sz w:val="18"/>
                <w:szCs w:val="18"/>
                <w:u w:val="none"/>
              </w:rPr>
            </w:pPr>
          </w:p>
        </w:tc>
        <w:tc>
          <w:tcPr>
            <w:tcW w:w="727" w:type="dxa"/>
            <w:vMerge w:val="continue"/>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商业企业</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科研机构</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社会公益组织</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法律服务机构</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其他</w:t>
            </w:r>
          </w:p>
        </w:tc>
        <w:tc>
          <w:tcPr>
            <w:tcW w:w="750" w:type="dxa"/>
            <w:vMerge w:val="continue"/>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3507" w:type="dxa"/>
            <w:gridSpan w:val="3"/>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一、本年新收政府信息公开申请数量</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3507" w:type="dxa"/>
            <w:gridSpan w:val="3"/>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二、上年结转政府信息公开申请数量</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restart"/>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三、本年度办理结果</w:t>
            </w:r>
          </w:p>
        </w:tc>
        <w:tc>
          <w:tcPr>
            <w:tcW w:w="2759" w:type="dxa"/>
            <w:gridSpan w:val="2"/>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（一）予以公开</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2759" w:type="dxa"/>
            <w:gridSpan w:val="2"/>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（二）部分公开（区分处理的，只计这一情形，不计其他情形）</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（三）不予公开</w:t>
            </w: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1.属于国家秘密</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2.其他法律行政法规禁止公开</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3.危及“三安全一稳定”</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4.保护第三方合法权益</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5.属于三类内部事务信息</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6.属于四类过程性信息</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7.属于行政执法案卷</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lang w:val="en-US" w:eastAsia="zh-CN" w:bidi="ar"/>
              </w:rPr>
              <w:t>8.属于行政查询事项</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（四）无法提供</w:t>
            </w: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1.本机关不掌握相关政府信息</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2.没有现成信息需要另行制作</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3.补正后申请内容仍不明确</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（五）不予处理</w:t>
            </w: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1.信访举报投诉类申请</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2.重复申请</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3.要求提供公开出版物</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4.无正当理由大量反复申请</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continue"/>
            <w:tcBorders>
              <w:top w:val="nil"/>
              <w:left w:val="nil"/>
              <w:bottom w:val="single" w:color="000000" w:sz="8" w:space="0"/>
              <w:right w:val="single" w:color="000000" w:sz="8" w:space="0"/>
            </w:tcBorders>
            <w:shd w:val="clear" w:color="auto" w:fill="FFFFFF" w:themeFill="background1"/>
            <w:vAlign w:val="center"/>
          </w:tcPr>
          <w:p>
            <w:pPr>
              <w:rPr>
                <w:rFonts w:hint="eastAsia" w:ascii="楷体" w:hAnsi="楷体" w:eastAsia="楷体" w:cs="楷体"/>
                <w:i w:val="0"/>
                <w:iCs w:val="0"/>
                <w:color w:val="333333"/>
                <w:sz w:val="19"/>
                <w:szCs w:val="19"/>
                <w:u w:val="none"/>
              </w:rPr>
            </w:pP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5.要求行政机关确认或重新出具已获取信息</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restart"/>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（六）其他处理</w:t>
            </w: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1.申请人无正当理由逾期不补正、行政机关不再处理其政府信息公开申请</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1102" w:type="dxa"/>
            <w:vMerge w:val="continue"/>
            <w:tcBorders>
              <w:top w:val="nil"/>
              <w:left w:val="nil"/>
              <w:bottom w:val="single" w:color="000000" w:sz="8" w:space="0"/>
              <w:right w:val="single" w:color="000000" w:sz="8" w:space="0"/>
            </w:tcBorders>
            <w:shd w:val="clear" w:color="auto" w:fill="FFFFFF" w:themeFill="background1"/>
            <w:vAlign w:val="center"/>
          </w:tcPr>
          <w:p>
            <w:pPr>
              <w:jc w:val="center"/>
              <w:rPr>
                <w:rFonts w:hint="eastAsia" w:ascii="楷体" w:hAnsi="楷体" w:eastAsia="楷体" w:cs="楷体"/>
                <w:i w:val="0"/>
                <w:iCs w:val="0"/>
                <w:color w:val="333333"/>
                <w:sz w:val="19"/>
                <w:szCs w:val="19"/>
                <w:u w:val="none"/>
              </w:rPr>
            </w:pPr>
          </w:p>
        </w:tc>
        <w:tc>
          <w:tcPr>
            <w:tcW w:w="165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2.申请人逾期未按收费通知要求缴纳费用、行政机关不再处理其政府信息公开申请</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48" w:type="dxa"/>
            <w:vMerge w:val="continue"/>
            <w:tcBorders>
              <w:top w:val="nil"/>
              <w:left w:val="single" w:color="000000" w:sz="8" w:space="0"/>
              <w:bottom w:val="single" w:color="000000" w:sz="8" w:space="0"/>
              <w:right w:val="single" w:color="000000" w:sz="8" w:space="0"/>
            </w:tcBorders>
            <w:shd w:val="clear" w:color="auto" w:fill="FFFFFF" w:themeFill="background1"/>
            <w:vAlign w:val="center"/>
          </w:tcPr>
          <w:p>
            <w:pPr>
              <w:jc w:val="center"/>
              <w:rPr>
                <w:rFonts w:hint="eastAsia" w:ascii="宋体" w:hAnsi="宋体" w:eastAsia="宋体" w:cs="宋体"/>
                <w:i w:val="0"/>
                <w:iCs w:val="0"/>
                <w:color w:val="333333"/>
                <w:sz w:val="19"/>
                <w:szCs w:val="19"/>
                <w:u w:val="none"/>
              </w:rPr>
            </w:pPr>
          </w:p>
        </w:tc>
        <w:tc>
          <w:tcPr>
            <w:tcW w:w="2759" w:type="dxa"/>
            <w:gridSpan w:val="2"/>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lang w:val="en-US" w:eastAsia="zh-CN" w:bidi="ar"/>
              </w:rPr>
              <w:t>（七）总计</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3507" w:type="dxa"/>
            <w:gridSpan w:val="3"/>
            <w:tcBorders>
              <w:top w:val="nil"/>
              <w:left w:val="single" w:color="000000" w:sz="8" w:space="0"/>
              <w:bottom w:val="single" w:color="000000" w:sz="8" w:space="0"/>
              <w:right w:val="single" w:color="000000" w:sz="8"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lang w:val="en-US" w:eastAsia="zh-CN" w:bidi="ar"/>
              </w:rPr>
              <w:t>四、结转下年度继续办理</w:t>
            </w:r>
          </w:p>
        </w:tc>
        <w:tc>
          <w:tcPr>
            <w:tcW w:w="72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17"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48"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7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884"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3"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c>
          <w:tcPr>
            <w:tcW w:w="750" w:type="dxa"/>
            <w:tcBorders>
              <w:top w:val="nil"/>
              <w:left w:val="nil"/>
              <w:bottom w:val="single" w:color="000000" w:sz="8" w:space="0"/>
              <w:right w:val="single" w:color="000000" w:sz="8"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0</w:t>
            </w:r>
          </w:p>
        </w:tc>
      </w:tr>
    </w:tbl>
    <w:p>
      <w:pPr>
        <w:spacing w:line="540" w:lineRule="exact"/>
        <w:ind w:left="640"/>
        <w:rPr>
          <w:rFonts w:ascii="仿宋" w:hAnsi="仿宋" w:eastAsia="仿宋" w:cs="仿宋"/>
          <w:color w:val="000000" w:themeColor="text1"/>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四、政府信息公开行政复议、行政诉讼情况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gridSpan w:val="5"/>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行政复议</w:t>
            </w:r>
            <w:r>
              <w:rPr>
                <w:rFonts w:ascii="仿宋" w:hAnsi="仿宋" w:eastAsia="仿宋" w:cs="仿宋"/>
                <w:color w:val="000000" w:themeColor="text1"/>
                <w:sz w:val="24"/>
                <w14:textFill>
                  <w14:solidFill>
                    <w14:schemeClr w14:val="tx1"/>
                  </w14:solidFill>
                </w14:textFill>
              </w:rPr>
              <w:br w:type="textWrapping"/>
            </w:r>
            <w:r>
              <w:rPr>
                <w:rFonts w:hint="eastAsia" w:ascii="仿宋" w:hAnsi="仿宋" w:eastAsia="仿宋" w:cs="仿宋"/>
                <w:b/>
                <w:color w:val="000000" w:themeColor="text1"/>
                <w:sz w:val="24"/>
                <w14:textFill>
                  <w14:solidFill>
                    <w14:schemeClr w14:val="tx1"/>
                  </w14:solidFill>
                </w14:textFill>
              </w:rPr>
              <w:t>（因政府信息公开被行政复议）</w:t>
            </w:r>
          </w:p>
        </w:tc>
        <w:tc>
          <w:tcPr>
            <w:tcW w:w="5680" w:type="dxa"/>
            <w:gridSpan w:val="10"/>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行政诉讼</w:t>
            </w:r>
            <w:r>
              <w:rPr>
                <w:rFonts w:ascii="仿宋" w:hAnsi="仿宋" w:eastAsia="仿宋" w:cs="仿宋"/>
                <w:color w:val="000000" w:themeColor="text1"/>
                <w:sz w:val="24"/>
                <w14:textFill>
                  <w14:solidFill>
                    <w14:schemeClr w14:val="tx1"/>
                  </w14:solidFill>
                </w14:textFill>
              </w:rPr>
              <w:br w:type="textWrapping"/>
            </w:r>
            <w:r>
              <w:rPr>
                <w:rFonts w:hint="eastAsia" w:ascii="仿宋" w:hAnsi="仿宋" w:eastAsia="仿宋" w:cs="仿宋"/>
                <w:b/>
                <w:color w:val="000000" w:themeColor="text1"/>
                <w:sz w:val="24"/>
                <w14:textFill>
                  <w14:solidFill>
                    <w14:schemeClr w14:val="tx1"/>
                  </w14:solidFill>
                </w14:textFill>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结果维护</w:t>
            </w:r>
          </w:p>
        </w:tc>
        <w:tc>
          <w:tcPr>
            <w:tcW w:w="568" w:type="dxa"/>
            <w:vMerge w:val="restart"/>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结果纠正</w:t>
            </w:r>
          </w:p>
        </w:tc>
        <w:tc>
          <w:tcPr>
            <w:tcW w:w="568" w:type="dxa"/>
            <w:vMerge w:val="restart"/>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其他结果</w:t>
            </w:r>
          </w:p>
        </w:tc>
        <w:tc>
          <w:tcPr>
            <w:tcW w:w="568" w:type="dxa"/>
            <w:vMerge w:val="restart"/>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尚未审结</w:t>
            </w:r>
          </w:p>
        </w:tc>
        <w:tc>
          <w:tcPr>
            <w:tcW w:w="568" w:type="dxa"/>
            <w:vMerge w:val="restart"/>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总计</w:t>
            </w:r>
          </w:p>
        </w:tc>
        <w:tc>
          <w:tcPr>
            <w:tcW w:w="2840" w:type="dxa"/>
            <w:gridSpan w:val="5"/>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shd w:val="clear" w:color="auto" w:fill="FFFFFF"/>
                <w14:textFill>
                  <w14:solidFill>
                    <w14:schemeClr w14:val="tx1"/>
                  </w14:solidFill>
                </w14:textFill>
              </w:rPr>
              <w:t>未经复议直接起诉</w:t>
            </w:r>
          </w:p>
        </w:tc>
        <w:tc>
          <w:tcPr>
            <w:tcW w:w="2840" w:type="dxa"/>
            <w:gridSpan w:val="5"/>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68" w:type="dxa"/>
            <w:vMerge w:val="continue"/>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p>
        </w:tc>
        <w:tc>
          <w:tcPr>
            <w:tcW w:w="568" w:type="dxa"/>
            <w:vMerge w:val="continue"/>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结果维护</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结果纠正</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其他结果</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尚未审结</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总计</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结果维护</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结果纠正</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其他结果</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尚未审结</w:t>
            </w:r>
          </w:p>
        </w:tc>
        <w:tc>
          <w:tcPr>
            <w:tcW w:w="568" w:type="dxa"/>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default"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c>
          <w:tcPr>
            <w:tcW w:w="568" w:type="dxa"/>
            <w:shd w:val="clear" w:color="auto" w:fill="auto"/>
            <w:vAlign w:val="center"/>
          </w:tcPr>
          <w:p>
            <w:pPr>
              <w:spacing w:line="540" w:lineRule="exact"/>
              <w:jc w:val="center"/>
              <w:rPr>
                <w:rFonts w:hint="eastAsia" w:ascii="仿宋" w:hAnsi="仿宋" w:eastAsia="仿宋" w:cs="仿宋"/>
                <w:color w:val="000000" w:themeColor="text1"/>
                <w:sz w:val="24"/>
                <w:lang w:val="en-US" w:eastAsia="zh-CN"/>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我社深入贯彻落实国家、省、市关于政务公开工作的部署要求，政务公开工作有序开展，但仍然存在一些不足：一是干部职工对政务公开工作意识还有待加强，有关科室在栏目内容信息更新力度上还有待强化。二是政府信息公开栏目设置还有待进一步优化，政务信息内容不够全面，编辑和发布还不够规范。三是政务公开力量较为薄弱，政务公开工作由人员兼做，专业化和规范化水平不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sz w:val="32"/>
          <w:szCs w:val="32"/>
          <w:lang w:val="en-US" w:eastAsia="zh-CN"/>
        </w:rPr>
        <w:t>下一步，市供销联社将持续强化政务公开内容优化调整，切实抓好政府信息公开平台栏目建设，落实专人负责，加快建立和完善法定主动公开有关栏目的日常检查、更新维护工作机制。进一步抓好政务公开工作教育培训，加强政务公开工作有关规章、制度和文件学习，提升干部职工工作意识和能力。进一步强化政务公开保障力度，提高政务公开工作水平，加快推动政务公开再上新台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000000" w:themeColor="text1"/>
          <w:spacing w:val="0"/>
          <w:sz w:val="32"/>
          <w:szCs w:val="32"/>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bookmarkStart w:id="0" w:name="_GoBack"/>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2021年度，本机关无收取信息处理费情况，无其他需报告的事项。</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F45C3"/>
    <w:multiLevelType w:val="singleLevel"/>
    <w:tmpl w:val="128F45C3"/>
    <w:lvl w:ilvl="0" w:tentative="0">
      <w:start w:val="1"/>
      <w:numFmt w:val="chineseCounting"/>
      <w:suff w:val="nothing"/>
      <w:lvlText w:val="（%1）"/>
      <w:lvlJc w:val="left"/>
      <w:rPr>
        <w:rFonts w:hint="eastAsia"/>
      </w:rPr>
    </w:lvl>
  </w:abstractNum>
  <w:abstractNum w:abstractNumId="1">
    <w:nsid w:val="4D671FE9"/>
    <w:multiLevelType w:val="singleLevel"/>
    <w:tmpl w:val="4D671FE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10F4"/>
    <w:rsid w:val="071F5430"/>
    <w:rsid w:val="072F4BA5"/>
    <w:rsid w:val="074812DF"/>
    <w:rsid w:val="0AA56684"/>
    <w:rsid w:val="0B410C37"/>
    <w:rsid w:val="0D232830"/>
    <w:rsid w:val="0F42566A"/>
    <w:rsid w:val="0FE32618"/>
    <w:rsid w:val="17534F7D"/>
    <w:rsid w:val="17693517"/>
    <w:rsid w:val="1B931963"/>
    <w:rsid w:val="1DEE7EB3"/>
    <w:rsid w:val="23B06487"/>
    <w:rsid w:val="2480713E"/>
    <w:rsid w:val="24C21507"/>
    <w:rsid w:val="30C16F99"/>
    <w:rsid w:val="402652C9"/>
    <w:rsid w:val="487B176D"/>
    <w:rsid w:val="519D4381"/>
    <w:rsid w:val="566E50F8"/>
    <w:rsid w:val="56857A37"/>
    <w:rsid w:val="5FCE6A83"/>
    <w:rsid w:val="60846B0E"/>
    <w:rsid w:val="63A472ED"/>
    <w:rsid w:val="6CA90791"/>
    <w:rsid w:val="6EB526D3"/>
    <w:rsid w:val="6EC41F3F"/>
    <w:rsid w:val="72513E98"/>
    <w:rsid w:val="73551D2E"/>
    <w:rsid w:val="7B440FF1"/>
    <w:rsid w:val="7B460CD2"/>
    <w:rsid w:val="7D7C7DE7"/>
    <w:rsid w:val="7EA45680"/>
    <w:rsid w:val="7F775B56"/>
    <w:rsid w:val="A7DE30DD"/>
    <w:rsid w:val="FAEBF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2021-01-07T17:14:00Z</dcterms:created>
  <dc:creator>Administrator</dc:creator>
  <cp:lastModifiedBy>user</cp:lastModifiedBy>
  <cp:lastPrinted>2022-01-21T00:55:00Z</cp:lastPrinted>
  <dcterms:modified xsi:type="dcterms:W3CDTF">2023-01-12T16:57:49Z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1B9851B993ED4265BB4AB89DFF8BD105</vt:lpwstr>
  </property>
</Properties>
</file>