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pPr>
      <w:bookmarkStart w:id="0" w:name="_GoBack"/>
      <w:bookmarkEnd w:id="0"/>
      <w: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t>宜春市乡村振兴局2022年政府信息公开</w:t>
      </w:r>
    </w:p>
    <w:p>
      <w:pPr>
        <w:keepNext w:val="0"/>
        <w:keepLines w:val="0"/>
        <w:widowControl/>
        <w:suppressLineNumbers w:val="0"/>
        <w:jc w:val="cente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0" w:right="0" w:firstLine="645"/>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本报告依据《中华人民共和国政府信息公开条例》</w:t>
      </w:r>
      <w:r>
        <w:rPr>
          <w:rFonts w:hint="eastAsia" w:ascii="仿宋_gb2312" w:hAnsi="仿宋_gb2312" w:eastAsia="仿宋_gb2312" w:cs="仿宋_gb2312"/>
          <w:i w:val="0"/>
          <w:caps w:val="0"/>
          <w:color w:val="333333"/>
          <w:spacing w:val="0"/>
          <w:sz w:val="32"/>
          <w:szCs w:val="32"/>
          <w:shd w:val="clear" w:color="auto" w:fill="FFFFFF"/>
          <w:lang w:eastAsia="zh-CN"/>
        </w:rPr>
        <w:t>规定及</w:t>
      </w:r>
      <w:r>
        <w:rPr>
          <w:rFonts w:hint="eastAsia" w:ascii="仿宋_gb2312" w:hAnsi="仿宋_gb2312" w:eastAsia="仿宋_gb2312" w:cs="仿宋_gb2312"/>
          <w:i w:val="0"/>
          <w:caps w:val="0"/>
          <w:color w:val="333333"/>
          <w:spacing w:val="0"/>
          <w:sz w:val="32"/>
          <w:szCs w:val="32"/>
          <w:shd w:val="clear" w:color="auto" w:fill="FFFFFF"/>
        </w:rPr>
        <w:t>国办公开办函〔20</w:t>
      </w:r>
      <w:r>
        <w:rPr>
          <w:rFonts w:hint="eastAsia" w:ascii="仿宋_gb2312" w:hAnsi="仿宋_gb2312" w:eastAsia="仿宋_gb2312" w:cs="仿宋_gb2312"/>
          <w:i w:val="0"/>
          <w:caps w:val="0"/>
          <w:color w:val="333333"/>
          <w:spacing w:val="0"/>
          <w:sz w:val="32"/>
          <w:szCs w:val="32"/>
          <w:shd w:val="clear" w:color="auto" w:fill="FFFFFF"/>
          <w:lang w:val="en-US" w:eastAsia="zh-CN"/>
        </w:rPr>
        <w:t>21</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val="en-US" w:eastAsia="zh-CN"/>
        </w:rPr>
        <w:t>3</w:t>
      </w:r>
      <w:r>
        <w:rPr>
          <w:rFonts w:hint="eastAsia" w:ascii="仿宋_gb2312" w:hAnsi="仿宋_gb2312" w:eastAsia="仿宋_gb2312" w:cs="仿宋_gb2312"/>
          <w:i w:val="0"/>
          <w:caps w:val="0"/>
          <w:color w:val="333333"/>
          <w:spacing w:val="0"/>
          <w:sz w:val="32"/>
          <w:szCs w:val="32"/>
          <w:shd w:val="clear" w:color="auto" w:fill="FFFFFF"/>
        </w:rPr>
        <w:t>0号</w:t>
      </w:r>
      <w:r>
        <w:rPr>
          <w:rFonts w:hint="eastAsia" w:ascii="仿宋_gb2312" w:hAnsi="仿宋_gb2312" w:eastAsia="仿宋_gb2312" w:cs="仿宋_gb2312"/>
          <w:i w:val="0"/>
          <w:caps w:val="0"/>
          <w:color w:val="333333"/>
          <w:spacing w:val="0"/>
          <w:sz w:val="32"/>
          <w:szCs w:val="32"/>
          <w:shd w:val="clear" w:color="auto" w:fill="FFFFFF"/>
          <w:lang w:eastAsia="zh-CN"/>
        </w:rPr>
        <w:t>文件</w:t>
      </w:r>
      <w:r>
        <w:rPr>
          <w:rFonts w:hint="eastAsia" w:ascii="仿宋_gb2312" w:hAnsi="仿宋_gb2312" w:eastAsia="仿宋_gb2312" w:cs="仿宋_gb2312"/>
          <w:i w:val="0"/>
          <w:caps w:val="0"/>
          <w:color w:val="333333"/>
          <w:spacing w:val="0"/>
          <w:sz w:val="32"/>
          <w:szCs w:val="32"/>
          <w:shd w:val="clear" w:color="auto" w:fill="FFFFFF"/>
        </w:rPr>
        <w:t>要求，由宜春市</w:t>
      </w:r>
      <w:r>
        <w:rPr>
          <w:rFonts w:hint="eastAsia" w:ascii="仿宋_gb2312" w:hAnsi="仿宋_gb2312" w:eastAsia="仿宋_gb2312" w:cs="仿宋_gb2312"/>
          <w:i w:val="0"/>
          <w:caps w:val="0"/>
          <w:color w:val="333333"/>
          <w:spacing w:val="0"/>
          <w:sz w:val="32"/>
          <w:szCs w:val="32"/>
          <w:shd w:val="clear" w:color="auto" w:fill="FFFFFF"/>
          <w:lang w:eastAsia="zh-CN"/>
        </w:rPr>
        <w:t>乡村振兴局</w:t>
      </w:r>
      <w:r>
        <w:rPr>
          <w:rFonts w:hint="eastAsia" w:ascii="仿宋_gb2312" w:hAnsi="仿宋_gb2312" w:eastAsia="仿宋_gb2312" w:cs="仿宋_gb2312"/>
          <w:i w:val="0"/>
          <w:caps w:val="0"/>
          <w:color w:val="333333"/>
          <w:spacing w:val="0"/>
          <w:sz w:val="32"/>
          <w:szCs w:val="32"/>
          <w:shd w:val="clear" w:color="auto" w:fill="FFFFFF"/>
        </w:rPr>
        <w:t>秘书科结合有关统计数据编制。</w:t>
      </w:r>
      <w:r>
        <w:rPr>
          <w:rFonts w:hint="eastAsia" w:ascii="仿宋_gb2312" w:hAnsi="仿宋_gb2312" w:eastAsia="仿宋_gb2312" w:cs="仿宋_gb2312"/>
          <w:i w:val="0"/>
          <w:caps w:val="0"/>
          <w:color w:val="333333"/>
          <w:spacing w:val="0"/>
          <w:sz w:val="32"/>
          <w:szCs w:val="32"/>
          <w:shd w:val="clear" w:color="auto" w:fill="FFFFFF"/>
          <w:lang w:eastAsia="zh-CN"/>
        </w:rPr>
        <w:t>报告</w:t>
      </w:r>
      <w:r>
        <w:rPr>
          <w:rFonts w:hint="eastAsia" w:ascii="仿宋_gb2312" w:hAnsi="仿宋_gb2312" w:eastAsia="仿宋_gb2312" w:cs="仿宋_gb2312"/>
          <w:i w:val="0"/>
          <w:caps w:val="0"/>
          <w:color w:val="333333"/>
          <w:spacing w:val="0"/>
          <w:sz w:val="32"/>
          <w:szCs w:val="32"/>
          <w:shd w:val="clear" w:color="auto" w:fill="FFFFFF"/>
        </w:rPr>
        <w:t>包括总体情况、主动公开政府信息情况、收到和处理政府信息公开申请情况、</w:t>
      </w:r>
      <w:r>
        <w:rPr>
          <w:rFonts w:hint="eastAsia" w:ascii="仿宋_gb2312" w:hAnsi="仿宋_gb2312" w:eastAsia="仿宋_gb2312" w:cs="仿宋_gb2312"/>
          <w:i w:val="0"/>
          <w:caps w:val="0"/>
          <w:color w:val="333333"/>
          <w:spacing w:val="0"/>
          <w:sz w:val="32"/>
          <w:szCs w:val="32"/>
          <w:shd w:val="clear" w:color="auto" w:fill="FFFFFF"/>
          <w:lang w:eastAsia="zh-CN"/>
        </w:rPr>
        <w:t>因</w:t>
      </w:r>
      <w:r>
        <w:rPr>
          <w:rFonts w:hint="eastAsia" w:ascii="仿宋_gb2312" w:hAnsi="仿宋_gb2312" w:eastAsia="仿宋_gb2312" w:cs="仿宋_gb2312"/>
          <w:i w:val="0"/>
          <w:caps w:val="0"/>
          <w:color w:val="333333"/>
          <w:spacing w:val="0"/>
          <w:sz w:val="32"/>
          <w:szCs w:val="32"/>
          <w:shd w:val="clear" w:color="auto" w:fill="FFFFFF"/>
        </w:rPr>
        <w:t>政府信息公开</w:t>
      </w:r>
      <w:r>
        <w:rPr>
          <w:rFonts w:hint="eastAsia" w:ascii="仿宋_gb2312" w:hAnsi="仿宋_gb2312" w:eastAsia="仿宋_gb2312" w:cs="仿宋_gb2312"/>
          <w:i w:val="0"/>
          <w:caps w:val="0"/>
          <w:color w:val="333333"/>
          <w:spacing w:val="0"/>
          <w:sz w:val="32"/>
          <w:szCs w:val="32"/>
          <w:shd w:val="clear" w:color="auto" w:fill="FFFFFF"/>
          <w:lang w:eastAsia="zh-CN"/>
        </w:rPr>
        <w:t>工作被申请</w:t>
      </w:r>
      <w:r>
        <w:rPr>
          <w:rFonts w:hint="eastAsia" w:ascii="仿宋_gb2312" w:hAnsi="仿宋_gb2312" w:eastAsia="仿宋_gb2312" w:cs="仿宋_gb2312"/>
          <w:i w:val="0"/>
          <w:caps w:val="0"/>
          <w:color w:val="333333"/>
          <w:spacing w:val="0"/>
          <w:sz w:val="32"/>
          <w:szCs w:val="32"/>
          <w:shd w:val="clear" w:color="auto" w:fill="FFFFFF"/>
        </w:rPr>
        <w:t>行政复议</w:t>
      </w:r>
      <w:r>
        <w:rPr>
          <w:rFonts w:hint="eastAsia" w:ascii="仿宋_gb2312" w:hAnsi="仿宋_gb2312" w:eastAsia="仿宋_gb2312" w:cs="仿宋_gb2312"/>
          <w:i w:val="0"/>
          <w:caps w:val="0"/>
          <w:color w:val="333333"/>
          <w:spacing w:val="0"/>
          <w:sz w:val="32"/>
          <w:szCs w:val="32"/>
          <w:shd w:val="clear" w:color="auto" w:fill="FFFFFF"/>
          <w:lang w:eastAsia="zh-CN"/>
        </w:rPr>
        <w:t>提起</w:t>
      </w:r>
      <w:r>
        <w:rPr>
          <w:rFonts w:hint="eastAsia" w:ascii="仿宋_gb2312" w:hAnsi="仿宋_gb2312" w:eastAsia="仿宋_gb2312" w:cs="仿宋_gb2312"/>
          <w:i w:val="0"/>
          <w:caps w:val="0"/>
          <w:color w:val="333333"/>
          <w:spacing w:val="0"/>
          <w:sz w:val="32"/>
          <w:szCs w:val="32"/>
          <w:shd w:val="clear" w:color="auto" w:fill="FFFFFF"/>
        </w:rPr>
        <w:t>行政诉讼情况、存在的主要问题及改进情况、其他需要报告的事项</w:t>
      </w:r>
      <w:r>
        <w:rPr>
          <w:rFonts w:hint="eastAsia" w:ascii="仿宋_gb2312" w:hAnsi="仿宋_gb2312" w:eastAsia="仿宋_gb2312" w:cs="仿宋_gb2312"/>
          <w:i w:val="0"/>
          <w:caps w:val="0"/>
          <w:color w:val="333333"/>
          <w:spacing w:val="0"/>
          <w:sz w:val="32"/>
          <w:szCs w:val="32"/>
          <w:shd w:val="clear" w:color="auto" w:fill="FFFFFF"/>
          <w:lang w:eastAsia="zh-CN"/>
        </w:rPr>
        <w:t>等</w:t>
      </w:r>
      <w:r>
        <w:rPr>
          <w:rFonts w:hint="eastAsia" w:ascii="仿宋_gb2312" w:hAnsi="仿宋_gb2312" w:eastAsia="仿宋_gb2312" w:cs="仿宋_gb2312"/>
          <w:i w:val="0"/>
          <w:caps w:val="0"/>
          <w:color w:val="333333"/>
          <w:spacing w:val="0"/>
          <w:sz w:val="32"/>
          <w:szCs w:val="32"/>
          <w:shd w:val="clear" w:color="auto" w:fill="FFFFFF"/>
        </w:rPr>
        <w:t>。如对本报告有任何疑问，请与</w:t>
      </w:r>
      <w:r>
        <w:rPr>
          <w:rFonts w:hint="eastAsia" w:ascii="仿宋_gb2312" w:hAnsi="仿宋_gb2312" w:eastAsia="仿宋_gb2312" w:cs="仿宋_gb2312"/>
          <w:i w:val="0"/>
          <w:caps w:val="0"/>
          <w:color w:val="333333"/>
          <w:spacing w:val="0"/>
          <w:sz w:val="32"/>
          <w:szCs w:val="32"/>
          <w:shd w:val="clear" w:color="auto" w:fill="FFFFFF"/>
          <w:lang w:eastAsia="zh-CN"/>
        </w:rPr>
        <w:t>宜春</w:t>
      </w:r>
      <w:r>
        <w:rPr>
          <w:rFonts w:hint="eastAsia" w:ascii="仿宋_gb2312" w:hAnsi="仿宋_gb2312" w:eastAsia="仿宋_gb2312" w:cs="仿宋_gb2312"/>
          <w:i w:val="0"/>
          <w:caps w:val="0"/>
          <w:color w:val="333333"/>
          <w:spacing w:val="0"/>
          <w:sz w:val="32"/>
          <w:szCs w:val="32"/>
          <w:shd w:val="clear" w:color="auto" w:fill="FFFFFF"/>
        </w:rPr>
        <w:t>市</w:t>
      </w:r>
      <w:r>
        <w:rPr>
          <w:rFonts w:hint="eastAsia" w:ascii="仿宋_gb2312" w:hAnsi="仿宋_gb2312" w:eastAsia="仿宋_gb2312" w:cs="仿宋_gb2312"/>
          <w:i w:val="0"/>
          <w:caps w:val="0"/>
          <w:color w:val="333333"/>
          <w:spacing w:val="0"/>
          <w:sz w:val="32"/>
          <w:szCs w:val="32"/>
          <w:shd w:val="clear" w:color="auto" w:fill="FFFFFF"/>
          <w:lang w:eastAsia="zh-CN"/>
        </w:rPr>
        <w:t>乡村振兴局</w:t>
      </w:r>
      <w:r>
        <w:rPr>
          <w:rFonts w:hint="eastAsia" w:ascii="仿宋_gb2312" w:hAnsi="仿宋_gb2312" w:eastAsia="仿宋_gb2312" w:cs="仿宋_gb2312"/>
          <w:i w:val="0"/>
          <w:caps w:val="0"/>
          <w:color w:val="333333"/>
          <w:spacing w:val="0"/>
          <w:sz w:val="32"/>
          <w:szCs w:val="32"/>
          <w:shd w:val="clear" w:color="auto" w:fill="FFFFFF"/>
        </w:rPr>
        <w:t>秘书科联系（</w:t>
      </w:r>
      <w:r>
        <w:rPr>
          <w:rFonts w:hint="eastAsia" w:ascii="仿宋_gb2312" w:hAnsi="仿宋_gb2312" w:eastAsia="仿宋_gb2312" w:cs="仿宋_gb2312"/>
          <w:i w:val="0"/>
          <w:caps w:val="0"/>
          <w:color w:val="333333"/>
          <w:spacing w:val="0"/>
          <w:sz w:val="32"/>
          <w:szCs w:val="32"/>
          <w:shd w:val="clear" w:color="auto" w:fill="FFFFFF"/>
          <w:lang w:eastAsia="zh-CN"/>
        </w:rPr>
        <w:t>联系</w:t>
      </w:r>
      <w:r>
        <w:rPr>
          <w:rFonts w:hint="eastAsia" w:ascii="仿宋_gb2312" w:hAnsi="仿宋_gb2312" w:eastAsia="仿宋_gb2312" w:cs="仿宋_gb2312"/>
          <w:i w:val="0"/>
          <w:caps w:val="0"/>
          <w:color w:val="333333"/>
          <w:spacing w:val="0"/>
          <w:sz w:val="32"/>
          <w:szCs w:val="32"/>
          <w:shd w:val="clear" w:color="auto" w:fill="FFFFFF"/>
        </w:rPr>
        <w:t>电话：0795-3283727）。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420" w:right="0" w:firstLine="0"/>
        <w:jc w:val="both"/>
        <w:rPr>
          <w:rFonts w:hint="eastAsia" w:ascii="方正黑体_GBK" w:hAnsi="方正黑体_GBK" w:eastAsia="方正黑体_GBK" w:cs="方正黑体_GBK"/>
          <w:i w:val="0"/>
          <w:caps w:val="0"/>
          <w:color w:val="333333"/>
          <w:spacing w:val="0"/>
          <w:sz w:val="25"/>
          <w:szCs w:val="25"/>
        </w:rPr>
      </w:pPr>
      <w:r>
        <w:rPr>
          <w:rFonts w:hint="eastAsia" w:ascii="方正黑体_GBK" w:hAnsi="方正黑体_GBK" w:eastAsia="方正黑体_GBK" w:cs="方正黑体_GBK"/>
          <w:i w:val="0"/>
          <w:caps w:val="0"/>
          <w:color w:val="333333"/>
          <w:spacing w:val="0"/>
          <w:sz w:val="31"/>
          <w:szCs w:val="31"/>
          <w:shd w:val="clear" w:color="auto" w:fill="FFFFFF"/>
          <w:lang w:eastAsia="zh-CN"/>
        </w:rPr>
        <w:t>一、</w:t>
      </w:r>
      <w:r>
        <w:rPr>
          <w:rFonts w:hint="eastAsia" w:ascii="方正黑体_GBK" w:hAnsi="方正黑体_GBK" w:eastAsia="方正黑体_GBK" w:cs="方正黑体_GBK"/>
          <w:i w:val="0"/>
          <w:caps w:val="0"/>
          <w:color w:val="333333"/>
          <w:spacing w:val="0"/>
          <w:sz w:val="31"/>
          <w:szCs w:val="31"/>
          <w:shd w:val="clear" w:color="auto" w:fill="FFFFFF"/>
        </w:rPr>
        <w:t>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0" w:right="0" w:firstLine="645"/>
        <w:jc w:val="both"/>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宜春市</w:t>
      </w:r>
      <w:r>
        <w:rPr>
          <w:rFonts w:hint="eastAsia" w:ascii="仿宋_gb2312" w:hAnsi="仿宋_gb2312" w:eastAsia="仿宋_gb2312" w:cs="仿宋_gb2312"/>
          <w:i w:val="0"/>
          <w:caps w:val="0"/>
          <w:color w:val="333333"/>
          <w:spacing w:val="0"/>
          <w:sz w:val="32"/>
          <w:szCs w:val="32"/>
          <w:shd w:val="clear" w:color="auto" w:fill="FFFFFF"/>
          <w:lang w:eastAsia="zh-CN"/>
        </w:rPr>
        <w:t>乡村振兴局</w:t>
      </w:r>
      <w:r>
        <w:rPr>
          <w:rFonts w:hint="eastAsia" w:ascii="仿宋_gb2312" w:hAnsi="仿宋_gb2312" w:eastAsia="仿宋_gb2312" w:cs="仿宋_gb2312"/>
          <w:i w:val="0"/>
          <w:caps w:val="0"/>
          <w:color w:val="333333"/>
          <w:spacing w:val="0"/>
          <w:sz w:val="32"/>
          <w:szCs w:val="32"/>
          <w:shd w:val="clear" w:color="auto" w:fill="FFFFFF"/>
        </w:rPr>
        <w:t>坚持以习近平新时代中国特色社会主义思想为指导，</w:t>
      </w:r>
      <w:r>
        <w:rPr>
          <w:rFonts w:hint="eastAsia" w:ascii="仿宋_gb2312" w:hAnsi="仿宋_gb2312" w:eastAsia="仿宋_gb2312" w:cs="仿宋_gb2312"/>
          <w:i w:val="0"/>
          <w:caps w:val="0"/>
          <w:color w:val="333333"/>
          <w:spacing w:val="0"/>
          <w:sz w:val="32"/>
          <w:szCs w:val="32"/>
          <w:shd w:val="clear" w:color="auto" w:fill="FFFFFF"/>
          <w:lang w:eastAsia="zh-CN"/>
        </w:rPr>
        <w:t>认真落实市委市政府关于全面推进政务公开的工作要求</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eastAsia="zh-CN"/>
        </w:rPr>
        <w:t>持续</w:t>
      </w:r>
      <w:r>
        <w:rPr>
          <w:rFonts w:hint="eastAsia" w:ascii="仿宋_gb2312" w:hAnsi="仿宋_gb2312" w:eastAsia="仿宋_gb2312" w:cs="仿宋_gb2312"/>
          <w:i w:val="0"/>
          <w:caps w:val="0"/>
          <w:color w:val="333333"/>
          <w:spacing w:val="0"/>
          <w:sz w:val="32"/>
          <w:szCs w:val="32"/>
          <w:shd w:val="clear" w:color="auto" w:fill="FFFFFF"/>
        </w:rPr>
        <w:t>推进</w:t>
      </w:r>
      <w:r>
        <w:rPr>
          <w:rFonts w:hint="eastAsia" w:ascii="仿宋_gb2312" w:hAnsi="仿宋_gb2312" w:eastAsia="仿宋_gb2312" w:cs="仿宋_gb2312"/>
          <w:spacing w:val="11"/>
          <w:w w:val="100"/>
          <w:sz w:val="32"/>
          <w:szCs w:val="32"/>
          <w:lang w:eastAsia="zh-CN"/>
        </w:rPr>
        <w:t>巩固拓展脱贫攻坚成果同乡村振兴有效衔接政府信息公开工作规范、有序开展。</w:t>
      </w:r>
      <w:r>
        <w:rPr>
          <w:rFonts w:hint="eastAsia" w:ascii="仿宋_gb2312" w:hAnsi="仿宋_gb2312" w:eastAsia="仿宋_gb2312" w:cs="仿宋_gb2312"/>
          <w:i w:val="0"/>
          <w:caps w:val="0"/>
          <w:color w:val="333333"/>
          <w:spacing w:val="0"/>
          <w:sz w:val="32"/>
          <w:szCs w:val="32"/>
          <w:shd w:val="clear" w:color="auto" w:fill="FFFFFF"/>
        </w:rPr>
        <w: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420" w:right="0" w:firstLine="0"/>
        <w:jc w:val="both"/>
        <w:rPr>
          <w:rStyle w:val="6"/>
          <w:rFonts w:hint="eastAsia" w:ascii="方正楷体_GBK" w:hAnsi="方正楷体_GBK" w:eastAsia="方正楷体_GBK" w:cs="方正楷体_GBK"/>
          <w:b w:val="0"/>
          <w:bCs/>
          <w:i w:val="0"/>
          <w:caps w:val="0"/>
          <w:color w:val="333333"/>
          <w:spacing w:val="0"/>
          <w:sz w:val="31"/>
          <w:szCs w:val="31"/>
          <w:shd w:val="clear" w:color="auto" w:fill="FFFFFF"/>
        </w:rPr>
      </w:pPr>
      <w:r>
        <w:rPr>
          <w:rStyle w:val="6"/>
          <w:rFonts w:hint="eastAsia" w:ascii="方正楷体_GBK" w:hAnsi="方正楷体_GBK" w:eastAsia="方正楷体_GBK" w:cs="方正楷体_GBK"/>
          <w:b w:val="0"/>
          <w:bCs/>
          <w:i w:val="0"/>
          <w:caps w:val="0"/>
          <w:color w:val="333333"/>
          <w:spacing w:val="0"/>
          <w:sz w:val="31"/>
          <w:szCs w:val="31"/>
          <w:shd w:val="clear" w:color="auto" w:fill="FFFFFF"/>
        </w:rPr>
        <w:t>主动公开</w:t>
      </w:r>
    </w:p>
    <w:p>
      <w:pPr>
        <w:keepNext w:val="0"/>
        <w:keepLines w:val="0"/>
        <w:widowControl/>
        <w:suppressLineNumbers w:val="0"/>
        <w:ind w:firstLine="620" w:firstLineChars="200"/>
        <w:jc w:val="left"/>
        <w:rPr>
          <w:rFonts w:hint="eastAsia" w:ascii="仿宋_gb2312" w:hAnsi="仿宋_gb2312" w:eastAsia="仿宋_gb2312" w:cs="仿宋_gb2312"/>
          <w:i w:val="0"/>
          <w:caps w:val="0"/>
          <w:color w:val="333333"/>
          <w:spacing w:val="0"/>
          <w:kern w:val="0"/>
          <w:sz w:val="31"/>
          <w:szCs w:val="31"/>
          <w:lang w:val="en-US" w:eastAsia="zh-CN" w:bidi="ar"/>
        </w:rPr>
      </w:pPr>
      <w:r>
        <w:rPr>
          <w:rFonts w:hint="eastAsia" w:ascii="仿宋_gb2312" w:hAnsi="仿宋_gb2312" w:eastAsia="仿宋_gb2312" w:cs="仿宋_gb2312"/>
          <w:i w:val="0"/>
          <w:caps w:val="0"/>
          <w:color w:val="333333"/>
          <w:spacing w:val="0"/>
          <w:kern w:val="0"/>
          <w:sz w:val="31"/>
          <w:szCs w:val="31"/>
          <w:lang w:val="en-US" w:eastAsia="zh-CN" w:bidi="ar"/>
        </w:rPr>
        <w:t>2022年，市乡村振兴局在市政府信息公开平台及时更新领导介绍、</w:t>
      </w:r>
      <w:r>
        <w:rPr>
          <w:rFonts w:hint="eastAsia" w:ascii="仿宋_gb2312" w:hAnsi="仿宋_gb2312" w:eastAsia="仿宋_gb2312" w:cs="仿宋_gb2312"/>
          <w:i w:val="0"/>
          <w:caps w:val="0"/>
          <w:color w:val="333333"/>
          <w:spacing w:val="0"/>
          <w:kern w:val="0"/>
          <w:sz w:val="30"/>
          <w:szCs w:val="30"/>
          <w:shd w:val="clear" w:color="auto" w:fill="FFFFFF"/>
          <w:lang w:val="en-US" w:eastAsia="zh-CN" w:bidi="ar"/>
        </w:rPr>
        <w:t>政策</w:t>
      </w:r>
      <w:r>
        <w:rPr>
          <w:rFonts w:ascii="仿宋_gb2312" w:hAnsi="仿宋_gb2312" w:eastAsia="仿宋_gb2312" w:cs="仿宋_gb2312"/>
          <w:i w:val="0"/>
          <w:caps w:val="0"/>
          <w:color w:val="333333"/>
          <w:spacing w:val="0"/>
          <w:kern w:val="0"/>
          <w:sz w:val="30"/>
          <w:szCs w:val="30"/>
          <w:shd w:val="clear" w:color="auto" w:fill="FFFFFF"/>
          <w:lang w:val="en-US" w:eastAsia="zh-CN" w:bidi="ar"/>
        </w:rPr>
        <w:t>法规文件、工作</w:t>
      </w:r>
      <w:r>
        <w:rPr>
          <w:rFonts w:hint="eastAsia" w:ascii="仿宋_gb2312" w:hAnsi="仿宋_gb2312" w:eastAsia="仿宋_gb2312" w:cs="仿宋_gb2312"/>
          <w:i w:val="0"/>
          <w:caps w:val="0"/>
          <w:color w:val="333333"/>
          <w:spacing w:val="0"/>
          <w:kern w:val="0"/>
          <w:sz w:val="30"/>
          <w:szCs w:val="30"/>
          <w:shd w:val="clear" w:color="auto" w:fill="FFFFFF"/>
          <w:lang w:val="en-US" w:eastAsia="zh-CN" w:bidi="ar"/>
        </w:rPr>
        <w:t>规划</w:t>
      </w:r>
      <w:r>
        <w:rPr>
          <w:rFonts w:ascii="仿宋_gb2312" w:hAnsi="仿宋_gb2312" w:eastAsia="仿宋_gb2312" w:cs="仿宋_gb2312"/>
          <w:i w:val="0"/>
          <w:caps w:val="0"/>
          <w:color w:val="333333"/>
          <w:spacing w:val="0"/>
          <w:kern w:val="0"/>
          <w:sz w:val="30"/>
          <w:szCs w:val="30"/>
          <w:shd w:val="clear" w:color="auto" w:fill="FFFFFF"/>
          <w:lang w:val="en-US" w:eastAsia="zh-CN" w:bidi="ar"/>
        </w:rPr>
        <w:t>、</w:t>
      </w:r>
      <w:r>
        <w:rPr>
          <w:rFonts w:hint="eastAsia" w:ascii="仿宋_gb2312" w:hAnsi="仿宋_gb2312" w:eastAsia="仿宋_gb2312" w:cs="仿宋_gb2312"/>
          <w:i w:val="0"/>
          <w:caps w:val="0"/>
          <w:color w:val="333333"/>
          <w:spacing w:val="0"/>
          <w:kern w:val="0"/>
          <w:sz w:val="30"/>
          <w:szCs w:val="30"/>
          <w:shd w:val="clear" w:color="auto" w:fill="FFFFFF"/>
          <w:lang w:val="en-US" w:eastAsia="zh-CN" w:bidi="ar"/>
        </w:rPr>
        <w:t>新闻发布、政策解读、</w:t>
      </w:r>
      <w:r>
        <w:rPr>
          <w:rFonts w:ascii="仿宋_gb2312" w:hAnsi="仿宋_gb2312" w:eastAsia="仿宋_gb2312" w:cs="仿宋_gb2312"/>
          <w:i w:val="0"/>
          <w:caps w:val="0"/>
          <w:color w:val="333333"/>
          <w:spacing w:val="0"/>
          <w:kern w:val="0"/>
          <w:sz w:val="30"/>
          <w:szCs w:val="30"/>
          <w:shd w:val="clear" w:color="auto" w:fill="FFFFFF"/>
          <w:lang w:val="en-US" w:eastAsia="zh-CN" w:bidi="ar"/>
        </w:rPr>
        <w:t>人事信息、财政预决算</w:t>
      </w:r>
      <w:r>
        <w:rPr>
          <w:rFonts w:hint="eastAsia" w:ascii="仿宋_gb2312" w:hAnsi="仿宋_gb2312" w:eastAsia="仿宋_gb2312" w:cs="仿宋_gb2312"/>
          <w:i w:val="0"/>
          <w:caps w:val="0"/>
          <w:color w:val="333333"/>
          <w:spacing w:val="0"/>
          <w:kern w:val="0"/>
          <w:sz w:val="30"/>
          <w:szCs w:val="30"/>
          <w:shd w:val="clear" w:color="auto" w:fill="FFFFFF"/>
          <w:lang w:val="en-US" w:eastAsia="zh-CN" w:bidi="ar"/>
        </w:rPr>
        <w:t>、重点领域信息、政府信息公开年度报告</w:t>
      </w:r>
      <w:r>
        <w:rPr>
          <w:rFonts w:ascii="仿宋_gb2312" w:hAnsi="仿宋_gb2312" w:eastAsia="仿宋_gb2312" w:cs="仿宋_gb2312"/>
          <w:i w:val="0"/>
          <w:caps w:val="0"/>
          <w:color w:val="333333"/>
          <w:spacing w:val="0"/>
          <w:kern w:val="0"/>
          <w:sz w:val="30"/>
          <w:szCs w:val="30"/>
          <w:shd w:val="clear" w:color="auto" w:fill="FFFFFF"/>
          <w:lang w:val="en-US" w:eastAsia="zh-CN" w:bidi="ar"/>
        </w:rPr>
        <w:t>等相关政务信息共</w:t>
      </w:r>
      <w:r>
        <w:rPr>
          <w:rFonts w:ascii="仿宋_gb2312" w:hAnsi="仿宋_gb2312" w:eastAsia="仿宋_gb2312" w:cs="仿宋_gb2312"/>
          <w:i w:val="0"/>
          <w:caps w:val="0"/>
          <w:color w:val="000000"/>
          <w:spacing w:val="0"/>
          <w:kern w:val="0"/>
          <w:sz w:val="30"/>
          <w:szCs w:val="30"/>
          <w:shd w:val="clear" w:color="auto" w:fill="FFFFFF"/>
          <w:lang w:val="en-US" w:eastAsia="zh-CN" w:bidi="ar"/>
        </w:rPr>
        <w:t>计</w:t>
      </w:r>
      <w:r>
        <w:rPr>
          <w:rFonts w:hint="eastAsia" w:ascii="仿宋_gb2312" w:hAnsi="仿宋_gb2312" w:eastAsia="仿宋_gb2312" w:cs="仿宋_gb2312"/>
          <w:i w:val="0"/>
          <w:caps w:val="0"/>
          <w:color w:val="000000"/>
          <w:spacing w:val="0"/>
          <w:kern w:val="0"/>
          <w:sz w:val="30"/>
          <w:szCs w:val="30"/>
          <w:shd w:val="clear" w:color="auto" w:fill="FFFFFF"/>
          <w:lang w:val="en-US" w:eastAsia="zh-CN" w:bidi="ar"/>
        </w:rPr>
        <w:t>84</w:t>
      </w:r>
      <w:r>
        <w:rPr>
          <w:rFonts w:ascii="仿宋_gb2312" w:hAnsi="仿宋_gb2312" w:eastAsia="仿宋_gb2312" w:cs="仿宋_gb2312"/>
          <w:i w:val="0"/>
          <w:caps w:val="0"/>
          <w:color w:val="000000"/>
          <w:spacing w:val="0"/>
          <w:kern w:val="0"/>
          <w:sz w:val="30"/>
          <w:szCs w:val="30"/>
          <w:shd w:val="clear" w:color="auto" w:fill="FFFFFF"/>
          <w:lang w:val="en-US" w:eastAsia="zh-CN" w:bidi="ar"/>
        </w:rPr>
        <w:t>条。</w:t>
      </w:r>
      <w:r>
        <w:rPr>
          <w:rFonts w:hint="eastAsia" w:ascii="仿宋_gb2312" w:hAnsi="仿宋_gb2312" w:eastAsia="仿宋_gb2312" w:cs="仿宋_gb2312"/>
          <w:i w:val="0"/>
          <w:caps w:val="0"/>
          <w:color w:val="333333"/>
          <w:spacing w:val="0"/>
          <w:kern w:val="0"/>
          <w:sz w:val="30"/>
          <w:szCs w:val="30"/>
          <w:shd w:val="clear" w:color="auto" w:fill="FFFFFF"/>
          <w:lang w:val="en-US" w:eastAsia="zh-CN" w:bidi="ar"/>
        </w:rPr>
        <w:t>局官方微信公开信息135期</w:t>
      </w:r>
      <w:r>
        <w:rPr>
          <w:rFonts w:hint="eastAsia" w:ascii="仿宋_gb2312" w:hAnsi="仿宋_gb2312" w:eastAsia="仿宋_gb2312" w:cs="仿宋_gb2312"/>
          <w:i w:val="0"/>
          <w:caps w:val="0"/>
          <w:color w:val="000000"/>
          <w:spacing w:val="0"/>
          <w:kern w:val="0"/>
          <w:sz w:val="30"/>
          <w:szCs w:val="30"/>
          <w:shd w:val="clear" w:color="auto" w:fill="FFFFFF"/>
          <w:lang w:val="en-US" w:eastAsia="zh-CN" w:bidi="ar"/>
        </w:rPr>
        <w:t>386条。按照市政府办及相关部门的要求，及时公开了财政预算决算和“三公”经费相关信息；</w:t>
      </w:r>
      <w:r>
        <w:rPr>
          <w:rFonts w:hint="default" w:ascii="仿宋_gb2312" w:hAnsi="仿宋_gb2312" w:eastAsia="仿宋_gb2312" w:cs="仿宋_gb2312"/>
          <w:i w:val="0"/>
          <w:caps w:val="0"/>
          <w:color w:val="333333"/>
          <w:spacing w:val="0"/>
          <w:kern w:val="0"/>
          <w:sz w:val="31"/>
          <w:szCs w:val="31"/>
          <w:lang w:val="en-US" w:eastAsia="zh-CN" w:bidi="ar"/>
        </w:rPr>
        <w:t>通过</w:t>
      </w:r>
      <w:r>
        <w:rPr>
          <w:rFonts w:hint="default" w:ascii="Times New Roman" w:hAnsi="Times New Roman" w:eastAsia="宋体" w:cs="Times New Roman"/>
          <w:i w:val="0"/>
          <w:caps w:val="0"/>
          <w:color w:val="333333"/>
          <w:spacing w:val="0"/>
          <w:kern w:val="0"/>
          <w:sz w:val="31"/>
          <w:szCs w:val="31"/>
          <w:lang w:val="en-US" w:eastAsia="zh-CN" w:bidi="ar"/>
        </w:rPr>
        <w:t>“</w:t>
      </w:r>
      <w:r>
        <w:rPr>
          <w:rFonts w:hint="default" w:ascii="仿宋_gb2312" w:hAnsi="仿宋_gb2312" w:eastAsia="仿宋_gb2312" w:cs="仿宋_gb2312"/>
          <w:i w:val="0"/>
          <w:caps w:val="0"/>
          <w:color w:val="333333"/>
          <w:spacing w:val="0"/>
          <w:kern w:val="0"/>
          <w:sz w:val="31"/>
          <w:szCs w:val="31"/>
          <w:lang w:val="en-US" w:eastAsia="zh-CN" w:bidi="ar"/>
        </w:rPr>
        <w:t>建议提案</w:t>
      </w:r>
      <w:r>
        <w:rPr>
          <w:rFonts w:hint="eastAsia" w:ascii="仿宋_gb2312" w:hAnsi="仿宋_gb2312" w:eastAsia="仿宋_gb2312" w:cs="仿宋_gb2312"/>
          <w:i w:val="0"/>
          <w:caps w:val="0"/>
          <w:color w:val="333333"/>
          <w:spacing w:val="0"/>
          <w:kern w:val="0"/>
          <w:sz w:val="31"/>
          <w:szCs w:val="31"/>
          <w:lang w:val="en-US" w:eastAsia="zh-CN" w:bidi="ar"/>
        </w:rPr>
        <w:t>办理</w:t>
      </w:r>
      <w:r>
        <w:rPr>
          <w:rFonts w:hint="default" w:ascii="Times New Roman" w:hAnsi="Times New Roman" w:eastAsia="宋体" w:cs="Times New Roman"/>
          <w:i w:val="0"/>
          <w:caps w:val="0"/>
          <w:color w:val="333333"/>
          <w:spacing w:val="0"/>
          <w:kern w:val="0"/>
          <w:sz w:val="31"/>
          <w:szCs w:val="31"/>
          <w:lang w:val="en-US" w:eastAsia="zh-CN" w:bidi="ar"/>
        </w:rPr>
        <w:t>”</w:t>
      </w:r>
      <w:r>
        <w:rPr>
          <w:rFonts w:hint="default" w:ascii="仿宋_gb2312" w:hAnsi="仿宋_gb2312" w:eastAsia="仿宋_gb2312" w:cs="仿宋_gb2312"/>
          <w:i w:val="0"/>
          <w:caps w:val="0"/>
          <w:color w:val="333333"/>
          <w:spacing w:val="0"/>
          <w:kern w:val="0"/>
          <w:sz w:val="31"/>
          <w:szCs w:val="31"/>
          <w:lang w:val="en-US" w:eastAsia="zh-CN" w:bidi="ar"/>
        </w:rPr>
        <w:t>专栏公开建议提案</w:t>
      </w:r>
      <w:r>
        <w:rPr>
          <w:rFonts w:hint="eastAsia" w:ascii="仿宋_gb2312" w:hAnsi="仿宋_gb2312" w:eastAsia="仿宋_gb2312" w:cs="仿宋_gb2312"/>
          <w:i w:val="0"/>
          <w:caps w:val="0"/>
          <w:color w:val="333333"/>
          <w:spacing w:val="0"/>
          <w:kern w:val="0"/>
          <w:sz w:val="31"/>
          <w:szCs w:val="31"/>
          <w:lang w:val="en-US" w:eastAsia="zh-CN" w:bidi="ar"/>
        </w:rPr>
        <w:t>办理</w:t>
      </w:r>
      <w:r>
        <w:rPr>
          <w:rFonts w:hint="default" w:ascii="仿宋_gb2312" w:hAnsi="仿宋_gb2312" w:eastAsia="仿宋_gb2312" w:cs="仿宋_gb2312"/>
          <w:i w:val="0"/>
          <w:caps w:val="0"/>
          <w:color w:val="333333"/>
          <w:spacing w:val="0"/>
          <w:kern w:val="0"/>
          <w:sz w:val="31"/>
          <w:szCs w:val="31"/>
          <w:lang w:val="en-US" w:eastAsia="zh-CN" w:bidi="ar"/>
        </w:rPr>
        <w:t>回复</w:t>
      </w:r>
      <w:r>
        <w:rPr>
          <w:rFonts w:hint="eastAsia" w:ascii="仿宋_gb2312" w:hAnsi="仿宋_gb2312" w:eastAsia="仿宋_gb2312" w:cs="仿宋_gb2312"/>
          <w:i w:val="0"/>
          <w:caps w:val="0"/>
          <w:color w:val="333333"/>
          <w:spacing w:val="0"/>
          <w:kern w:val="0"/>
          <w:sz w:val="31"/>
          <w:szCs w:val="31"/>
          <w:lang w:val="en-US" w:eastAsia="zh-CN" w:bidi="ar"/>
        </w:rPr>
        <w:t>；通过“项目资金”栏目及时公布财政资金直达基层的分配、下达和使用管理情况。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right="0" w:rightChars="0" w:firstLine="620" w:firstLineChars="200"/>
        <w:jc w:val="both"/>
        <w:rPr>
          <w:rStyle w:val="6"/>
          <w:rFonts w:hint="eastAsia" w:ascii="方正楷体_GBK" w:hAnsi="方正楷体_GBK" w:eastAsia="方正楷体_GBK" w:cs="方正楷体_GBK"/>
          <w:b w:val="0"/>
          <w:bCs/>
          <w:i w:val="0"/>
          <w:caps w:val="0"/>
          <w:color w:val="333333"/>
          <w:spacing w:val="0"/>
          <w:sz w:val="31"/>
          <w:szCs w:val="31"/>
          <w:shd w:val="clear" w:color="auto" w:fill="FFFFFF"/>
          <w:lang w:eastAsia="zh-CN"/>
        </w:rPr>
      </w:pPr>
      <w:r>
        <w:rPr>
          <w:rStyle w:val="6"/>
          <w:rFonts w:hint="default" w:ascii="方正楷体_GBK" w:hAnsi="方正楷体_GBK" w:eastAsia="方正楷体_GBK" w:cs="方正楷体_GBK"/>
          <w:b w:val="0"/>
          <w:bCs/>
          <w:i w:val="0"/>
          <w:caps w:val="0"/>
          <w:color w:val="333333"/>
          <w:spacing w:val="0"/>
          <w:sz w:val="31"/>
          <w:szCs w:val="31"/>
          <w:shd w:val="clear" w:color="auto" w:fill="FFFFFF"/>
        </w:rPr>
        <w:t>（二）依申请公开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0" w:right="0" w:firstLine="645"/>
        <w:jc w:val="both"/>
        <w:rPr>
          <w:rFonts w:hint="eastAsia" w:ascii="仿宋_gb2312" w:hAnsi="仿宋_gb2312" w:eastAsia="仿宋_gb2312" w:cs="仿宋_gb2312"/>
          <w:i w:val="0"/>
          <w:caps w:val="0"/>
          <w:color w:val="333333"/>
          <w:spacing w:val="0"/>
          <w:kern w:val="0"/>
          <w:sz w:val="31"/>
          <w:szCs w:val="31"/>
          <w:lang w:val="en-US" w:eastAsia="zh-CN" w:bidi="ar"/>
        </w:rPr>
      </w:pPr>
      <w:r>
        <w:rPr>
          <w:rFonts w:hint="eastAsia" w:ascii="仿宋_gb2312" w:hAnsi="仿宋_gb2312" w:eastAsia="仿宋_gb2312" w:cs="仿宋_gb2312"/>
          <w:i w:val="0"/>
          <w:caps w:val="0"/>
          <w:color w:val="333333"/>
          <w:spacing w:val="0"/>
          <w:kern w:val="0"/>
          <w:sz w:val="31"/>
          <w:szCs w:val="31"/>
          <w:lang w:val="en-US" w:eastAsia="zh-CN" w:bidi="ar"/>
        </w:rPr>
        <w:t>2022年，市乡村振兴局共收到依申请公开信息0件。</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right="0" w:rightChars="0" w:firstLine="620" w:firstLineChars="200"/>
        <w:jc w:val="both"/>
        <w:rPr>
          <w:rStyle w:val="6"/>
          <w:rFonts w:hint="eastAsia" w:ascii="方正楷体_GBK" w:hAnsi="方正楷体_GBK" w:eastAsia="方正楷体_GBK" w:cs="方正楷体_GBK"/>
          <w:b w:val="0"/>
          <w:bCs/>
          <w:i w:val="0"/>
          <w:caps w:val="0"/>
          <w:color w:val="333333"/>
          <w:spacing w:val="0"/>
          <w:sz w:val="31"/>
          <w:szCs w:val="31"/>
          <w:shd w:val="clear" w:color="auto" w:fill="FFFFFF"/>
          <w:lang w:eastAsia="zh-CN"/>
        </w:rPr>
      </w:pPr>
      <w:r>
        <w:rPr>
          <w:rStyle w:val="6"/>
          <w:rFonts w:hint="eastAsia" w:ascii="方正楷体_GBK" w:hAnsi="方正楷体_GBK" w:eastAsia="方正楷体_GBK" w:cs="方正楷体_GBK"/>
          <w:b w:val="0"/>
          <w:bCs/>
          <w:i w:val="0"/>
          <w:caps w:val="0"/>
          <w:color w:val="333333"/>
          <w:spacing w:val="0"/>
          <w:sz w:val="31"/>
          <w:szCs w:val="31"/>
          <w:shd w:val="clear" w:color="auto" w:fill="FFFFFF"/>
          <w:lang w:eastAsia="zh-CN"/>
        </w:rPr>
        <w:t>（三）政府信息管理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0" w:right="0" w:firstLine="640" w:firstLineChars="200"/>
        <w:jc w:val="both"/>
        <w:rPr>
          <w:rStyle w:val="6"/>
          <w:rFonts w:hint="eastAsia" w:ascii="仿宋_gb2312" w:hAnsi="仿宋_gb2312" w:eastAsia="仿宋_gb2312" w:cs="仿宋_gb2312"/>
          <w:b w:val="0"/>
          <w:bCs/>
          <w:i w:val="0"/>
          <w:caps w:val="0"/>
          <w:color w:val="333333"/>
          <w:spacing w:val="0"/>
          <w:sz w:val="32"/>
          <w:szCs w:val="32"/>
          <w:shd w:val="clear" w:color="auto" w:fill="FFFFFF"/>
          <w:lang w:val="en-US" w:eastAsia="zh-CN"/>
        </w:rPr>
      </w:pPr>
      <w:r>
        <w:rPr>
          <w:rStyle w:val="6"/>
          <w:rFonts w:hint="eastAsia" w:ascii="仿宋_gb2312" w:hAnsi="仿宋_gb2312" w:eastAsia="仿宋_gb2312" w:cs="仿宋_gb2312"/>
          <w:b w:val="0"/>
          <w:bCs/>
          <w:i w:val="0"/>
          <w:caps w:val="0"/>
          <w:color w:val="333333"/>
          <w:spacing w:val="0"/>
          <w:sz w:val="32"/>
          <w:szCs w:val="32"/>
          <w:shd w:val="clear" w:color="auto" w:fill="FFFFFF"/>
          <w:lang w:val="en-US" w:eastAsia="zh-CN"/>
        </w:rPr>
        <w:t>市乡村振兴局按照国家、省、市政务信息公开的有关要求，加强公开平台信息管理，进一步规范了信息公开内容、审批程序等。同时根据市政府办要求，进一步更新优化了</w:t>
      </w:r>
      <w:r>
        <w:rPr>
          <w:rFonts w:hint="eastAsia" w:ascii="仿宋_gb2312" w:hAnsi="仿宋_gb2312" w:eastAsia="仿宋_gb2312" w:cs="仿宋_gb2312"/>
          <w:i w:val="0"/>
          <w:caps w:val="0"/>
          <w:color w:val="333333"/>
          <w:spacing w:val="0"/>
          <w:kern w:val="0"/>
          <w:sz w:val="31"/>
          <w:szCs w:val="31"/>
          <w:lang w:val="en-US" w:eastAsia="zh-CN" w:bidi="ar"/>
        </w:rPr>
        <w:t>“重点领域信息公开”栏目，新增“脱贫攻坚与乡村振兴有效衔接”子栏目。</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right="0" w:rightChars="0" w:firstLine="620" w:firstLineChars="200"/>
        <w:jc w:val="both"/>
        <w:rPr>
          <w:rStyle w:val="6"/>
          <w:rFonts w:hint="eastAsia" w:ascii="方正楷体_GBK" w:hAnsi="方正楷体_GBK" w:eastAsia="方正楷体_GBK" w:cs="方正楷体_GBK"/>
          <w:b w:val="0"/>
          <w:bCs/>
          <w:i w:val="0"/>
          <w:caps w:val="0"/>
          <w:color w:val="333333"/>
          <w:spacing w:val="0"/>
          <w:sz w:val="31"/>
          <w:szCs w:val="31"/>
          <w:shd w:val="clear" w:color="auto" w:fill="FFFFFF"/>
        </w:rPr>
      </w:pPr>
      <w:r>
        <w:rPr>
          <w:rStyle w:val="6"/>
          <w:rFonts w:hint="default" w:ascii="方正楷体_GBK" w:hAnsi="方正楷体_GBK" w:eastAsia="方正楷体_GBK" w:cs="方正楷体_GBK"/>
          <w:b w:val="0"/>
          <w:bCs/>
          <w:i w:val="0"/>
          <w:caps w:val="0"/>
          <w:color w:val="333333"/>
          <w:spacing w:val="0"/>
          <w:sz w:val="31"/>
          <w:szCs w:val="31"/>
          <w:shd w:val="clear" w:color="auto" w:fill="FFFFFF"/>
        </w:rPr>
        <w:t>（</w:t>
      </w:r>
      <w:r>
        <w:rPr>
          <w:rStyle w:val="6"/>
          <w:rFonts w:hint="eastAsia" w:ascii="方正楷体_GBK" w:hAnsi="方正楷体_GBK" w:eastAsia="方正楷体_GBK" w:cs="方正楷体_GBK"/>
          <w:b w:val="0"/>
          <w:bCs/>
          <w:i w:val="0"/>
          <w:caps w:val="0"/>
          <w:color w:val="333333"/>
          <w:spacing w:val="0"/>
          <w:sz w:val="31"/>
          <w:szCs w:val="31"/>
          <w:shd w:val="clear" w:color="auto" w:fill="FFFFFF"/>
          <w:lang w:eastAsia="zh-CN"/>
        </w:rPr>
        <w:t>四</w:t>
      </w:r>
      <w:r>
        <w:rPr>
          <w:rStyle w:val="6"/>
          <w:rFonts w:hint="default" w:ascii="方正楷体_GBK" w:hAnsi="方正楷体_GBK" w:eastAsia="方正楷体_GBK" w:cs="方正楷体_GBK"/>
          <w:b w:val="0"/>
          <w:bCs/>
          <w:i w:val="0"/>
          <w:caps w:val="0"/>
          <w:color w:val="333333"/>
          <w:spacing w:val="0"/>
          <w:sz w:val="31"/>
          <w:szCs w:val="31"/>
          <w:shd w:val="clear" w:color="auto" w:fill="FFFFFF"/>
        </w:rPr>
        <w:t>）</w:t>
      </w:r>
      <w:r>
        <w:rPr>
          <w:rStyle w:val="6"/>
          <w:rFonts w:hint="eastAsia" w:ascii="方正楷体_GBK" w:hAnsi="方正楷体_GBK" w:eastAsia="方正楷体_GBK" w:cs="方正楷体_GBK"/>
          <w:b w:val="0"/>
          <w:bCs/>
          <w:i w:val="0"/>
          <w:caps w:val="0"/>
          <w:color w:val="333333"/>
          <w:spacing w:val="0"/>
          <w:sz w:val="31"/>
          <w:szCs w:val="31"/>
          <w:shd w:val="clear" w:color="auto" w:fill="FFFFFF"/>
          <w:lang w:eastAsia="zh-CN"/>
        </w:rPr>
        <w:t>政府信息公开</w:t>
      </w:r>
      <w:r>
        <w:rPr>
          <w:rStyle w:val="6"/>
          <w:rFonts w:hint="default" w:ascii="方正楷体_GBK" w:hAnsi="方正楷体_GBK" w:eastAsia="方正楷体_GBK" w:cs="方正楷体_GBK"/>
          <w:b w:val="0"/>
          <w:bCs/>
          <w:i w:val="0"/>
          <w:caps w:val="0"/>
          <w:color w:val="333333"/>
          <w:spacing w:val="0"/>
          <w:sz w:val="31"/>
          <w:szCs w:val="31"/>
          <w:shd w:val="clear" w:color="auto" w:fill="FFFFFF"/>
        </w:rPr>
        <w:t>平台建设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0" w:right="0" w:firstLine="0"/>
        <w:jc w:val="both"/>
        <w:rPr>
          <w:rFonts w:hint="eastAsia" w:ascii="仿宋_gb2312" w:hAnsi="仿宋_gb2312" w:eastAsia="仿宋_gb2312" w:cs="仿宋_gb2312"/>
          <w:i w:val="0"/>
          <w:caps w:val="0"/>
          <w:color w:val="333333"/>
          <w:spacing w:val="0"/>
          <w:kern w:val="0"/>
          <w:sz w:val="31"/>
          <w:szCs w:val="31"/>
          <w:lang w:val="en-US" w:eastAsia="zh-CN" w:bidi="ar"/>
        </w:rPr>
      </w:pPr>
      <w:r>
        <w:rPr>
          <w:rStyle w:val="6"/>
          <w:rFonts w:hint="default" w:ascii="仿宋_gb2312" w:hAnsi="仿宋_gb2312" w:eastAsia="仿宋_gb2312" w:cs="仿宋_gb2312"/>
          <w:i w:val="0"/>
          <w:caps w:val="0"/>
          <w:color w:val="333333"/>
          <w:spacing w:val="0"/>
          <w:sz w:val="31"/>
          <w:szCs w:val="31"/>
          <w:shd w:val="clear" w:color="auto" w:fill="FFFFFF"/>
        </w:rPr>
        <w:t> </w:t>
      </w:r>
      <w:r>
        <w:rPr>
          <w:rStyle w:val="6"/>
          <w:rFonts w:hint="eastAsia" w:ascii="仿宋_gb2312" w:hAnsi="仿宋_gb2312" w:eastAsia="仿宋_gb2312" w:cs="仿宋_gb2312"/>
          <w:i w:val="0"/>
          <w:caps w:val="0"/>
          <w:color w:val="333333"/>
          <w:spacing w:val="0"/>
          <w:sz w:val="31"/>
          <w:szCs w:val="31"/>
          <w:shd w:val="clear" w:color="auto" w:fill="FFFFFF"/>
          <w:lang w:val="en-US" w:eastAsia="zh-CN"/>
        </w:rPr>
        <w:t xml:space="preserve">   </w:t>
      </w:r>
      <w:r>
        <w:rPr>
          <w:rFonts w:hint="eastAsia" w:ascii="仿宋_gb2312" w:hAnsi="仿宋_gb2312" w:eastAsia="仿宋_gb2312" w:cs="仿宋_gb2312"/>
          <w:i w:val="0"/>
          <w:caps w:val="0"/>
          <w:color w:val="333333"/>
          <w:spacing w:val="0"/>
          <w:kern w:val="0"/>
          <w:sz w:val="31"/>
          <w:szCs w:val="31"/>
          <w:lang w:val="en-US" w:eastAsia="zh-CN" w:bidi="ar"/>
        </w:rPr>
        <w:t>市乡村振兴局严格按照市政府要求加强政务公开平台和政务新媒体“宜春乡村振兴”微信公众号的管理，明确局秘书科具体负责政务公开平台和政务新媒体的日常运维管理工作，充分发挥政务公开平台和政务新媒体的优势，及时转发中央、省、市重大政策，传递中央、省、市巩固拓展脱贫攻坚成果的决策部署，宣传巩固拓展脱贫攻坚成果的典型事迹和先进经验。并以基层解读、现场解读、图文解读、新闻发布会等多种形式开展政策解读，主动公开解读巩固拓展脱贫攻坚与乡村振兴有效衔接政策，其中图文解读《巩固拓展脱贫攻坚成果成绩单》在全市优秀政策解读材料评选活动中获优。</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right="0" w:rightChars="0" w:firstLine="620" w:firstLineChars="200"/>
        <w:jc w:val="both"/>
        <w:rPr>
          <w:rStyle w:val="6"/>
          <w:rFonts w:hint="eastAsia" w:ascii="方正楷体_GBK" w:hAnsi="方正楷体_GBK" w:eastAsia="方正楷体_GBK" w:cs="方正楷体_GBK"/>
          <w:b w:val="0"/>
          <w:bCs/>
          <w:i w:val="0"/>
          <w:caps w:val="0"/>
          <w:color w:val="333333"/>
          <w:spacing w:val="0"/>
          <w:sz w:val="31"/>
          <w:szCs w:val="31"/>
          <w:shd w:val="clear" w:color="auto" w:fill="FFFFFF"/>
        </w:rPr>
      </w:pPr>
      <w:r>
        <w:rPr>
          <w:rStyle w:val="6"/>
          <w:rFonts w:hint="default" w:ascii="方正楷体_GBK" w:hAnsi="方正楷体_GBK" w:eastAsia="方正楷体_GBK" w:cs="方正楷体_GBK"/>
          <w:b w:val="0"/>
          <w:bCs/>
          <w:i w:val="0"/>
          <w:caps w:val="0"/>
          <w:color w:val="333333"/>
          <w:spacing w:val="0"/>
          <w:sz w:val="31"/>
          <w:szCs w:val="31"/>
          <w:shd w:val="clear" w:color="auto" w:fill="FFFFFF"/>
        </w:rPr>
        <w:t>（</w:t>
      </w:r>
      <w:r>
        <w:rPr>
          <w:rStyle w:val="6"/>
          <w:rFonts w:hint="eastAsia" w:ascii="方正楷体_GBK" w:hAnsi="方正楷体_GBK" w:eastAsia="方正楷体_GBK" w:cs="方正楷体_GBK"/>
          <w:b w:val="0"/>
          <w:bCs/>
          <w:i w:val="0"/>
          <w:caps w:val="0"/>
          <w:color w:val="333333"/>
          <w:spacing w:val="0"/>
          <w:sz w:val="31"/>
          <w:szCs w:val="31"/>
          <w:shd w:val="clear" w:color="auto" w:fill="FFFFFF"/>
          <w:lang w:eastAsia="zh-CN"/>
        </w:rPr>
        <w:t>五</w:t>
      </w:r>
      <w:r>
        <w:rPr>
          <w:rStyle w:val="6"/>
          <w:rFonts w:hint="default" w:ascii="方正楷体_GBK" w:hAnsi="方正楷体_GBK" w:eastAsia="方正楷体_GBK" w:cs="方正楷体_GBK"/>
          <w:b w:val="0"/>
          <w:bCs/>
          <w:i w:val="0"/>
          <w:caps w:val="0"/>
          <w:color w:val="333333"/>
          <w:spacing w:val="0"/>
          <w:sz w:val="31"/>
          <w:szCs w:val="31"/>
          <w:shd w:val="clear" w:color="auto" w:fill="FFFFFF"/>
        </w:rPr>
        <w:t>）监督保障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left="0" w:right="0" w:firstLine="620" w:firstLineChars="200"/>
        <w:jc w:val="both"/>
        <w:rPr>
          <w:rFonts w:hint="eastAsia" w:ascii="仿宋_gb2312" w:hAnsi="仿宋_gb2312" w:eastAsia="仿宋_gb2312" w:cs="仿宋_gb2312"/>
          <w:i w:val="0"/>
          <w:caps w:val="0"/>
          <w:color w:val="333333"/>
          <w:spacing w:val="0"/>
          <w:kern w:val="0"/>
          <w:sz w:val="31"/>
          <w:szCs w:val="31"/>
          <w:lang w:val="en-US" w:eastAsia="zh-CN" w:bidi="ar"/>
        </w:rPr>
      </w:pPr>
      <w:r>
        <w:rPr>
          <w:rFonts w:hint="eastAsia" w:ascii="仿宋_gb2312" w:hAnsi="仿宋_gb2312" w:eastAsia="仿宋_gb2312" w:cs="仿宋_gb2312"/>
          <w:i w:val="0"/>
          <w:caps w:val="0"/>
          <w:color w:val="333333"/>
          <w:spacing w:val="0"/>
          <w:kern w:val="0"/>
          <w:sz w:val="31"/>
          <w:szCs w:val="31"/>
          <w:lang w:val="en-US" w:eastAsia="zh-CN" w:bidi="ar"/>
        </w:rPr>
        <w:t>为强化组织领导，保障政务公开工作落到实处，市乡村振兴局建立了由向主要领导亲自部署、分管领导协同推进、秘书科承办日常事务、职能科（中心）密切配合的工作机制，进一步明确了局各科（中心）工作职责，同时规范了信息公开审核机制，依法依规对拟公开的政府信息进行审查，做到了分工明确、责任落实，为促进政务公开工作提供了有力的组织保障。</w:t>
      </w:r>
    </w:p>
    <w:p>
      <w:pPr>
        <w:keepNext w:val="0"/>
        <w:keepLines w:val="0"/>
        <w:widowControl/>
        <w:numPr>
          <w:ilvl w:val="0"/>
          <w:numId w:val="2"/>
        </w:numPr>
        <w:suppressLineNumbers w:val="0"/>
        <w:ind w:firstLine="640" w:firstLineChars="200"/>
        <w:jc w:val="left"/>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t>主动公开政府信息情况</w:t>
      </w:r>
    </w:p>
    <w:tbl>
      <w:tblPr>
        <w:tblStyle w:val="3"/>
        <w:tblW w:w="84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35"/>
        <w:gridCol w:w="1515"/>
        <w:gridCol w:w="2445"/>
        <w:gridCol w:w="2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490" w:type="dxa"/>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635"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151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本年制发件数</w:t>
            </w:r>
          </w:p>
        </w:tc>
        <w:tc>
          <w:tcPr>
            <w:tcW w:w="244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本年废止件数</w:t>
            </w:r>
          </w:p>
        </w:tc>
        <w:tc>
          <w:tcPr>
            <w:tcW w:w="2895" w:type="dxa"/>
            <w:vMerge w:val="restar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635"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sz w:val="18"/>
                <w:szCs w:val="18"/>
                <w:u w:val="none"/>
              </w:rPr>
            </w:pPr>
          </w:p>
        </w:tc>
        <w:tc>
          <w:tcPr>
            <w:tcW w:w="1515"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i w:val="0"/>
                <w:color w:val="333333"/>
                <w:sz w:val="18"/>
                <w:szCs w:val="18"/>
                <w:u w:val="none"/>
              </w:rPr>
            </w:pPr>
          </w:p>
        </w:tc>
        <w:tc>
          <w:tcPr>
            <w:tcW w:w="2445"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i w:val="0"/>
                <w:color w:val="333333"/>
                <w:sz w:val="18"/>
                <w:szCs w:val="18"/>
                <w:u w:val="none"/>
              </w:rPr>
            </w:pPr>
          </w:p>
        </w:tc>
        <w:tc>
          <w:tcPr>
            <w:tcW w:w="2895" w:type="dxa"/>
            <w:vMerge w:val="continue"/>
            <w:tcBorders>
              <w:top w:val="single" w:color="000000" w:sz="8" w:space="0"/>
              <w:left w:val="nil"/>
              <w:bottom w:val="single" w:color="000000" w:sz="8" w:space="0"/>
              <w:right w:val="single" w:color="000000" w:sz="8" w:space="0"/>
            </w:tcBorders>
            <w:noWrap w:val="0"/>
            <w:vAlign w:val="center"/>
          </w:tcPr>
          <w:p>
            <w:pPr>
              <w:jc w:val="center"/>
              <w:rPr>
                <w:rFonts w:hint="eastAsia" w:ascii="宋体" w:hAnsi="宋体" w:eastAsia="宋体" w:cs="宋体"/>
                <w:b/>
                <w:i w:val="0"/>
                <w:color w:val="333333"/>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规章</w:t>
            </w:r>
          </w:p>
        </w:tc>
        <w:tc>
          <w:tcPr>
            <w:tcW w:w="15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44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8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规范性文件</w:t>
            </w:r>
          </w:p>
        </w:tc>
        <w:tc>
          <w:tcPr>
            <w:tcW w:w="151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44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c>
          <w:tcPr>
            <w:tcW w:w="28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490" w:type="dxa"/>
            <w:gridSpan w:val="4"/>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855"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行政许可</w:t>
            </w:r>
          </w:p>
        </w:tc>
        <w:tc>
          <w:tcPr>
            <w:tcW w:w="6855"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490" w:type="dxa"/>
            <w:gridSpan w:val="4"/>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855"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行政处罚</w:t>
            </w:r>
          </w:p>
        </w:tc>
        <w:tc>
          <w:tcPr>
            <w:tcW w:w="6855"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行政强制</w:t>
            </w:r>
          </w:p>
        </w:tc>
        <w:tc>
          <w:tcPr>
            <w:tcW w:w="6855"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490" w:type="dxa"/>
            <w:gridSpan w:val="4"/>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信息内容</w:t>
            </w:r>
          </w:p>
        </w:tc>
        <w:tc>
          <w:tcPr>
            <w:tcW w:w="6855" w:type="dxa"/>
            <w:gridSpan w:val="3"/>
            <w:tcBorders>
              <w:top w:val="single" w:color="000000" w:sz="8" w:space="0"/>
              <w:left w:val="single" w:color="000000" w:sz="8" w:space="0"/>
              <w:bottom w:val="single" w:color="000000" w:sz="8"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35" w:type="dxa"/>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sz w:val="18"/>
                <w:szCs w:val="18"/>
                <w:u w:val="none"/>
              </w:rPr>
            </w:pPr>
            <w:r>
              <w:rPr>
                <w:rFonts w:hint="eastAsia" w:ascii="宋体" w:hAnsi="宋体" w:eastAsia="宋体" w:cs="宋体"/>
                <w:b/>
                <w:i w:val="0"/>
                <w:color w:val="333333"/>
                <w:kern w:val="0"/>
                <w:sz w:val="18"/>
                <w:szCs w:val="18"/>
                <w:u w:val="none"/>
                <w:lang w:val="en-US" w:eastAsia="zh-CN" w:bidi="ar"/>
              </w:rPr>
              <w:t>行政事业性收费</w:t>
            </w:r>
          </w:p>
        </w:tc>
        <w:tc>
          <w:tcPr>
            <w:tcW w:w="6855" w:type="dxa"/>
            <w:gridSpan w:val="3"/>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微软雅黑" w:hAnsi="微软雅黑" w:eastAsia="微软雅黑" w:cs="微软雅黑"/>
                <w:i w:val="0"/>
                <w:color w:val="333333"/>
                <w:sz w:val="21"/>
                <w:szCs w:val="21"/>
                <w:u w:val="none"/>
              </w:rPr>
            </w:pPr>
            <w:r>
              <w:rPr>
                <w:rFonts w:hint="eastAsia" w:ascii="微软雅黑" w:hAnsi="微软雅黑" w:eastAsia="微软雅黑" w:cs="微软雅黑"/>
                <w:i w:val="0"/>
                <w:color w:val="333333"/>
                <w:kern w:val="0"/>
                <w:sz w:val="21"/>
                <w:szCs w:val="21"/>
                <w:u w:val="none"/>
                <w:lang w:val="en-US" w:eastAsia="zh-CN" w:bidi="ar"/>
              </w:rPr>
              <w:t>0</w:t>
            </w:r>
          </w:p>
        </w:tc>
      </w:tr>
    </w:tbl>
    <w:p>
      <w:pPr>
        <w:keepNext w:val="0"/>
        <w:keepLines w:val="0"/>
        <w:widowControl/>
        <w:suppressLineNumbers w:val="0"/>
        <w:ind w:firstLine="640" w:firstLineChars="200"/>
        <w:jc w:val="left"/>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t>三、收到和处理政府信息公开申请情况</w:t>
      </w:r>
    </w:p>
    <w:tbl>
      <w:tblPr>
        <w:tblStyle w:val="3"/>
        <w:tblW w:w="84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1"/>
        <w:gridCol w:w="825"/>
        <w:gridCol w:w="1769"/>
        <w:gridCol w:w="685"/>
        <w:gridCol w:w="685"/>
        <w:gridCol w:w="685"/>
        <w:gridCol w:w="736"/>
        <w:gridCol w:w="780"/>
        <w:gridCol w:w="69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3395" w:type="dxa"/>
            <w:gridSpan w:val="3"/>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（本列数据的勾稽关系为：第一项加第二项之和，等于第三项加第四项之和）</w:t>
            </w:r>
          </w:p>
        </w:tc>
        <w:tc>
          <w:tcPr>
            <w:tcW w:w="5101" w:type="dxa"/>
            <w:gridSpan w:val="7"/>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3395"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68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自然人</w:t>
            </w:r>
          </w:p>
        </w:tc>
        <w:tc>
          <w:tcPr>
            <w:tcW w:w="3576" w:type="dxa"/>
            <w:gridSpan w:val="5"/>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法人或其他组织</w:t>
            </w:r>
          </w:p>
        </w:tc>
        <w:tc>
          <w:tcPr>
            <w:tcW w:w="840"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395" w:type="dxa"/>
            <w:gridSpan w:val="3"/>
            <w:vMerge w:val="continue"/>
            <w:tcBorders>
              <w:top w:val="single" w:color="000000" w:sz="8" w:space="0"/>
              <w:left w:val="single" w:color="000000" w:sz="8" w:space="0"/>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685"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商业企业</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科研机构</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社会公益组织</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法律服务机构</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其他</w:t>
            </w:r>
          </w:p>
        </w:tc>
        <w:tc>
          <w:tcPr>
            <w:tcW w:w="840"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95" w:type="dxa"/>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一、本年新收政府信息公开申请数量</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95" w:type="dxa"/>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二、上年结转政府信息公开申请数量</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01" w:type="dxa"/>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三、本年度办理结果</w:t>
            </w:r>
          </w:p>
        </w:tc>
        <w:tc>
          <w:tcPr>
            <w:tcW w:w="2594" w:type="dxa"/>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（一）予以公开</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2594" w:type="dxa"/>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（二）部分公开（区分处理的，只计这一情形，不计其他情形）</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（三）不予公开</w:t>
            </w: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1.属于国家秘密</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2.其他法律行政法规禁止公开</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3.危及“三安全一稳定”</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4.保护第三方合法权益</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5.属于三类内部事务信息</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6.属于四类过程性信息</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7.属于行政执法案卷</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8.属于行政查询事项</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（四）无法提供</w:t>
            </w: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1.本机关不掌握相关政府信息</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2.没有现成信息需要另行制作</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3.补正后申请内容仍不明确</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（五）不予处理</w:t>
            </w: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1.信访举报投诉类申请</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2.重复申请</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3.要求提供公开出版物</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4.无正当理由大量反复申请</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5.要求行政机关确认或重新出具已获取信息</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（六）其他处理</w:t>
            </w: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1.申请人无正当理由逾期不补正、行政机关不再处理其政府信息公开申请</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825" w:type="dxa"/>
            <w:vMerge w:val="continue"/>
            <w:tcBorders>
              <w:top w:val="nil"/>
              <w:left w:val="nil"/>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1769" w:type="dxa"/>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2.申请人逾期未按收费通知要求缴纳费用、行政机关不再处理其政府信息公开申请</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01" w:type="dxa"/>
            <w:vMerge w:val="continue"/>
            <w:tcBorders>
              <w:top w:val="nil"/>
              <w:left w:val="single" w:color="000000" w:sz="8" w:space="0"/>
              <w:bottom w:val="single" w:color="000000" w:sz="8" w:space="0"/>
              <w:right w:val="single" w:color="000000" w:sz="8" w:space="0"/>
            </w:tcBorders>
            <w:noWrap w:val="0"/>
            <w:vAlign w:val="center"/>
          </w:tcPr>
          <w:p>
            <w:pPr>
              <w:jc w:val="center"/>
              <w:rPr>
                <w:rFonts w:hint="eastAsia" w:ascii="宋体" w:hAnsi="宋体" w:eastAsia="宋体" w:cs="宋体"/>
                <w:b/>
                <w:i w:val="0"/>
                <w:color w:val="333333"/>
                <w:kern w:val="0"/>
                <w:sz w:val="18"/>
                <w:szCs w:val="18"/>
                <w:u w:val="none"/>
                <w:lang w:val="en-US" w:eastAsia="zh-CN" w:bidi="ar"/>
              </w:rPr>
            </w:pPr>
          </w:p>
        </w:tc>
        <w:tc>
          <w:tcPr>
            <w:tcW w:w="2594" w:type="dxa"/>
            <w:gridSpan w:val="2"/>
            <w:tcBorders>
              <w:top w:val="nil"/>
              <w:left w:val="nil"/>
              <w:bottom w:val="single" w:color="000000" w:sz="8" w:space="0"/>
              <w:right w:val="single" w:color="000000" w:sz="8" w:space="0"/>
            </w:tcBorders>
            <w:noWrap w:val="0"/>
            <w:vAlign w:val="center"/>
          </w:tcPr>
          <w:p>
            <w:pPr>
              <w:keepNext w:val="0"/>
              <w:keepLines w:val="0"/>
              <w:widowControl/>
              <w:suppressLineNumbers w:val="0"/>
              <w:jc w:val="left"/>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（七）总计</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95" w:type="dxa"/>
            <w:gridSpan w:val="3"/>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四、结转下年度继续办理</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8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36"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78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69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c>
          <w:tcPr>
            <w:tcW w:w="84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0</w:t>
            </w:r>
          </w:p>
        </w:tc>
      </w:tr>
    </w:tbl>
    <w:p>
      <w:pPr>
        <w:keepNext w:val="0"/>
        <w:keepLines w:val="0"/>
        <w:widowControl/>
        <w:suppressLineNumbers w:val="0"/>
        <w:ind w:firstLine="640" w:firstLineChars="200"/>
        <w:jc w:val="left"/>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t>四、因政府信息公开工作被申请行政复议、提起行政诉讼情况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62" w:hRule="atLeast"/>
        </w:trPr>
        <w:tc>
          <w:tcPr>
            <w:tcW w:w="2840" w:type="dxa"/>
            <w:gridSpan w:val="5"/>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eastAsia="宋体" w:cs="宋体"/>
                <w:b/>
                <w:i w:val="0"/>
                <w:color w:val="333333"/>
                <w:kern w:val="0"/>
                <w:sz w:val="18"/>
                <w:szCs w:val="18"/>
                <w:u w:val="none"/>
                <w:lang w:val="en-US" w:eastAsia="zh-CN" w:bidi="ar"/>
              </w:rPr>
              <w:t>行政复议</w:t>
            </w:r>
          </w:p>
        </w:tc>
        <w:tc>
          <w:tcPr>
            <w:tcW w:w="5682" w:type="dxa"/>
            <w:gridSpan w:val="10"/>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27" w:hRule="atLeast"/>
        </w:trPr>
        <w:tc>
          <w:tcPr>
            <w:tcW w:w="568"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结果维持</w:t>
            </w:r>
          </w:p>
        </w:tc>
        <w:tc>
          <w:tcPr>
            <w:tcW w:w="568"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结果纠正</w:t>
            </w:r>
          </w:p>
        </w:tc>
        <w:tc>
          <w:tcPr>
            <w:tcW w:w="568"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其他结果</w:t>
            </w:r>
          </w:p>
        </w:tc>
        <w:tc>
          <w:tcPr>
            <w:tcW w:w="568"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尚未审结</w:t>
            </w:r>
          </w:p>
        </w:tc>
        <w:tc>
          <w:tcPr>
            <w:tcW w:w="568" w:type="dxa"/>
            <w:vMerge w:val="restart"/>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总计</w:t>
            </w:r>
          </w:p>
        </w:tc>
        <w:tc>
          <w:tcPr>
            <w:tcW w:w="2840" w:type="dxa"/>
            <w:gridSpan w:val="5"/>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未经复议直接起诉</w:t>
            </w:r>
          </w:p>
        </w:tc>
        <w:tc>
          <w:tcPr>
            <w:tcW w:w="2842" w:type="dxa"/>
            <w:gridSpan w:val="5"/>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28" w:hRule="atLeast"/>
        </w:trPr>
        <w:tc>
          <w:tcPr>
            <w:tcW w:w="568" w:type="dxa"/>
            <w:vMerge w:val="continue"/>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p>
        </w:tc>
        <w:tc>
          <w:tcPr>
            <w:tcW w:w="568" w:type="dxa"/>
            <w:vMerge w:val="continue"/>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p>
        </w:tc>
        <w:tc>
          <w:tcPr>
            <w:tcW w:w="568" w:type="dxa"/>
            <w:vMerge w:val="continue"/>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p>
        </w:tc>
        <w:tc>
          <w:tcPr>
            <w:tcW w:w="568" w:type="dxa"/>
            <w:vMerge w:val="continue"/>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p>
        </w:tc>
        <w:tc>
          <w:tcPr>
            <w:tcW w:w="568" w:type="dxa"/>
            <w:vMerge w:val="continue"/>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结果维持</w:t>
            </w: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结果纠正</w:t>
            </w: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其他结果</w:t>
            </w: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尚未审结</w:t>
            </w: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总计</w:t>
            </w: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结果维持</w:t>
            </w: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结果纠正</w:t>
            </w:r>
          </w:p>
        </w:tc>
        <w:tc>
          <w:tcPr>
            <w:tcW w:w="568"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其他结果</w:t>
            </w:r>
          </w:p>
        </w:tc>
        <w:tc>
          <w:tcPr>
            <w:tcW w:w="569"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尚未审结</w:t>
            </w:r>
          </w:p>
        </w:tc>
        <w:tc>
          <w:tcPr>
            <w:tcW w:w="569" w:type="dxa"/>
            <w:noWrap w:val="0"/>
            <w:vAlign w:val="center"/>
          </w:tcPr>
          <w:p>
            <w:pPr>
              <w:keepNext w:val="0"/>
              <w:keepLines w:val="0"/>
              <w:widowControl/>
              <w:suppressLineNumbers w:val="0"/>
              <w:jc w:val="center"/>
              <w:textAlignment w:val="center"/>
              <w:rPr>
                <w:rFonts w:hint="eastAsia"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377" w:hRule="atLeast"/>
        </w:trPr>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8"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9"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c>
          <w:tcPr>
            <w:tcW w:w="569" w:type="dxa"/>
            <w:noWrap w:val="0"/>
            <w:vAlign w:val="center"/>
          </w:tcPr>
          <w:p>
            <w:pPr>
              <w:keepNext w:val="0"/>
              <w:keepLines w:val="0"/>
              <w:widowControl/>
              <w:suppressLineNumbers w:val="0"/>
              <w:jc w:val="center"/>
              <w:textAlignment w:val="center"/>
              <w:rPr>
                <w:rFonts w:hint="default" w:ascii="宋体" w:hAnsi="宋体" w:eastAsia="宋体" w:cs="宋体"/>
                <w:b/>
                <w:i w:val="0"/>
                <w:color w:val="333333"/>
                <w:kern w:val="0"/>
                <w:sz w:val="18"/>
                <w:szCs w:val="18"/>
                <w:u w:val="none"/>
                <w:lang w:val="en-US" w:eastAsia="zh-CN" w:bidi="ar"/>
              </w:rPr>
            </w:pPr>
            <w:r>
              <w:rPr>
                <w:rFonts w:hint="eastAsia" w:ascii="宋体" w:hAnsi="宋体" w:cs="宋体"/>
                <w:b/>
                <w:i w:val="0"/>
                <w:color w:val="333333"/>
                <w:kern w:val="0"/>
                <w:sz w:val="18"/>
                <w:szCs w:val="18"/>
                <w:u w:val="none"/>
                <w:lang w:val="en-US" w:eastAsia="zh-CN" w:bidi="ar"/>
              </w:rPr>
              <w:t>0</w:t>
            </w:r>
          </w:p>
        </w:tc>
      </w:tr>
    </w:tbl>
    <w:p>
      <w:pPr>
        <w:keepNext w:val="0"/>
        <w:keepLines w:val="0"/>
        <w:widowControl/>
        <w:suppressLineNumbers w:val="0"/>
        <w:ind w:firstLine="640" w:firstLineChars="200"/>
        <w:jc w:val="left"/>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t>五、存在的主要问题及改进情况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45" w:beforeAutospacing="0" w:after="0" w:afterAutospacing="0" w:line="450" w:lineRule="atLeast"/>
        <w:ind w:right="0" w:rightChars="0" w:firstLine="640" w:firstLineChars="200"/>
        <w:jc w:val="both"/>
        <w:rPr>
          <w:rFonts w:hint="default" w:ascii="仿宋_gb2312" w:hAnsi="仿宋_gb2312" w:eastAsia="仿宋_gb2312" w:cs="仿宋_gb2312"/>
          <w:i w:val="0"/>
          <w:caps w:val="0"/>
          <w:color w:val="333333"/>
          <w:spacing w:val="0"/>
          <w:kern w:val="0"/>
          <w:sz w:val="31"/>
          <w:szCs w:val="31"/>
          <w:lang w:val="en-US" w:eastAsia="zh-CN" w:bidi="ar"/>
        </w:rPr>
      </w:pPr>
      <w:r>
        <w:rPr>
          <w:rStyle w:val="6"/>
          <w:rFonts w:hint="eastAsia" w:ascii="仿宋_gb2312" w:hAnsi="仿宋_gb2312" w:eastAsia="仿宋_gb2312" w:cs="仿宋_gb2312"/>
          <w:b w:val="0"/>
          <w:bCs/>
          <w:i w:val="0"/>
          <w:caps w:val="0"/>
          <w:color w:val="333333"/>
          <w:spacing w:val="0"/>
          <w:sz w:val="32"/>
          <w:szCs w:val="32"/>
          <w:shd w:val="clear" w:color="auto" w:fill="FFFFFF"/>
          <w:lang w:val="en-US" w:eastAsia="zh-CN"/>
        </w:rPr>
        <w:t>2022年，市乡村振兴局紧紧围绕政务公开上级部署要求，工作虽然取得了一定的成绩，但仍存在一些问题和不足，主要表现在：政务信息公开内容有待进一步规范和完善；部分科室</w:t>
      </w:r>
      <w:r>
        <w:rPr>
          <w:rFonts w:hint="eastAsia" w:ascii="仿宋_gb2312" w:hAnsi="仿宋_gb2312" w:eastAsia="仿宋_gb2312" w:cs="仿宋_gb2312"/>
          <w:i w:val="0"/>
          <w:caps w:val="0"/>
          <w:color w:val="333333"/>
          <w:spacing w:val="0"/>
          <w:kern w:val="0"/>
          <w:sz w:val="31"/>
          <w:szCs w:val="31"/>
          <w:lang w:val="en-US" w:eastAsia="zh-CN" w:bidi="ar"/>
        </w:rPr>
        <w:t>对政务信息主动公开意识</w:t>
      </w:r>
      <w:r>
        <w:rPr>
          <w:rStyle w:val="6"/>
          <w:rFonts w:hint="eastAsia" w:ascii="仿宋_gb2312" w:hAnsi="仿宋_gb2312" w:eastAsia="仿宋_gb2312" w:cs="仿宋_gb2312"/>
          <w:b w:val="0"/>
          <w:bCs/>
          <w:i w:val="0"/>
          <w:caps w:val="0"/>
          <w:color w:val="333333"/>
          <w:spacing w:val="0"/>
          <w:sz w:val="32"/>
          <w:szCs w:val="32"/>
          <w:shd w:val="clear" w:color="auto" w:fill="FFFFFF"/>
          <w:lang w:val="en-US" w:eastAsia="zh-CN"/>
        </w:rPr>
        <w:t>有待加强；</w:t>
      </w:r>
      <w:r>
        <w:rPr>
          <w:rFonts w:hint="eastAsia" w:ascii="仿宋_gb2312" w:hAnsi="仿宋_gb2312" w:eastAsia="仿宋_gb2312" w:cs="仿宋_gb2312"/>
          <w:i w:val="0"/>
          <w:caps w:val="0"/>
          <w:color w:val="333333"/>
          <w:spacing w:val="0"/>
          <w:kern w:val="0"/>
          <w:sz w:val="31"/>
          <w:szCs w:val="31"/>
          <w:lang w:val="en-US" w:eastAsia="zh-CN" w:bidi="ar"/>
        </w:rPr>
        <w:t>政务信息公开创新水平有待提升。针对以上问题，我局将加强对政务公开工作的业务学习，着力提高工作人员的业务能力，规范和完善政务信息公开内容；加强科室沟通联系，不断提高干部职工对政务信息公开主动意识；进一步开阔信息视野，积极探索公开渠道，丰富形式，创新方法。</w:t>
      </w:r>
    </w:p>
    <w:p>
      <w:pPr>
        <w:keepNext w:val="0"/>
        <w:keepLines w:val="0"/>
        <w:widowControl/>
        <w:suppressLineNumbers w:val="0"/>
        <w:ind w:firstLine="640" w:firstLineChars="200"/>
        <w:jc w:val="left"/>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333333"/>
          <w:spacing w:val="0"/>
          <w:kern w:val="0"/>
          <w:sz w:val="32"/>
          <w:szCs w:val="32"/>
          <w:shd w:val="clear" w:color="auto" w:fill="FFFFFF"/>
          <w:lang w:val="en-US" w:eastAsia="zh-CN" w:bidi="ar"/>
        </w:rPr>
        <w:t xml:space="preserve">六、其他需要报告的事项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2022年度，本机关无收取信息处理费情况。</w:t>
      </w:r>
    </w:p>
    <w:p>
      <w:pPr>
        <w:keepNext w:val="0"/>
        <w:keepLines w:val="0"/>
        <w:widowControl/>
        <w:numPr>
          <w:ilvl w:val="0"/>
          <w:numId w:val="0"/>
        </w:numPr>
        <w:suppressLineNumbers w:val="0"/>
        <w:jc w:val="left"/>
        <w:rPr>
          <w:rFonts w:hint="eastAsia" w:ascii="方正楷体_GBK" w:hAnsi="方正楷体_GBK" w:eastAsia="方正楷体_GBK" w:cs="方正楷体_GBK"/>
          <w:i w:val="0"/>
          <w:caps w:val="0"/>
          <w:color w:val="333333"/>
          <w:spacing w:val="0"/>
          <w:kern w:val="0"/>
          <w:sz w:val="32"/>
          <w:szCs w:val="32"/>
          <w:shd w:val="clear" w:color="auto" w:fill="FFFFFF"/>
          <w:lang w:val="en-US" w:eastAsia="zh-CN" w:bidi="ar"/>
        </w:rPr>
      </w:pPr>
    </w:p>
    <w:p>
      <w:pPr>
        <w:keepNext w:val="0"/>
        <w:keepLines w:val="0"/>
        <w:widowControl/>
        <w:suppressLineNumbers w:val="0"/>
        <w:jc w:val="both"/>
        <w:rPr>
          <w:rFonts w:hint="eastAsia" w:ascii="方正小标宋简体" w:hAnsi="方正小标宋简体" w:eastAsia="方正小标宋简体" w:cs="方正小标宋简体"/>
          <w:b w:val="0"/>
          <w:bCs/>
          <w:i w:val="0"/>
          <w:caps w:val="0"/>
          <w:color w:val="333333"/>
          <w:spacing w:val="0"/>
          <w:kern w:val="0"/>
          <w:sz w:val="44"/>
          <w:szCs w:val="44"/>
          <w:shd w:val="clear" w:color="auto" w:fill="FFFFFF"/>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方正黑体_GBK">
    <w:altName w:val="微软雅黑"/>
    <w:panose1 w:val="02000000000000000000"/>
    <w:charset w:val="86"/>
    <w:family w:val="auto"/>
    <w:pitch w:val="default"/>
    <w:sig w:usb0="A00002BF" w:usb1="38CF7CFA" w:usb2="00082016" w:usb3="00000000" w:csb0="00040001" w:csb1="00000000"/>
  </w:font>
  <w:font w:name="方正楷体_GBK">
    <w:altName w:val="微软雅黑"/>
    <w:panose1 w:val="02000000000000000000"/>
    <w:charset w:val="86"/>
    <w:family w:val="auto"/>
    <w:pitch w:val="default"/>
    <w:sig w:usb0="A00002BF" w:usb1="38CF7CFA"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80F30"/>
    <w:multiLevelType w:val="singleLevel"/>
    <w:tmpl w:val="8FF80F30"/>
    <w:lvl w:ilvl="0" w:tentative="0">
      <w:start w:val="2"/>
      <w:numFmt w:val="chineseCounting"/>
      <w:suff w:val="nothing"/>
      <w:lvlText w:val="%1、"/>
      <w:lvlJc w:val="left"/>
      <w:rPr>
        <w:rFonts w:hint="eastAsia"/>
      </w:rPr>
    </w:lvl>
  </w:abstractNum>
  <w:abstractNum w:abstractNumId="1">
    <w:nsid w:val="EFE72D7A"/>
    <w:multiLevelType w:val="singleLevel"/>
    <w:tmpl w:val="EFE72D7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D3D1C"/>
    <w:rsid w:val="0AFAA921"/>
    <w:rsid w:val="25FD3D1C"/>
    <w:rsid w:val="2E3A429E"/>
    <w:rsid w:val="33FF5CC6"/>
    <w:rsid w:val="347F3A68"/>
    <w:rsid w:val="37C98128"/>
    <w:rsid w:val="3D66D99D"/>
    <w:rsid w:val="3FEA0651"/>
    <w:rsid w:val="5ABFC25A"/>
    <w:rsid w:val="5DEE6F66"/>
    <w:rsid w:val="5F7D2B75"/>
    <w:rsid w:val="5FC7E540"/>
    <w:rsid w:val="63393106"/>
    <w:rsid w:val="77AB806F"/>
    <w:rsid w:val="77EEEE97"/>
    <w:rsid w:val="77F88EC8"/>
    <w:rsid w:val="7BFB3EC7"/>
    <w:rsid w:val="7DE54A81"/>
    <w:rsid w:val="7F5FBF9D"/>
    <w:rsid w:val="7F7F38AF"/>
    <w:rsid w:val="7FDA08BB"/>
    <w:rsid w:val="7FE65773"/>
    <w:rsid w:val="7FFD9467"/>
    <w:rsid w:val="7FFDBA8C"/>
    <w:rsid w:val="7FFF61D7"/>
    <w:rsid w:val="93790C80"/>
    <w:rsid w:val="9F7DD147"/>
    <w:rsid w:val="9FD3E7C1"/>
    <w:rsid w:val="BBF3FCF1"/>
    <w:rsid w:val="BF9E919A"/>
    <w:rsid w:val="BFFFD6C2"/>
    <w:rsid w:val="CFE1427C"/>
    <w:rsid w:val="D5E607D9"/>
    <w:rsid w:val="DDED3FBE"/>
    <w:rsid w:val="DEE92DFB"/>
    <w:rsid w:val="DFFBD247"/>
    <w:rsid w:val="EFFFD0BC"/>
    <w:rsid w:val="FADBF576"/>
    <w:rsid w:val="FDFF1791"/>
    <w:rsid w:val="FEEA76CB"/>
    <w:rsid w:val="FEEDBE14"/>
    <w:rsid w:val="FEEFEEBE"/>
    <w:rsid w:val="FF3B90EA"/>
    <w:rsid w:val="FF3F2C51"/>
    <w:rsid w:val="FFAF7E3B"/>
    <w:rsid w:val="FFEA74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2246</Words>
  <Characters>2299</Characters>
  <Lines>0</Lines>
  <Paragraphs>0</Paragraphs>
  <TotalTime>16</TotalTime>
  <ScaleCrop>false</ScaleCrop>
  <LinksUpToDate>false</LinksUpToDate>
  <CharactersWithSpaces>2304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2021-11-19T22:47:00Z</dcterms:created>
  <dc:creator>user</dc:creator>
  <cp:lastModifiedBy>廖强</cp:lastModifiedBy>
  <dcterms:modified xsi:type="dcterms:W3CDTF">2023-01-13T14:13:07Z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F98CBA14348D4B20AABE15A87F984DB2</vt:lpwstr>
  </property>
</Properties>
</file>