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52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52"/>
          <w:lang w:eastAsia="zh-CN"/>
        </w:rPr>
        <w:t>宜春市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52"/>
          <w:lang w:eastAsia="zh-CN"/>
        </w:rPr>
        <w:t>统计局</w:t>
      </w:r>
      <w:r>
        <w:rPr>
          <w:rFonts w:hint="eastAsia" w:ascii="方正大标宋简体" w:hAnsi="方正大标宋简体" w:eastAsia="方正大标宋简体" w:cs="方正大标宋简体"/>
          <w:sz w:val="44"/>
          <w:szCs w:val="52"/>
        </w:rPr>
        <w:t>202</w:t>
      </w:r>
      <w:r>
        <w:rPr>
          <w:rFonts w:hint="eastAsia" w:ascii="方正大标宋简体" w:hAnsi="方正大标宋简体" w:eastAsia="方正大标宋简体" w:cs="方正大标宋简体"/>
          <w:sz w:val="44"/>
          <w:szCs w:val="52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sz w:val="44"/>
          <w:szCs w:val="52"/>
        </w:rPr>
        <w:t>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52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52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年度报告由宜春市统计局根据《中华人民共和国政府信息公开条例》以及《中华人民共和国政府信息公开工作年度报告格式》要求编制而成。报告中所列数据的统计期限为2023年1月1日至2023年12月31日。如对本报告有任何疑问,请与宜春市统计局（地址：宜春市宜阳大厦中座823室，邮编：336000，电话：0795-3274972）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年，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宜春市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统计局坚持以习近平新时代中国特色社会主义思想为指导，深入学习宣传贯彻党的二十大精神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和习近平总书记考察江西重要讲话精神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认真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贯彻落实《202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宜春市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政务公开工作要点》和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政府关于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政务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公开工作的要求，以提升政府信息公开工作水平为抓手，进一步健全完善信息公开工作机制，强化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统计政策和数据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解读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主动回应社会关切，着力提升统计服务，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推动统计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工作取得新成效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40"/>
          <w:lang w:val="en-US" w:eastAsia="zh-CN" w:bidi="ar"/>
        </w:rPr>
        <w:t>做好重点领域信息发布。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充分发挥统计数据服务经济社会高质量发展的关键作用，切实抓好统计快讯、月度数据、年度数据、统计分析、统计公报和统计年鉴等“重点领域信息公开”栏目信息发布，共发布（含转载）信息59篇次。采取“走出去，请进来”新模式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积极宣传全市经济社会发展成就和统计改革、普查调查以及统计法律法规，</w:t>
      </w:r>
      <w:r>
        <w:rPr>
          <w:rFonts w:hint="eastAsia" w:ascii="仿宋_GB2312" w:hAnsi="仿宋_GB2312" w:eastAsia="仿宋_GB2312" w:cs="仿宋_GB2312"/>
          <w:sz w:val="32"/>
          <w:szCs w:val="40"/>
        </w:rPr>
        <w:t>充分展现统计部门与时俱进、创新发展、公开透明的良好形象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  <w:t>“集成化”打造统计产品。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线上，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充分运用局政务信息公开平台和政务新媒体，以短平快形式发布各类统计数据，解读经济运行态势推动《宜春统计年鉴》上网查询，为社会公众提供权威统计资料。线下，通过制作展板、海报、告知书、提要本、年鉴等，以图文并茂的形式宣传宜春经济社会及统计工作发展成效，不断提升统计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丰富五经普解读形式。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丰富拓展政策解读形式，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综合多种方式开展解读，增加解读趣味性和易懂性，不断提升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政策解读实效。为做好第五次全国经济普查，提升普查宣传效果，开展了文字解读、图文图表、视频动漫、负责人解读、现场解读和新闻发布会等6种形式的解读。先后组织开展政府系统“固定开放月”、第十四届“中国统计开放日”、五经普宣传月等活动，扩大普查影响，营造支持普查、配合普查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严格按照政府信息依申请公开各项规定，坚持以公开为常态、不公开为例外，大力提升依申请公开工作质量，依法保障公众合理信息需求。进一步规范了依申请公开办理程序，加强督办催办力度，确保件件有落实。</w:t>
      </w:r>
      <w:r>
        <w:rPr>
          <w:rFonts w:hint="eastAsia" w:ascii="仿宋_GB2312" w:hAnsi="仿宋_GB2312" w:eastAsia="仿宋_GB2312" w:cs="仿宋_GB2312"/>
          <w:sz w:val="32"/>
          <w:szCs w:val="40"/>
        </w:rPr>
        <w:t>严格落实回复期限，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基本上做到</w:t>
      </w:r>
      <w:r>
        <w:rPr>
          <w:rFonts w:hint="eastAsia" w:ascii="仿宋_GB2312" w:hAnsi="仿宋_GB2312" w:eastAsia="仿宋_GB2312" w:cs="仿宋_GB2312"/>
          <w:sz w:val="32"/>
          <w:szCs w:val="40"/>
        </w:rPr>
        <w:t>在5个工作日内答复，简易事项在3日内办结答复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甚至当日答复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全年共收到依申请公开件28件，均做到了按时回复，回复率100%，无一发生行政复议或行政诉讼等事件。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2" w:firstLineChars="200"/>
        <w:jc w:val="both"/>
        <w:textAlignment w:val="auto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严格落实网络意识形态责任制和网络安全责任制，坚持做好信息公开和保密审核工作，所有拟发布信息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信息发布审核制度要求，均需填写政府信息发布审核登记表，按照供稿科室负责人初审、科室分管领导二审、政务公开分管领导复审、主要领导终审的流程进行。各级审核人员对信息内容层层把关，并提出是否公开意见，最后由专人根据审核意见进行发布，有效提高信息质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2" w:firstLineChars="200"/>
        <w:jc w:val="both"/>
        <w:textAlignment w:val="auto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坚持用数据说话，用数据服务。深化创新意识，深入挖掘统计产品价值，新增“统计年鉴”栏目，进一步丰富</w:t>
      </w:r>
      <w:r>
        <w:rPr>
          <w:rFonts w:hint="eastAsia" w:ascii="仿宋_GB2312" w:hAnsi="仿宋_GB2312" w:eastAsia="仿宋_GB2312" w:cs="仿宋_GB2312"/>
          <w:sz w:val="32"/>
          <w:szCs w:val="40"/>
        </w:rPr>
        <w:t>“重点领域信息公开”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内容，</w:t>
      </w:r>
      <w:r>
        <w:rPr>
          <w:rFonts w:hint="eastAsia" w:ascii="仿宋_GB2312" w:hAnsi="仿宋_GB2312" w:eastAsia="仿宋_GB2312" w:cs="仿宋_GB2312"/>
          <w:sz w:val="32"/>
          <w:szCs w:val="40"/>
        </w:rPr>
        <w:t>及时发布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相</w:t>
      </w:r>
      <w:r>
        <w:rPr>
          <w:rFonts w:hint="eastAsia" w:ascii="仿宋_GB2312" w:hAnsi="仿宋_GB2312" w:eastAsia="仿宋_GB2312" w:cs="仿宋_GB2312"/>
          <w:sz w:val="32"/>
          <w:szCs w:val="40"/>
        </w:rPr>
        <w:t>关统计数据及解读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更好服务社会公众的需求。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同时，不断强化政府信息公开平台和政务新媒体安全防范，确保运行稳定安全。2023年，局政府信息公开平台发布统计信息495条，“宜春统计”政务新媒体发布统计信息259条。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2" w:firstLineChars="200"/>
        <w:jc w:val="both"/>
        <w:textAlignment w:val="auto"/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局政务公开工作领导小组切实发挥统筹调度、研究部署、推动落实的职能作用，确保政务公开各项工作落实落地。编制发布《2022年宜春市统计局政府信息公开工作报告》，制定印发《宜春市统计局2023年政务公开工作要点》，全年未发生政务公开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CESI黑体-GB2312" w:hAnsi="CESI黑体-GB2312" w:eastAsia="CESI黑体-GB2312" w:cs="CESI黑体-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二、</w:t>
      </w:r>
      <w:r>
        <w:rPr>
          <w:rFonts w:ascii="CESI黑体-GB2312" w:hAnsi="CESI黑体-GB2312" w:eastAsia="CESI黑体-GB2312" w:cs="CESI黑体-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主动公开政府信息情况</w:t>
      </w:r>
    </w:p>
    <w:tbl>
      <w:tblPr>
        <w:tblW w:w="85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2026"/>
        <w:gridCol w:w="2143"/>
        <w:gridCol w:w="2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1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05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规范性文件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2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6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2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2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6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2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黑体-GB2312" w:hAnsi="CESI黑体-GB2312" w:eastAsia="CESI黑体-GB2312" w:cs="CESI黑体-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CESI黑体-GB2312" w:hAnsi="CESI黑体-GB2312" w:eastAsia="CESI黑体-GB2312" w:cs="CESI黑体-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</w:t>
      </w:r>
      <w:r>
        <w:rPr>
          <w:rFonts w:hint="eastAsia" w:ascii="CESI黑体-GB2312" w:hAnsi="CESI黑体-GB2312" w:eastAsia="CESI黑体-GB2312" w:cs="CESI黑体-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收到和处理政府信息公开申请情况</w:t>
      </w:r>
    </w:p>
    <w:tbl>
      <w:tblPr>
        <w:tblW w:w="99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29"/>
        <w:gridCol w:w="2414"/>
        <w:gridCol w:w="829"/>
        <w:gridCol w:w="743"/>
        <w:gridCol w:w="700"/>
        <w:gridCol w:w="771"/>
        <w:gridCol w:w="772"/>
        <w:gridCol w:w="800"/>
        <w:gridCol w:w="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52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38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2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78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2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商业企业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科研机构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52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2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2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tbl>
      <w:tblPr>
        <w:tblStyle w:val="6"/>
        <w:tblpPr w:leftFromText="180" w:rightFromText="180" w:vertAnchor="text" w:horzAnchor="page" w:tblpX="1848" w:tblpY="600"/>
        <w:tblOverlap w:val="never"/>
        <w:tblW w:w="9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785"/>
        <w:gridCol w:w="600"/>
        <w:gridCol w:w="600"/>
        <w:gridCol w:w="585"/>
        <w:gridCol w:w="570"/>
        <w:gridCol w:w="720"/>
        <w:gridCol w:w="675"/>
        <w:gridCol w:w="615"/>
        <w:gridCol w:w="555"/>
        <w:gridCol w:w="55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624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CESI黑体-GB2312" w:hAnsi="CESI黑体-GB2312" w:eastAsia="CESI黑体-GB2312" w:cs="CESI黑体-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CESI黑体-GB2312" w:hAnsi="CESI黑体-GB2312" w:eastAsia="CESI黑体-GB2312" w:cs="CESI黑体-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2023年，宜春市统计局政府信息公开工作虽取得一定成效，但面对社会公众对统计信息的多样化需求，还存在信息公开不够全面及时，数据解读的针对性有待提高等问题。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，我局将进一步抓实抓细政务信息公开工作，重点做好以下几方面：一是稳妥有序开展数据发布解读，全面客观反映全市经济社会发展态势；二是加强政府信息公开平台和政务新媒体的建设和管理，多角度丰富解读形式，注重运用图表、动画等方式，提升信息的可读性；三是加强政府信息公开知识的培训，强化队伍能力建设，提升工作能力，确保政务公开工作规范有序，推动统计服务水平更上新台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CESI黑体-GB2312" w:hAnsi="CESI黑体-GB2312" w:eastAsia="CESI黑体-GB2312" w:cs="CESI黑体-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2023年度，我局无收取信息处理费的情况。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2E74B45"/>
    <w:rsid w:val="367D1248"/>
    <w:rsid w:val="5FFD10FF"/>
    <w:rsid w:val="65EF841D"/>
    <w:rsid w:val="732BECB5"/>
    <w:rsid w:val="775F37CC"/>
    <w:rsid w:val="7CE858A1"/>
    <w:rsid w:val="7D6BBE8E"/>
    <w:rsid w:val="7FBB61D1"/>
    <w:rsid w:val="B2E74B45"/>
    <w:rsid w:val="BFDFAD19"/>
    <w:rsid w:val="D7FF539E"/>
    <w:rsid w:val="E7FEC114"/>
    <w:rsid w:val="E7FF2BE0"/>
    <w:rsid w:val="EFBF33CE"/>
    <w:rsid w:val="FFBEE45C"/>
    <w:rsid w:val="FFFCD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2024-01-12T09:52:00Z</dcterms:created>
  <dc:creator>user</dc:creator>
  <cp:lastModifiedBy>user</cp:lastModifiedBy>
  <cp:lastPrinted>2024-01-12T17:14:00Z</cp:lastPrinted>
  <dcterms:modified xsi:type="dcterms:W3CDTF">2024-01-18T09:11:34Z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08EB17B6D79C8ACEEA499F65C3A357B8</vt:lpwstr>
  </property>
</Properties>
</file>