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spacing w:line="560" w:lineRule="exact"/>
        <w:jc w:val="both"/>
        <w:rPr>
          <w:rFonts w:hint="eastAsia" w:ascii="方正小标宋简体" w:hAnsi="Times New Roman" w:eastAsia="方正小标宋简体"/>
          <w:sz w:val="42"/>
          <w:szCs w:val="42"/>
        </w:rPr>
      </w:pPr>
      <w:bookmarkStart w:id="0" w:name="_GoBack"/>
      <w:r>
        <w:rPr>
          <w:rFonts w:hint="eastAsia" w:ascii="方正小标宋简体" w:hAnsi="Times New Roman" w:eastAsia="方正小标宋简体"/>
          <w:sz w:val="42"/>
          <w:szCs w:val="42"/>
        </w:rPr>
        <w:t>衔接国务院、省政府取消的行政许可等事项目录</w:t>
      </w:r>
    </w:p>
    <w:bookmarkEnd w:id="0"/>
    <w:p>
      <w:pPr>
        <w:spacing w:line="560" w:lineRule="exact"/>
        <w:jc w:val="center"/>
        <w:rPr>
          <w:rFonts w:hint="eastAsia" w:ascii="楷体_GB2312" w:hAnsi="Times New Roman" w:eastAsia="楷体_GB2312"/>
          <w:sz w:val="32"/>
          <w:szCs w:val="32"/>
        </w:rPr>
      </w:pPr>
      <w:r>
        <w:rPr>
          <w:rFonts w:hint="eastAsia" w:ascii="楷体_GB2312" w:hAnsi="Times New Roman" w:eastAsia="楷体_GB2312"/>
          <w:sz w:val="32"/>
          <w:szCs w:val="32"/>
        </w:rPr>
        <w:t>（共</w:t>
      </w:r>
      <w:r>
        <w:rPr>
          <w:rFonts w:ascii="Times New Roman" w:hAnsi="Times New Roman" w:eastAsia="楷体_GB2312"/>
          <w:sz w:val="32"/>
          <w:szCs w:val="32"/>
        </w:rPr>
        <w:t>5</w:t>
      </w:r>
      <w:r>
        <w:rPr>
          <w:rFonts w:hint="eastAsia" w:ascii="楷体_GB2312" w:hAnsi="Times New Roman" w:eastAsia="楷体_GB2312"/>
          <w:sz w:val="32"/>
          <w:szCs w:val="32"/>
        </w:rPr>
        <w:t>项）</w:t>
      </w:r>
    </w:p>
    <w:tbl>
      <w:tblPr>
        <w:tblStyle w:val="3"/>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956"/>
        <w:gridCol w:w="696"/>
        <w:gridCol w:w="1325"/>
        <w:gridCol w:w="669"/>
        <w:gridCol w:w="3806"/>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71"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序号</w:t>
            </w:r>
          </w:p>
        </w:tc>
        <w:tc>
          <w:tcPr>
            <w:tcW w:w="956" w:type="dxa"/>
            <w:noWrap w:val="0"/>
            <w:vAlign w:val="center"/>
          </w:tcPr>
          <w:p>
            <w:pPr>
              <w:widowControl/>
              <w:spacing w:line="240" w:lineRule="exact"/>
              <w:jc w:val="center"/>
              <w:rPr>
                <w:rFonts w:hint="eastAsia" w:ascii="Times New Roman" w:hAnsi="黑体" w:eastAsia="黑体"/>
                <w:color w:val="000000"/>
                <w:szCs w:val="21"/>
              </w:rPr>
            </w:pPr>
            <w:r>
              <w:rPr>
                <w:rFonts w:ascii="Times New Roman" w:hAnsi="黑体" w:eastAsia="黑体"/>
                <w:color w:val="000000"/>
                <w:szCs w:val="21"/>
              </w:rPr>
              <w:t>项目</w:t>
            </w:r>
          </w:p>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名称</w:t>
            </w:r>
          </w:p>
        </w:tc>
        <w:tc>
          <w:tcPr>
            <w:tcW w:w="696"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审批部门</w:t>
            </w:r>
          </w:p>
        </w:tc>
        <w:tc>
          <w:tcPr>
            <w:tcW w:w="1325"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设定依据</w:t>
            </w:r>
          </w:p>
        </w:tc>
        <w:tc>
          <w:tcPr>
            <w:tcW w:w="669"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监管部门</w:t>
            </w:r>
          </w:p>
        </w:tc>
        <w:tc>
          <w:tcPr>
            <w:tcW w:w="3806"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加强事中事后监管措施</w:t>
            </w:r>
          </w:p>
        </w:tc>
        <w:tc>
          <w:tcPr>
            <w:tcW w:w="1059" w:type="dxa"/>
            <w:noWrap w:val="0"/>
            <w:vAlign w:val="center"/>
          </w:tcPr>
          <w:p>
            <w:pPr>
              <w:widowControl/>
              <w:spacing w:line="240" w:lineRule="exact"/>
              <w:jc w:val="center"/>
              <w:rPr>
                <w:rFonts w:ascii="Times New Roman" w:hAnsi="Times New Roman" w:eastAsia="黑体"/>
                <w:color w:val="000000"/>
                <w:szCs w:val="21"/>
              </w:rPr>
            </w:pPr>
            <w:r>
              <w:rPr>
                <w:rFonts w:ascii="Times New Roman" w:hAnsi="黑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7" w:hRule="atLeast"/>
          <w:jc w:val="center"/>
        </w:trPr>
        <w:tc>
          <w:tcPr>
            <w:tcW w:w="571" w:type="dxa"/>
            <w:noWrap w:val="0"/>
            <w:vAlign w:val="center"/>
          </w:tcPr>
          <w:p>
            <w:pPr>
              <w:widowControl/>
              <w:spacing w:line="240" w:lineRule="exact"/>
              <w:jc w:val="center"/>
              <w:rPr>
                <w:rFonts w:ascii="Times New Roman" w:hAnsi="Times New Roman" w:eastAsia="仿宋_GB2312"/>
                <w:color w:val="000000"/>
                <w:sz w:val="22"/>
                <w:szCs w:val="32"/>
              </w:rPr>
            </w:pPr>
            <w:r>
              <w:rPr>
                <w:rFonts w:ascii="Times New Roman" w:hAnsi="Times New Roman" w:eastAsia="仿宋_GB2312"/>
                <w:color w:val="000000"/>
                <w:sz w:val="22"/>
                <w:szCs w:val="32"/>
              </w:rPr>
              <w:t>1</w:t>
            </w:r>
          </w:p>
        </w:tc>
        <w:tc>
          <w:tcPr>
            <w:tcW w:w="956" w:type="dxa"/>
            <w:noWrap w:val="0"/>
            <w:vAlign w:val="center"/>
          </w:tcPr>
          <w:p>
            <w:pPr>
              <w:widowControl/>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台港澳人员在内地就业许可</w:t>
            </w:r>
          </w:p>
        </w:tc>
        <w:tc>
          <w:tcPr>
            <w:tcW w:w="696" w:type="dxa"/>
            <w:noWrap w:val="0"/>
            <w:vAlign w:val="center"/>
          </w:tcPr>
          <w:p>
            <w:pPr>
              <w:widowControl/>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市人社局</w:t>
            </w:r>
          </w:p>
        </w:tc>
        <w:tc>
          <w:tcPr>
            <w:tcW w:w="1325" w:type="dxa"/>
            <w:noWrap w:val="0"/>
            <w:vAlign w:val="center"/>
          </w:tcPr>
          <w:p>
            <w:pPr>
              <w:widowControl/>
              <w:spacing w:line="240" w:lineRule="exact"/>
              <w:jc w:val="left"/>
              <w:rPr>
                <w:rFonts w:ascii="Times New Roman" w:hAnsi="Times New Roman" w:eastAsia="仿宋_GB2312"/>
                <w:color w:val="000000"/>
                <w:sz w:val="32"/>
              </w:rPr>
            </w:pPr>
            <w:r>
              <w:rPr>
                <w:rFonts w:ascii="Times New Roman" w:hAnsi="Times New Roman" w:eastAsia="仿宋_GB2312"/>
                <w:color w:val="000000"/>
                <w:sz w:val="20"/>
                <w:szCs w:val="20"/>
              </w:rPr>
              <w:t>《国务院对确需保留的行政审批项目设定行政许可的决定》（国务院令第412号）、《国务院关于第六批取消和调整行政审批项目的决定》（国发〔2012〕52号）</w:t>
            </w:r>
          </w:p>
        </w:tc>
        <w:tc>
          <w:tcPr>
            <w:tcW w:w="669" w:type="dxa"/>
            <w:noWrap w:val="0"/>
            <w:vAlign w:val="center"/>
          </w:tcPr>
          <w:p>
            <w:pPr>
              <w:widowControl/>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市人社局</w:t>
            </w:r>
          </w:p>
        </w:tc>
        <w:tc>
          <w:tcPr>
            <w:tcW w:w="3806" w:type="dxa"/>
            <w:noWrap w:val="0"/>
            <w:vAlign w:val="center"/>
          </w:tcPr>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取消审批后，通过以下措施加强事中事后监管：</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1. 在内地(大陆)求职、就业的港澳台人员，可使用港澳台居民居住证、港澳居民来往内地通行证、台湾居民来往大陆通行证等有效身份证件办理人力资源社会保障各项业务。</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2. 在内地(大陆)求职、就业的港澳台人员，以工商营业执照、劳动合同(聘用合同)、工资支付凭证或社会保险缴费记录等作为其在内地(大陆)就业的证明材料。</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3. 人社部门将把港澳台人员纳入当地就业创业管理服务体系，参照内地(大陆)劳动者对其进行就业登记和失业登记，为有在内地(大陆)就业创业意愿的人员提供政策咨询、职业介绍、开业指导、创业孵化等服务。</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4. 在内地(大陆)就业的港澳台人员，依法享有各项劳动保障权益。与用人单位发生劳动人事争议或者合法劳动权益被侵害的，依照国家有关劳动人事争议处理</w:t>
            </w:r>
            <w:r>
              <w:rPr>
                <w:rFonts w:hint="eastAsia" w:ascii="Times New Roman" w:hAnsi="Times New Roman" w:eastAsia="仿宋_GB2312"/>
                <w:color w:val="000000"/>
                <w:sz w:val="20"/>
                <w:szCs w:val="20"/>
              </w:rPr>
              <w:t>、</w:t>
            </w:r>
            <w:r>
              <w:rPr>
                <w:rFonts w:ascii="Times New Roman" w:hAnsi="Times New Roman" w:eastAsia="仿宋_GB2312"/>
                <w:color w:val="000000"/>
                <w:sz w:val="20"/>
                <w:szCs w:val="20"/>
              </w:rPr>
              <w:t>劳动保障监察的规定处理。</w:t>
            </w:r>
          </w:p>
        </w:tc>
        <w:tc>
          <w:tcPr>
            <w:tcW w:w="1059" w:type="dxa"/>
            <w:noWrap w:val="0"/>
            <w:vAlign w:val="center"/>
          </w:tcPr>
          <w:p>
            <w:pPr>
              <w:widowControl/>
              <w:spacing w:line="240" w:lineRule="exact"/>
              <w:jc w:val="left"/>
              <w:rPr>
                <w:rFonts w:ascii="Times New Roman"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571" w:type="dxa"/>
            <w:noWrap w:val="0"/>
            <w:vAlign w:val="center"/>
          </w:tcPr>
          <w:p>
            <w:pPr>
              <w:widowControl/>
              <w:spacing w:line="240" w:lineRule="exact"/>
              <w:jc w:val="center"/>
              <w:rPr>
                <w:rFonts w:ascii="Times New Roman" w:hAnsi="Times New Roman" w:eastAsia="仿宋_GB2312"/>
                <w:color w:val="000000"/>
                <w:sz w:val="22"/>
                <w:szCs w:val="32"/>
              </w:rPr>
            </w:pPr>
            <w:r>
              <w:rPr>
                <w:rFonts w:ascii="Times New Roman" w:hAnsi="Times New Roman" w:eastAsia="仿宋_GB2312"/>
                <w:color w:val="000000"/>
                <w:sz w:val="22"/>
                <w:szCs w:val="32"/>
              </w:rPr>
              <w:t>2</w:t>
            </w:r>
          </w:p>
        </w:tc>
        <w:tc>
          <w:tcPr>
            <w:tcW w:w="956" w:type="dxa"/>
            <w:noWrap w:val="0"/>
            <w:vAlign w:val="center"/>
          </w:tcPr>
          <w:p>
            <w:pPr>
              <w:widowControl/>
              <w:adjustRightInd w:val="0"/>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企业集团核准登记</w:t>
            </w:r>
          </w:p>
        </w:tc>
        <w:tc>
          <w:tcPr>
            <w:tcW w:w="696" w:type="dxa"/>
            <w:vMerge w:val="restart"/>
            <w:noWrap w:val="0"/>
            <w:vAlign w:val="center"/>
          </w:tcPr>
          <w:p>
            <w:pPr>
              <w:widowControl/>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市行政审批局</w:t>
            </w:r>
          </w:p>
        </w:tc>
        <w:tc>
          <w:tcPr>
            <w:tcW w:w="1325" w:type="dxa"/>
            <w:noWrap w:val="0"/>
            <w:vAlign w:val="center"/>
          </w:tcPr>
          <w:p>
            <w:pPr>
              <w:widowControl/>
              <w:spacing w:line="240" w:lineRule="exact"/>
              <w:jc w:val="left"/>
              <w:rPr>
                <w:rFonts w:ascii="Times New Roman" w:hAnsi="Times New Roman" w:eastAsia="仿宋_GB2312"/>
                <w:color w:val="000000"/>
                <w:sz w:val="32"/>
              </w:rPr>
            </w:pPr>
            <w:r>
              <w:rPr>
                <w:rFonts w:ascii="Times New Roman" w:hAnsi="Times New Roman" w:eastAsia="仿宋_GB2312"/>
                <w:color w:val="000000"/>
                <w:sz w:val="20"/>
                <w:szCs w:val="20"/>
              </w:rPr>
              <w:t>《中华人民共和国企业法人登记管理条例》</w:t>
            </w:r>
          </w:p>
        </w:tc>
        <w:tc>
          <w:tcPr>
            <w:tcW w:w="669" w:type="dxa"/>
            <w:vMerge w:val="restart"/>
            <w:noWrap w:val="0"/>
            <w:vAlign w:val="center"/>
          </w:tcPr>
          <w:p>
            <w:pPr>
              <w:widowControl/>
              <w:spacing w:line="240" w:lineRule="exact"/>
              <w:jc w:val="center"/>
              <w:rPr>
                <w:rFonts w:ascii="Times New Roman" w:hAnsi="Times New Roman" w:eastAsia="仿宋_GB2312"/>
                <w:color w:val="000000"/>
                <w:sz w:val="32"/>
              </w:rPr>
            </w:pPr>
            <w:r>
              <w:rPr>
                <w:rFonts w:ascii="Times New Roman" w:hAnsi="Times New Roman" w:eastAsia="仿宋_GB2312"/>
                <w:color w:val="000000"/>
                <w:sz w:val="20"/>
                <w:szCs w:val="20"/>
              </w:rPr>
              <w:t>市市监局</w:t>
            </w:r>
          </w:p>
        </w:tc>
        <w:tc>
          <w:tcPr>
            <w:tcW w:w="3806" w:type="dxa"/>
            <w:vMerge w:val="restart"/>
            <w:noWrap w:val="0"/>
            <w:vAlign w:val="center"/>
          </w:tcPr>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取消审批后，通过以下措施加强事中事后监管：</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1. 由登记机关负责推送相关企业信息，实现及时更新、及时共享。营业执照作废通过企业信用信息公示系统发公告解决。</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2. 按照“一网归集、三方使用”的总体要求，扎实推进国家企业信用信息公示系统的全面应用、科学管理。</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3. 通过督促企业年报，培养企业的年报和主体责任意识，提升企业年报的主动性，推动社会诚信体系建设</w:t>
            </w:r>
          </w:p>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4. 按照《江西省发展改革委等38部门关于贯彻落实&lt;失信企业协同监管和联合惩戒合作备忘录&gt;的通知》（赣发改财金〔2016〕1031号）的要求，深度融合线上线下监管，严格落实联合惩戒备忘录，认真梳理各部门联合惩戒措施清单，依托公示系统健全联合惩戒的发起、实施与反馈机制，形成失信企业名单公示、市场准入限制、任职资格限制、实施信用监管、反馈惩戒信息的完整闭环，推动实现对违法失信行为的有效治理。</w:t>
            </w:r>
          </w:p>
        </w:tc>
        <w:tc>
          <w:tcPr>
            <w:tcW w:w="1059" w:type="dxa"/>
            <w:noWrap w:val="0"/>
            <w:vAlign w:val="center"/>
          </w:tcPr>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将“企业、企业集团核准登记”调整为“企业核准登记”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571" w:type="dxa"/>
            <w:noWrap w:val="0"/>
            <w:vAlign w:val="center"/>
          </w:tcPr>
          <w:p>
            <w:pPr>
              <w:widowControl/>
              <w:spacing w:line="240" w:lineRule="exact"/>
              <w:jc w:val="center"/>
              <w:rPr>
                <w:rFonts w:ascii="Times New Roman" w:hAnsi="Times New Roman" w:eastAsia="仿宋_GB2312"/>
                <w:color w:val="000000"/>
                <w:sz w:val="22"/>
                <w:szCs w:val="32"/>
              </w:rPr>
            </w:pPr>
            <w:r>
              <w:rPr>
                <w:rFonts w:ascii="Times New Roman" w:hAnsi="Times New Roman" w:eastAsia="仿宋_GB2312"/>
                <w:color w:val="000000"/>
                <w:sz w:val="22"/>
                <w:szCs w:val="32"/>
              </w:rPr>
              <w:t>3</w:t>
            </w:r>
          </w:p>
        </w:tc>
        <w:tc>
          <w:tcPr>
            <w:tcW w:w="956" w:type="dxa"/>
            <w:tcBorders>
              <w:top w:val="single" w:color="auto" w:sz="6" w:space="0"/>
              <w:left w:val="nil"/>
              <w:bottom w:val="single" w:color="auto" w:sz="6" w:space="0"/>
              <w:right w:val="single" w:color="auto" w:sz="6" w:space="0"/>
            </w:tcBorders>
            <w:noWrap w:val="0"/>
            <w:vAlign w:val="center"/>
          </w:tcPr>
          <w:p>
            <w:pPr>
              <w:adjustRightInd w:val="0"/>
              <w:spacing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设立分公司备案</w:t>
            </w:r>
          </w:p>
        </w:tc>
        <w:tc>
          <w:tcPr>
            <w:tcW w:w="696" w:type="dxa"/>
            <w:vMerge w:val="continue"/>
            <w:noWrap w:val="0"/>
            <w:vAlign w:val="center"/>
          </w:tcPr>
          <w:p>
            <w:pPr>
              <w:spacing w:line="240" w:lineRule="exact"/>
              <w:jc w:val="center"/>
              <w:rPr>
                <w:rFonts w:ascii="Times New Roman" w:hAnsi="Times New Roman" w:eastAsia="仿宋_GB2312"/>
                <w:color w:val="000000"/>
                <w:sz w:val="32"/>
              </w:rPr>
            </w:pPr>
          </w:p>
        </w:tc>
        <w:tc>
          <w:tcPr>
            <w:tcW w:w="1325" w:type="dxa"/>
            <w:tcBorders>
              <w:top w:val="single" w:color="auto" w:sz="6" w:space="0"/>
              <w:left w:val="nil"/>
              <w:bottom w:val="single" w:color="auto" w:sz="6" w:space="0"/>
              <w:right w:val="single" w:color="auto" w:sz="6" w:space="0"/>
            </w:tcBorders>
            <w:noWrap w:val="0"/>
            <w:vAlign w:val="center"/>
          </w:tcPr>
          <w:p>
            <w:pPr>
              <w:spacing w:before="100" w:beforeAutospacing="1"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《中华人民共和国公司登记管理条例》</w:t>
            </w:r>
          </w:p>
        </w:tc>
        <w:tc>
          <w:tcPr>
            <w:tcW w:w="669" w:type="dxa"/>
            <w:vMerge w:val="continue"/>
            <w:noWrap w:val="0"/>
            <w:vAlign w:val="center"/>
          </w:tcPr>
          <w:p>
            <w:pPr>
              <w:spacing w:line="240" w:lineRule="exact"/>
              <w:jc w:val="center"/>
              <w:rPr>
                <w:rFonts w:ascii="Times New Roman" w:hAnsi="Times New Roman" w:eastAsia="仿宋_GB2312"/>
                <w:color w:val="000000"/>
                <w:sz w:val="32"/>
              </w:rPr>
            </w:pPr>
          </w:p>
        </w:tc>
        <w:tc>
          <w:tcPr>
            <w:tcW w:w="3806" w:type="dxa"/>
            <w:vMerge w:val="continue"/>
            <w:noWrap w:val="0"/>
            <w:vAlign w:val="center"/>
          </w:tcPr>
          <w:p>
            <w:pPr>
              <w:widowControl/>
              <w:spacing w:line="240" w:lineRule="exact"/>
              <w:ind w:firstLine="400" w:firstLineChars="200"/>
              <w:jc w:val="left"/>
              <w:rPr>
                <w:rFonts w:ascii="Times New Roman" w:hAnsi="Times New Roman" w:eastAsia="仿宋_GB2312"/>
                <w:color w:val="000000"/>
                <w:sz w:val="20"/>
                <w:szCs w:val="20"/>
              </w:rPr>
            </w:pPr>
          </w:p>
        </w:tc>
        <w:tc>
          <w:tcPr>
            <w:tcW w:w="1059" w:type="dxa"/>
            <w:noWrap w:val="0"/>
            <w:vAlign w:val="center"/>
          </w:tcPr>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属“对公司、企业相关活动的备案”子项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571" w:type="dxa"/>
            <w:noWrap w:val="0"/>
            <w:vAlign w:val="center"/>
          </w:tcPr>
          <w:p>
            <w:pPr>
              <w:widowControl/>
              <w:spacing w:line="240" w:lineRule="exact"/>
              <w:jc w:val="center"/>
              <w:rPr>
                <w:rFonts w:ascii="Times New Roman" w:hAnsi="Times New Roman" w:eastAsia="仿宋_GB2312"/>
                <w:color w:val="000000"/>
                <w:sz w:val="22"/>
                <w:szCs w:val="32"/>
              </w:rPr>
            </w:pPr>
            <w:r>
              <w:rPr>
                <w:rFonts w:ascii="Times New Roman" w:hAnsi="Times New Roman" w:eastAsia="仿宋_GB2312"/>
                <w:color w:val="000000"/>
                <w:sz w:val="22"/>
                <w:szCs w:val="32"/>
              </w:rPr>
              <w:t>4</w:t>
            </w:r>
          </w:p>
        </w:tc>
        <w:tc>
          <w:tcPr>
            <w:tcW w:w="956" w:type="dxa"/>
            <w:tcBorders>
              <w:top w:val="single" w:color="auto" w:sz="6" w:space="0"/>
              <w:left w:val="nil"/>
              <w:bottom w:val="single" w:color="auto" w:sz="6" w:space="0"/>
              <w:right w:val="single" w:color="auto" w:sz="6" w:space="0"/>
            </w:tcBorders>
            <w:noWrap w:val="0"/>
            <w:vAlign w:val="center"/>
          </w:tcPr>
          <w:p>
            <w:pPr>
              <w:adjustRightInd w:val="0"/>
              <w:spacing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外商投资合伙企业设立、变更、注销分支机构备案</w:t>
            </w:r>
          </w:p>
        </w:tc>
        <w:tc>
          <w:tcPr>
            <w:tcW w:w="696" w:type="dxa"/>
            <w:vMerge w:val="continue"/>
            <w:noWrap w:val="0"/>
            <w:vAlign w:val="center"/>
          </w:tcPr>
          <w:p>
            <w:pPr>
              <w:spacing w:line="240" w:lineRule="exact"/>
              <w:jc w:val="center"/>
              <w:rPr>
                <w:rFonts w:ascii="Times New Roman" w:hAnsi="Times New Roman" w:eastAsia="仿宋_GB2312"/>
                <w:color w:val="000000"/>
                <w:sz w:val="32"/>
              </w:rPr>
            </w:pPr>
          </w:p>
        </w:tc>
        <w:tc>
          <w:tcPr>
            <w:tcW w:w="1325" w:type="dxa"/>
            <w:tcBorders>
              <w:top w:val="single" w:color="auto" w:sz="6" w:space="0"/>
              <w:left w:val="nil"/>
              <w:bottom w:val="single" w:color="auto" w:sz="6" w:space="0"/>
              <w:right w:val="single" w:color="auto" w:sz="6" w:space="0"/>
            </w:tcBorders>
            <w:noWrap w:val="0"/>
            <w:vAlign w:val="center"/>
          </w:tcPr>
          <w:p>
            <w:pPr>
              <w:spacing w:before="100" w:beforeAutospacing="1"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《外商投资合伙企业登记管理规定》（原工商总局令2014年第63号）</w:t>
            </w:r>
          </w:p>
        </w:tc>
        <w:tc>
          <w:tcPr>
            <w:tcW w:w="669" w:type="dxa"/>
            <w:vMerge w:val="continue"/>
            <w:noWrap w:val="0"/>
            <w:vAlign w:val="center"/>
          </w:tcPr>
          <w:p>
            <w:pPr>
              <w:spacing w:line="240" w:lineRule="exact"/>
              <w:jc w:val="center"/>
              <w:rPr>
                <w:rFonts w:ascii="Times New Roman" w:hAnsi="Times New Roman" w:eastAsia="仿宋_GB2312"/>
                <w:color w:val="000000"/>
                <w:sz w:val="32"/>
              </w:rPr>
            </w:pPr>
          </w:p>
        </w:tc>
        <w:tc>
          <w:tcPr>
            <w:tcW w:w="3806" w:type="dxa"/>
            <w:vMerge w:val="continue"/>
            <w:noWrap w:val="0"/>
            <w:vAlign w:val="center"/>
          </w:tcPr>
          <w:p>
            <w:pPr>
              <w:widowControl/>
              <w:spacing w:line="240" w:lineRule="exact"/>
              <w:ind w:firstLine="400" w:firstLineChars="200"/>
              <w:jc w:val="left"/>
              <w:rPr>
                <w:rFonts w:ascii="Times New Roman" w:hAnsi="Times New Roman" w:eastAsia="仿宋_GB2312"/>
                <w:color w:val="000000"/>
                <w:sz w:val="20"/>
                <w:szCs w:val="20"/>
              </w:rPr>
            </w:pPr>
          </w:p>
        </w:tc>
        <w:tc>
          <w:tcPr>
            <w:tcW w:w="1059" w:type="dxa"/>
            <w:noWrap w:val="0"/>
            <w:vAlign w:val="center"/>
          </w:tcPr>
          <w:p>
            <w:pPr>
              <w:widowControl/>
              <w:spacing w:line="240" w:lineRule="exact"/>
              <w:jc w:val="left"/>
              <w:rPr>
                <w:rFonts w:ascii="Times New Roman" w:hAnsi="Times New Roman" w:eastAsia="仿宋_GB2312"/>
                <w:color w:val="000000"/>
                <w:sz w:val="20"/>
                <w:szCs w:val="20"/>
              </w:rPr>
            </w:pPr>
            <w:r>
              <w:rPr>
                <w:rFonts w:ascii="Times New Roman" w:hAnsi="Times New Roman" w:eastAsia="仿宋_GB2312"/>
                <w:color w:val="000000"/>
                <w:sz w:val="20"/>
                <w:szCs w:val="20"/>
              </w:rPr>
              <w:t>属“外商投资企业相关活动的备案”子项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571" w:type="dxa"/>
            <w:noWrap w:val="0"/>
            <w:vAlign w:val="center"/>
          </w:tcPr>
          <w:p>
            <w:pPr>
              <w:widowControl/>
              <w:spacing w:line="240" w:lineRule="exact"/>
              <w:jc w:val="center"/>
              <w:rPr>
                <w:rFonts w:ascii="Times New Roman" w:hAnsi="Times New Roman" w:eastAsia="仿宋_GB2312"/>
                <w:color w:val="000000"/>
                <w:sz w:val="22"/>
                <w:szCs w:val="32"/>
              </w:rPr>
            </w:pPr>
            <w:r>
              <w:rPr>
                <w:rFonts w:ascii="Times New Roman" w:hAnsi="Times New Roman" w:eastAsia="仿宋_GB2312"/>
                <w:color w:val="000000"/>
                <w:sz w:val="22"/>
                <w:szCs w:val="32"/>
              </w:rPr>
              <w:t>5</w:t>
            </w:r>
          </w:p>
        </w:tc>
        <w:tc>
          <w:tcPr>
            <w:tcW w:w="956" w:type="dxa"/>
            <w:tcBorders>
              <w:top w:val="single" w:color="auto" w:sz="6" w:space="0"/>
              <w:left w:val="nil"/>
              <w:bottom w:val="single" w:color="auto" w:sz="6" w:space="0"/>
              <w:right w:val="single" w:color="auto" w:sz="6" w:space="0"/>
            </w:tcBorders>
            <w:noWrap w:val="0"/>
            <w:vAlign w:val="center"/>
          </w:tcPr>
          <w:p>
            <w:pPr>
              <w:adjustRightInd w:val="0"/>
              <w:spacing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营业执照作废声明</w:t>
            </w:r>
          </w:p>
        </w:tc>
        <w:tc>
          <w:tcPr>
            <w:tcW w:w="696" w:type="dxa"/>
            <w:vMerge w:val="continue"/>
            <w:noWrap w:val="0"/>
            <w:vAlign w:val="center"/>
          </w:tcPr>
          <w:p>
            <w:pPr>
              <w:widowControl/>
              <w:spacing w:line="240" w:lineRule="exact"/>
              <w:jc w:val="center"/>
              <w:rPr>
                <w:rFonts w:ascii="Times New Roman" w:hAnsi="Times New Roman" w:eastAsia="仿宋_GB2312"/>
                <w:color w:val="000000"/>
                <w:sz w:val="32"/>
              </w:rPr>
            </w:pPr>
          </w:p>
        </w:tc>
        <w:tc>
          <w:tcPr>
            <w:tcW w:w="1325" w:type="dxa"/>
            <w:tcBorders>
              <w:top w:val="single" w:color="auto" w:sz="6" w:space="0"/>
              <w:left w:val="nil"/>
              <w:bottom w:val="single" w:color="auto" w:sz="6" w:space="0"/>
              <w:right w:val="single" w:color="auto" w:sz="6" w:space="0"/>
            </w:tcBorders>
            <w:noWrap w:val="0"/>
            <w:vAlign w:val="center"/>
          </w:tcPr>
          <w:p>
            <w:pPr>
              <w:spacing w:before="100" w:beforeAutospacing="1" w:line="240" w:lineRule="exact"/>
              <w:rPr>
                <w:rFonts w:ascii="Times New Roman" w:hAnsi="Times New Roman" w:eastAsia="仿宋_GB2312"/>
                <w:color w:val="000000"/>
                <w:sz w:val="20"/>
                <w:szCs w:val="20"/>
              </w:rPr>
            </w:pPr>
            <w:r>
              <w:rPr>
                <w:rFonts w:ascii="Times New Roman" w:hAnsi="Times New Roman" w:eastAsia="仿宋_GB2312"/>
                <w:color w:val="000000"/>
                <w:sz w:val="20"/>
                <w:szCs w:val="20"/>
              </w:rPr>
              <w:t>《中华人民共和国公司登记管理条例》</w:t>
            </w:r>
          </w:p>
        </w:tc>
        <w:tc>
          <w:tcPr>
            <w:tcW w:w="669" w:type="dxa"/>
            <w:vMerge w:val="continue"/>
            <w:noWrap w:val="0"/>
            <w:vAlign w:val="center"/>
          </w:tcPr>
          <w:p>
            <w:pPr>
              <w:widowControl/>
              <w:spacing w:line="240" w:lineRule="exact"/>
              <w:jc w:val="center"/>
              <w:rPr>
                <w:rFonts w:ascii="Times New Roman" w:hAnsi="Times New Roman" w:eastAsia="仿宋_GB2312"/>
                <w:color w:val="000000"/>
                <w:sz w:val="32"/>
              </w:rPr>
            </w:pPr>
          </w:p>
        </w:tc>
        <w:tc>
          <w:tcPr>
            <w:tcW w:w="3806" w:type="dxa"/>
            <w:vMerge w:val="continue"/>
            <w:noWrap w:val="0"/>
            <w:vAlign w:val="center"/>
          </w:tcPr>
          <w:p>
            <w:pPr>
              <w:widowControl/>
              <w:spacing w:line="240" w:lineRule="exact"/>
              <w:ind w:firstLine="400" w:firstLineChars="200"/>
              <w:jc w:val="left"/>
              <w:rPr>
                <w:rFonts w:ascii="Times New Roman" w:hAnsi="Times New Roman" w:eastAsia="仿宋_GB2312"/>
                <w:color w:val="000000"/>
                <w:sz w:val="20"/>
                <w:szCs w:val="20"/>
              </w:rPr>
            </w:pPr>
          </w:p>
        </w:tc>
        <w:tc>
          <w:tcPr>
            <w:tcW w:w="1059" w:type="dxa"/>
            <w:noWrap w:val="0"/>
            <w:vAlign w:val="center"/>
          </w:tcPr>
          <w:p>
            <w:pPr>
              <w:widowControl/>
              <w:spacing w:line="240" w:lineRule="exact"/>
              <w:jc w:val="left"/>
              <w:rPr>
                <w:rFonts w:ascii="Times New Roman" w:hAnsi="Times New Roman" w:eastAsia="仿宋_GB2312"/>
                <w:color w:val="000000"/>
                <w:sz w:val="20"/>
                <w:szCs w:val="20"/>
              </w:rPr>
            </w:pPr>
          </w:p>
        </w:tc>
      </w:tr>
    </w:tbl>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54D54"/>
    <w:rsid w:val="30454D54"/>
    <w:rsid w:val="36F2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2019-01-03T07:25:00Z</dcterms:created>
  <dc:creator>️</dc:creator>
  <cp:lastModifiedBy>️</cp:lastModifiedBy>
  <dcterms:modified xsi:type="dcterms:W3CDTF">2019-01-03T07:27:06Z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