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信访工作联席会议办公室经费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部门评价报告</w:t>
      </w:r>
    </w:p>
    <w:p>
      <w:pPr>
        <w:spacing w:line="240" w:lineRule="exact"/>
        <w:jc w:val="center"/>
        <w:rPr>
          <w:rFonts w:hint="eastAsia" w:ascii="楷体_GB2312" w:hAnsi="楷体_GB2312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before="480" w:after="120" w:line="400" w:lineRule="exact"/>
        <w:ind w:left="0" w:right="0" w:firstLine="636" w:firstLineChars="200"/>
        <w:jc w:val="both"/>
        <w:textAlignment w:val="auto"/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</w:pPr>
      <w:r>
        <w:rPr>
          <w:rFonts w:hint="default" w:ascii="FangSong_GB2312" w:hAnsi="FangSong_GB2312" w:eastAsia="FangSong_GB2312" w:cs="FangSong_GB2312"/>
          <w:color w:val="000000"/>
          <w:spacing w:val="-1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为深入贯彻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落</w:t>
      </w:r>
      <w:r>
        <w:rPr>
          <w:rFonts w:hint="default" w:ascii="FangSong_GB2312" w:hAnsi="FangSong_GB2312" w:eastAsia="FangSong_GB2312" w:cs="FangSong_GB2312"/>
          <w:color w:val="000000"/>
          <w:spacing w:val="-57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实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《中共宜春市委 宜春市人民政府印发&lt;关于</w:t>
      </w:r>
    </w:p>
    <w:p>
      <w:pPr>
        <w:widowControl/>
        <w:tabs>
          <w:tab w:val="left" w:pos="2640"/>
          <w:tab w:val="left" w:pos="5760"/>
        </w:tabs>
        <w:spacing w:before="100" w:beforeAutospacing="1" w:after="100" w:afterAutospacing="1" w:line="240" w:lineRule="atLeast"/>
        <w:jc w:val="left"/>
        <w:rPr>
          <w:rFonts w:hint="eastAsia" w:ascii="FangSong_GB2312" w:hAnsi="FangSong_GB2312" w:eastAsia="FangSong_GB2312" w:cs="FangSong_GB2312"/>
          <w:color w:val="000000"/>
          <w:spacing w:val="-3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</w:pPr>
      <w:r>
        <w:rPr>
          <w:rFonts w:hint="default" w:ascii="FangSong_GB2312" w:hAnsi="FangSong_GB2312" w:eastAsia="FangSong_GB2312" w:cs="FangSong_GB2312"/>
          <w:color w:val="000000"/>
          <w:spacing w:val="-3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全面实施预算绩效管理</w:t>
      </w:r>
      <w:r>
        <w:rPr>
          <w:rFonts w:hint="default" w:ascii="FangSong_GB2312" w:hAnsi="FangSong_GB2312" w:eastAsia="FangSong_GB2312" w:cs="FangSong_GB2312"/>
          <w:color w:val="000000"/>
          <w:spacing w:val="-2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的实施意</w:t>
      </w:r>
      <w:r>
        <w:rPr>
          <w:rFonts w:hint="default" w:ascii="FangSong_GB2312" w:hAnsi="FangSong_GB2312" w:eastAsia="FangSong_GB2312" w:cs="FangSong_GB2312"/>
          <w:color w:val="000000"/>
          <w:spacing w:val="1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见</w:t>
      </w:r>
      <w:r>
        <w:rPr>
          <w:rFonts w:hint="default" w:ascii="FangSong_GB2312" w:hAnsi="FangSong_GB2312" w:eastAsia="FangSong_GB2312" w:cs="FangSong_GB2312"/>
          <w:color w:val="000000"/>
          <w:spacing w:val="-2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&gt;的通知》（宜发〔2019〕19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 xml:space="preserve"> </w:t>
      </w:r>
      <w:r>
        <w:rPr>
          <w:rFonts w:hint="default" w:ascii="FangSong_GB2312" w:hAnsi="FangSong_GB2312" w:eastAsia="FangSong_GB2312" w:cs="FangSong_GB2312"/>
          <w:color w:val="000000"/>
          <w:spacing w:val="-1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号</w:t>
      </w:r>
      <w:r>
        <w:rPr>
          <w:rFonts w:hint="default" w:ascii="FangSong_GB2312" w:hAnsi="FangSong_GB2312" w:eastAsia="FangSong_GB2312" w:cs="FangSong_GB2312"/>
          <w:color w:val="000000"/>
          <w:spacing w:val="-21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）</w:t>
      </w:r>
      <w:r>
        <w:rPr>
          <w:rFonts w:hint="default" w:ascii="FangSong_GB2312" w:hAnsi="FangSong_GB2312" w:eastAsia="FangSong_GB2312" w:cs="FangSong_GB2312"/>
          <w:color w:val="000000"/>
          <w:spacing w:val="-1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文件精神</w:t>
      </w:r>
      <w:r>
        <w:rPr>
          <w:rFonts w:hint="default" w:ascii="FangSong_GB2312" w:hAnsi="FangSong_GB2312" w:eastAsia="FangSong_GB2312" w:cs="FangSong_GB2312"/>
          <w:color w:val="000000"/>
          <w:spacing w:val="-19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，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强化部门预算绩效主体责任和绩效意</w:t>
      </w:r>
      <w:r>
        <w:rPr>
          <w:rFonts w:hint="default" w:ascii="FangSong_GB2312" w:hAnsi="FangSong_GB2312" w:eastAsia="FangSong_GB2312" w:cs="FangSong_GB2312"/>
          <w:color w:val="000000"/>
          <w:spacing w:val="3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识</w:t>
      </w:r>
      <w:r>
        <w:rPr>
          <w:rFonts w:hint="default" w:ascii="FangSong_GB2312" w:hAnsi="FangSong_GB2312" w:eastAsia="FangSong_GB2312" w:cs="FangSong_GB2312"/>
          <w:color w:val="000000"/>
          <w:spacing w:val="-2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，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提高财</w:t>
      </w:r>
      <w:r>
        <w:rPr>
          <w:rFonts w:hint="default" w:ascii="FangSong_GB2312" w:hAnsi="FangSong_GB2312" w:eastAsia="FangSong_GB2312" w:cs="FangSong_GB2312"/>
          <w:color w:val="000000"/>
          <w:spacing w:val="-4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政资金使用</w:t>
      </w:r>
      <w:r>
        <w:rPr>
          <w:rFonts w:hint="default" w:ascii="FangSong_GB2312" w:hAnsi="FangSong_GB2312" w:eastAsia="FangSong_GB2312" w:cs="FangSong_GB2312"/>
          <w:color w:val="000000"/>
          <w:spacing w:val="-3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效益和预算绩效管理水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平</w:t>
      </w:r>
      <w:r>
        <w:rPr>
          <w:rFonts w:hint="default" w:ascii="FangSong_GB2312" w:hAnsi="FangSong_GB2312" w:eastAsia="FangSong_GB2312" w:cs="FangSong_GB2312"/>
          <w:color w:val="000000"/>
          <w:spacing w:val="-32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，</w:t>
      </w:r>
      <w:r>
        <w:rPr>
          <w:rFonts w:hint="default" w:ascii="FangSong_GB2312" w:hAnsi="FangSong_GB2312" w:eastAsia="FangSong_GB2312" w:cs="FangSong_GB2312"/>
          <w:color w:val="000000"/>
          <w:spacing w:val="-3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根</w:t>
      </w:r>
      <w:r>
        <w:rPr>
          <w:rFonts w:hint="default" w:ascii="FangSong_GB2312" w:hAnsi="FangSong_GB2312" w:eastAsia="FangSong_GB2312" w:cs="FangSong_GB2312"/>
          <w:color w:val="000000"/>
          <w:spacing w:val="-32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据</w:t>
      </w:r>
      <w:r>
        <w:rPr>
          <w:rFonts w:hint="default" w:ascii="FangSong_GB2312" w:hAnsi="FangSong_GB2312" w:eastAsia="FangSong_GB2312" w:cs="FangSong_GB2312"/>
          <w:color w:val="000000"/>
          <w:spacing w:val="-3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《宜春市财政项目支</w:t>
      </w:r>
      <w:r>
        <w:rPr>
          <w:rFonts w:hint="default" w:ascii="FangSong_GB2312" w:hAnsi="FangSong_GB2312" w:eastAsia="FangSong_GB2312" w:cs="FangSong_GB2312"/>
          <w:color w:val="000000"/>
          <w:spacing w:val="-1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出绩效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评价管理办法</w:t>
      </w:r>
      <w:r>
        <w:rPr>
          <w:rFonts w:hint="default" w:ascii="FangSong_GB2312" w:hAnsi="FangSong_GB2312" w:eastAsia="FangSong_GB2312" w:cs="FangSong_GB2312"/>
          <w:color w:val="000000"/>
          <w:spacing w:val="-6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》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（宜财</w:t>
      </w:r>
      <w:r>
        <w:rPr>
          <w:rFonts w:hint="default" w:ascii="FangSong_GB2312" w:hAnsi="FangSong_GB2312" w:eastAsia="FangSong_GB2312" w:cs="FangSong_GB2312"/>
          <w:color w:val="000000"/>
          <w:spacing w:val="-2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发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〔202</w:t>
      </w:r>
      <w:r>
        <w:rPr>
          <w:rFonts w:hint="default" w:ascii="FangSong_GB2312" w:hAnsi="FangSong_GB2312" w:eastAsia="FangSong_GB2312" w:cs="FangSong_GB2312"/>
          <w:color w:val="000000"/>
          <w:spacing w:val="-2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0</w:t>
      </w:r>
      <w:r>
        <w:rPr>
          <w:rFonts w:hint="default" w:ascii="FangSong_GB2312" w:hAnsi="FangSong_GB2312" w:eastAsia="FangSong_GB2312" w:cs="FangSong_GB2312"/>
          <w:color w:val="000000"/>
          <w:spacing w:val="-3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〕</w:t>
      </w:r>
      <w:r>
        <w:rPr>
          <w:rFonts w:hint="default" w:ascii="FangSong_GB2312" w:hAnsi="FangSong_GB2312" w:eastAsia="FangSong_GB2312" w:cs="FangSong_GB2312"/>
          <w:color w:val="000000"/>
          <w:spacing w:val="8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7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号</w:t>
      </w:r>
      <w:r>
        <w:rPr>
          <w:rFonts w:hint="default" w:ascii="FangSong_GB2312" w:hAnsi="FangSong_GB2312" w:eastAsia="FangSong_GB2312" w:cs="FangSong_GB2312"/>
          <w:color w:val="000000"/>
          <w:spacing w:val="-2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）</w:t>
      </w:r>
      <w:r>
        <w:rPr>
          <w:rFonts w:hint="default" w:ascii="FangSong_GB2312" w:hAnsi="FangSong_GB2312" w:eastAsia="FangSong_GB2312" w:cs="FangSong_GB2312"/>
          <w:color w:val="000000"/>
          <w:spacing w:val="-5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、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《宜春市财政</w:t>
      </w:r>
      <w:r>
        <w:rPr>
          <w:rFonts w:hint="default" w:ascii="FangSong_GB2312" w:hAnsi="FangSong_GB2312" w:eastAsia="FangSong_GB2312" w:cs="FangSong_GB2312"/>
          <w:color w:val="000000"/>
          <w:spacing w:val="-1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局关于市级部门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开展单位自评及部门评价工作的通</w:t>
      </w:r>
      <w:r>
        <w:rPr>
          <w:rFonts w:hint="default" w:ascii="FangSong_GB2312" w:hAnsi="FangSong_GB2312" w:eastAsia="FangSong_GB2312" w:cs="FangSong_GB2312"/>
          <w:color w:val="000000"/>
          <w:spacing w:val="3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知</w:t>
      </w:r>
      <w:r>
        <w:rPr>
          <w:rFonts w:hint="default" w:ascii="FangSong_GB2312" w:hAnsi="FangSong_GB2312" w:eastAsia="FangSong_GB2312" w:cs="FangSong_GB2312"/>
          <w:color w:val="000000"/>
          <w:spacing w:val="-58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》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（宜财绩〔202</w:t>
      </w:r>
      <w:r>
        <w:rPr>
          <w:rFonts w:hint="default" w:ascii="FangSong_GB2312" w:hAnsi="FangSong_GB2312" w:eastAsia="FangSong_GB2312" w:cs="FangSong_GB2312"/>
          <w:color w:val="000000"/>
          <w:spacing w:val="8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2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〕2</w:t>
      </w:r>
      <w:r>
        <w:rPr>
          <w:rFonts w:hint="default" w:ascii="FangSong_GB2312" w:hAnsi="FangSong_GB2312" w:eastAsia="FangSong_GB2312" w:cs="FangSong_GB2312"/>
          <w:color w:val="000000"/>
          <w:spacing w:val="-39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 xml:space="preserve"> 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号）文件要求，宜春市</w:t>
      </w:r>
      <w:r>
        <w:rPr>
          <w:rFonts w:hint="eastAsia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  <w:lang w:val="en-US" w:eastAsia="zh-CN"/>
        </w:rPr>
        <w:t>信访局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对202</w:t>
      </w:r>
      <w:r>
        <w:rPr>
          <w:rFonts w:hint="eastAsia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  <w:lang w:val="en-US" w:eastAsia="zh-CN"/>
        </w:rPr>
        <w:t>2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年</w:t>
      </w:r>
      <w:r>
        <w:rPr>
          <w:rFonts w:hint="eastAsia" w:ascii="FangSong_GB2312" w:hAnsi="FangSong_GB2312" w:eastAsia="FangSong_GB2312" w:cs="FangSong_GB2312"/>
          <w:color w:val="000000"/>
          <w:spacing w:val="-3"/>
          <w:w w:val="100"/>
          <w:kern w:val="0"/>
          <w:position w:val="0"/>
          <w:sz w:val="32"/>
          <w:szCs w:val="20"/>
          <w:highlight w:val="none"/>
          <w:u w:val="none"/>
          <w:vertAlign w:val="baseline"/>
          <w:lang w:eastAsia="zh-CN"/>
        </w:rPr>
        <w:t>信访工作联席会议办公室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经费项目绩效进行了自评价</w:t>
      </w:r>
      <w:r>
        <w:rPr>
          <w:rFonts w:hint="default" w:ascii="FangSong_GB2312" w:hAnsi="FangSong_GB2312" w:eastAsia="FangSong_GB2312" w:cs="FangSong_GB2312"/>
          <w:color w:val="000000"/>
          <w:spacing w:val="-61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，</w:t>
      </w:r>
      <w:r>
        <w:rPr>
          <w:rFonts w:hint="default" w:ascii="FangSong_GB2312" w:hAnsi="FangSong_GB2312" w:eastAsia="FangSong_GB2312" w:cs="FangSong_GB2312"/>
          <w:color w:val="000000"/>
          <w:spacing w:val="-3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现将绩效评价情</w:t>
      </w:r>
      <w:r>
        <w:rPr>
          <w:rFonts w:hint="default" w:ascii="FangSong_GB2312" w:hAnsi="FangSong_GB2312" w:eastAsia="FangSong_GB2312" w:cs="FangSong_GB2312"/>
          <w:color w:val="000000"/>
          <w:spacing w:val="0"/>
          <w:w w:val="100"/>
          <w:kern w:val="0"/>
          <w:position w:val="0"/>
          <w:sz w:val="32"/>
          <w:szCs w:val="20"/>
          <w:highlight w:val="none"/>
          <w:u w:val="none"/>
          <w:vertAlign w:val="baseline"/>
        </w:rPr>
        <w:t>况报告如下：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一、基本情况</w:t>
      </w:r>
    </w:p>
    <w:p>
      <w:pPr>
        <w:spacing w:line="540" w:lineRule="exact"/>
        <w:ind w:firstLine="640" w:firstLineChars="200"/>
        <w:outlineLvl w:val="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（一）项目概况。</w:t>
      </w:r>
    </w:p>
    <w:p>
      <w:pPr>
        <w:adjustRightInd w:val="0"/>
        <w:ind w:firstLine="642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1、项目实施依据。</w:t>
      </w:r>
      <w:r>
        <w:rPr>
          <w:rFonts w:hint="eastAsia" w:ascii="仿宋_GB2312" w:eastAsia="仿宋_GB2312"/>
          <w:sz w:val="32"/>
          <w:szCs w:val="32"/>
        </w:rPr>
        <w:t>根据《中共宜春市委办公室 宜春市人民政府办公室关于</w:t>
      </w:r>
      <w:r>
        <w:rPr>
          <w:rFonts w:hint="eastAsia" w:ascii="仿宋_GB2312" w:eastAsia="仿宋_GB2312"/>
          <w:sz w:val="32"/>
          <w:szCs w:val="32"/>
          <w:lang w:eastAsia="zh-CN"/>
        </w:rPr>
        <w:t>调整（成立）市营商环境建设工作领导小组等议事协调机构的通知</w:t>
      </w:r>
      <w:r>
        <w:rPr>
          <w:rFonts w:hint="eastAsia" w:ascii="仿宋_GB2312" w:eastAsia="仿宋_GB2312"/>
          <w:sz w:val="32"/>
          <w:szCs w:val="32"/>
        </w:rPr>
        <w:t>》（宜办</w:t>
      </w:r>
      <w:r>
        <w:rPr>
          <w:rFonts w:hint="eastAsia" w:ascii="仿宋_GB2312" w:eastAsia="仿宋_GB2312"/>
          <w:sz w:val="32"/>
          <w:szCs w:val="32"/>
          <w:lang w:eastAsia="zh-CN"/>
        </w:rPr>
        <w:t>字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号）等文件的精神，</w:t>
      </w:r>
      <w:r>
        <w:rPr>
          <w:rFonts w:hint="eastAsia" w:ascii="仿宋_GB2312" w:eastAsia="仿宋_GB2312"/>
          <w:sz w:val="32"/>
          <w:szCs w:val="32"/>
          <w:lang w:eastAsia="zh-CN"/>
        </w:rPr>
        <w:t>成立了市信访工作联席会议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adjustRightInd w:val="0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2022年，宜春市信访局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投入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25.12万经费用于</w:t>
      </w:r>
      <w:r>
        <w:rPr>
          <w:rFonts w:hint="eastAsia" w:eastAsia="仿宋_GB2312"/>
          <w:sz w:val="32"/>
          <w:szCs w:val="32"/>
          <w:lang w:eastAsia="zh-CN"/>
        </w:rPr>
        <w:t>信访工作联席会议办公室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经费项目。主要职责是推动中央、省、市关于信访工作决策部署的贯彻落实；指导信访工作制度改革；研究分析信访形势，解决和化解具有普遍性的信访突出问题；督促各地各部门完成重点信访工作任务</w:t>
      </w:r>
      <w:r>
        <w:rPr>
          <w:rFonts w:hint="eastAsia" w:eastAsia="仿宋_GB2312"/>
          <w:sz w:val="32"/>
          <w:szCs w:val="32"/>
        </w:rPr>
        <w:t>。</w:t>
      </w:r>
    </w:p>
    <w:p>
      <w:pPr>
        <w:adjustRightInd w:val="0"/>
        <w:ind w:firstLine="640" w:firstLineChars="200"/>
        <w:rPr>
          <w:rFonts w:hint="default" w:ascii="黑体" w:hAnsi="黑体" w:eastAsia="仿宋_GB2312"/>
          <w:sz w:val="32"/>
          <w:szCs w:val="32"/>
          <w:lang w:val="en-US" w:eastAsia="zh-CN"/>
        </w:rPr>
      </w:pPr>
      <w:r>
        <w:rPr>
          <w:rFonts w:hint="eastAsia" w:hAnsi="仿宋_GB2312"/>
          <w:sz w:val="32"/>
          <w:szCs w:val="32"/>
          <w:lang w:eastAsia="zh-CN"/>
        </w:rPr>
        <w:t>（二）项目绩效目标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在市委市政府的坚强领导下，在市信访工作联席会议的统筹推动下，市委信访局聚焦“做示范、勇争先”目标定位，连续奋战、攻坚克难，推动实现了信访量稳中有降，信访形势稳步向好。市委信访局荣获全省“平安江西”建设先进集体，全市信访系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1人被人社部、国家信访局表彰为全国信访系统优秀投诉办理员。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二、绩效评价工作开展情况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（一）绩效评价目的、对象和范围。通过对</w:t>
      </w:r>
      <w:r>
        <w:rPr>
          <w:rFonts w:hint="eastAsia" w:eastAsia="仿宋_GB2312"/>
          <w:sz w:val="32"/>
          <w:szCs w:val="32"/>
          <w:lang w:eastAsia="zh-CN"/>
        </w:rPr>
        <w:t>信访工作联席会议办公室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经费项目的评价，主要是对项目的运行情况、预算安排与产、效益的匹配情况以及项目绩效目标完成情况进行深入分析、总结经验、查找问题、提出改进意见。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（二）绩效评价原则、方法和标准。依据《宜春市财政局关于市级部门开展单位自评及部门评价工作的通知》（宜财绩〔2022〕2 号）文件精神，按照科学规范、公平公正、分级分类绩效相关的原则，组织绩效人员查阅资料、公众效益、综合评价的方式。重点对项目产出质量、产出数量、产出时效、产出成本进行绩效评价。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（三）绩效评价工作过程。年初财政预算安排经费为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25.12</w:t>
      </w:r>
      <w:r>
        <w:rPr>
          <w:rFonts w:hint="eastAsia" w:ascii="仿宋_GB2312" w:hAnsi="仿宋_GB2312" w:eastAsia="仿宋_GB2312"/>
          <w:sz w:val="32"/>
          <w:szCs w:val="32"/>
        </w:rPr>
        <w:t>万元。通过建立了一系列业务管理制度和财务管理制度,严格资金拨付,基本实现了项目资金规范使用。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三、综合评价情况及评价结论</w:t>
      </w:r>
    </w:p>
    <w:p>
      <w:pPr>
        <w:pStyle w:val="2"/>
        <w:rPr>
          <w:rFonts w:hint="eastAsia"/>
        </w:rPr>
      </w:pPr>
      <w:r>
        <w:rPr>
          <w:rFonts w:hint="eastAsia"/>
        </w:rPr>
        <w:t>评价小组齐心协力、紧密配合,并结合实际,加强调查研究,对专项经费项目做出客观、公正、科学的评价,在收集、汇总、整理、分析有关资料的基础上,该项目经评价小组综合评价得分</w:t>
      </w:r>
      <w:r>
        <w:rPr>
          <w:rFonts w:hint="eastAsia"/>
          <w:color w:val="auto"/>
          <w:lang w:val="en-US" w:eastAsia="zh-CN"/>
        </w:rPr>
        <w:t>98</w:t>
      </w:r>
      <w:r>
        <w:rPr>
          <w:rFonts w:hint="eastAsia"/>
        </w:rPr>
        <w:t>分,评价等级为优。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四、绩效评价指标分析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（一）项目决策。一是项目立项：主要是对项目立项的规范性、项目立项的合理性进行评价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根据</w:t>
      </w:r>
      <w:r>
        <w:rPr>
          <w:rFonts w:hint="eastAsia" w:ascii="仿宋_GB2312" w:eastAsia="仿宋_GB2312"/>
          <w:sz w:val="32"/>
          <w:szCs w:val="32"/>
          <w:lang w:eastAsia="zh-CN"/>
        </w:rPr>
        <w:t>《信访工作条例》</w:t>
      </w:r>
      <w:r>
        <w:rPr>
          <w:rFonts w:hint="eastAsia" w:ascii="仿宋_GB2312" w:eastAsia="仿宋_GB2312"/>
          <w:sz w:val="32"/>
          <w:szCs w:val="32"/>
        </w:rPr>
        <w:t>《中共宜春市委办公室 宜春市人民政府办公室关于</w:t>
      </w:r>
      <w:r>
        <w:rPr>
          <w:rFonts w:hint="eastAsia" w:ascii="仿宋_GB2312" w:eastAsia="仿宋_GB2312"/>
          <w:sz w:val="32"/>
          <w:szCs w:val="32"/>
          <w:lang w:eastAsia="zh-CN"/>
        </w:rPr>
        <w:t>调整（成立）市营商环境建设工作领导小组等议事协调机构</w:t>
      </w:r>
      <w:r>
        <w:rPr>
          <w:rFonts w:hint="eastAsia" w:ascii="仿宋_GB2312" w:eastAsia="仿宋_GB2312"/>
          <w:sz w:val="32"/>
          <w:szCs w:val="32"/>
        </w:rPr>
        <w:t>的通知》（宜办</w:t>
      </w:r>
      <w:r>
        <w:rPr>
          <w:rFonts w:hint="eastAsia" w:ascii="仿宋_GB2312" w:eastAsia="仿宋_GB2312"/>
          <w:sz w:val="32"/>
          <w:szCs w:val="32"/>
          <w:lang w:eastAsia="zh-CN"/>
        </w:rPr>
        <w:t>字</w:t>
      </w:r>
      <w:r>
        <w:rPr>
          <w:rFonts w:hint="eastAsia" w:ascii="仿宋_GB2312" w:eastAsia="仿宋_GB2312"/>
          <w:sz w:val="32"/>
          <w:szCs w:val="32"/>
        </w:rPr>
        <w:t>〔20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eastAsia="仿宋_GB2312"/>
          <w:sz w:val="32"/>
          <w:szCs w:val="32"/>
        </w:rPr>
        <w:t>号）</w:t>
      </w:r>
      <w:r>
        <w:rPr>
          <w:rFonts w:hint="eastAsia" w:ascii="仿宋_GB2312" w:hAnsi="仿宋_GB2312" w:eastAsia="仿宋_GB2312"/>
          <w:sz w:val="32"/>
          <w:szCs w:val="32"/>
        </w:rPr>
        <w:t>要求，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宜春市信访工作联席会议办公室设市委信访局，负责</w:t>
      </w:r>
      <w:r>
        <w:rPr>
          <w:rFonts w:hint="eastAsia" w:ascii="仿宋_GB2312" w:hAnsi="仿宋_GB2312" w:eastAsia="仿宋_GB2312"/>
          <w:sz w:val="32"/>
          <w:szCs w:val="32"/>
        </w:rPr>
        <w:t>贯彻落实《信访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工作</w:t>
      </w:r>
      <w:r>
        <w:rPr>
          <w:rFonts w:hint="eastAsia" w:ascii="仿宋_GB2312" w:hAnsi="仿宋_GB2312" w:eastAsia="仿宋_GB2312"/>
          <w:sz w:val="32"/>
          <w:szCs w:val="32"/>
        </w:rPr>
        <w:t>条例》以及相关法律法规，根据党中央国务院、省委省政府、市委市政府工作部署，协调、督导、指导全市信访工作，办理群众信访事项。因此，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信访工作联席会议办公室经费</w:t>
      </w:r>
      <w:r>
        <w:rPr>
          <w:rFonts w:hint="eastAsia" w:ascii="仿宋_GB2312" w:hAnsi="仿宋_GB2312" w:eastAsia="仿宋_GB2312"/>
          <w:sz w:val="32"/>
          <w:szCs w:val="32"/>
        </w:rPr>
        <w:t>项目的设立是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市信访工作联席会议及其办公室</w:t>
      </w:r>
      <w:r>
        <w:rPr>
          <w:rFonts w:hint="eastAsia" w:ascii="仿宋_GB2312" w:hAnsi="仿宋_GB2312" w:eastAsia="仿宋_GB2312"/>
          <w:sz w:val="32"/>
          <w:szCs w:val="32"/>
        </w:rPr>
        <w:t>履行职责的必要工作保障。该项目符合申报条件、符合部门职责和年度工作计划，通过评价</w:t>
      </w:r>
      <w:r>
        <w:rPr>
          <w:rFonts w:hint="eastAsia" w:ascii="仿宋_GB2312" w:hAns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32"/>
        </w:rPr>
        <w:t>该项目绩效目标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合理</w:t>
      </w:r>
      <w:r>
        <w:rPr>
          <w:rFonts w:hint="eastAsia" w:ascii="仿宋_GB2312" w:hAnsi="仿宋_GB2312" w:eastAsia="仿宋_GB2312"/>
          <w:sz w:val="32"/>
          <w:szCs w:val="32"/>
        </w:rPr>
        <w:t>，绩效指标清晰、可衡量。二是绩效目标：我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局</w:t>
      </w:r>
      <w:r>
        <w:rPr>
          <w:rFonts w:hint="eastAsia" w:ascii="仿宋_GB2312" w:hAnsi="仿宋_GB2312" w:eastAsia="仿宋_GB2312"/>
          <w:sz w:val="32"/>
          <w:szCs w:val="32"/>
        </w:rPr>
        <w:t>编制预算时，为该项目在本年度所计划达到的产出和效果设定了合理的目标。该绩效目标按照数量、质量、时效与效益等不同方面，将项目年度任务分解为绩效指标，每条指标基于 202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/>
          <w:sz w:val="32"/>
          <w:szCs w:val="32"/>
        </w:rPr>
        <w:t xml:space="preserve"> 年预算资金用途设置，与预算资金量相匹配。同时，在设定绩效指标时，部分指标明确清晰、可衡量，本项目绩效目标依据充分，与实际工作内容密切相关，预算确定的项目投资额与资金量相匹配；三是资金使用：主要是对资金落实率、到位率、及时率和使用率进行评价，通过评价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发现该项目预算编制科学，并能按照标准编制，预算内容与项目内容匹配，预算额度测算依据充分，资金分配合理</w:t>
      </w:r>
      <w:r>
        <w:rPr>
          <w:rFonts w:hint="eastAsia" w:ascii="仿宋_GB2312" w:hAns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outlineLvl w:val="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（二）项目过程。主要对项目在管理制定健全性、制度执行有效性进行评价，看业务管理制度是否健全，程序是否完整，效果是否良好，是否制定相应的项目资金管理办法，财务监控措施是</w:t>
      </w:r>
      <w:r>
        <w:rPr>
          <w:rFonts w:hint="eastAsia" w:ascii="仿宋_GB2312" w:hAnsi="仿宋_GB2312" w:eastAsia="仿宋_GB2312" w:cs="Times New Roman"/>
          <w:sz w:val="32"/>
          <w:szCs w:val="32"/>
        </w:rPr>
        <w:t>否有效，经费使用，有无超范围、超标准;通过查看和评价，202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Times New Roman"/>
          <w:sz w:val="32"/>
          <w:szCs w:val="32"/>
        </w:rPr>
        <w:t xml:space="preserve"> 年度</w:t>
      </w:r>
      <w:r>
        <w:rPr>
          <w:rFonts w:hint="eastAsia" w:eastAsia="仿宋_GB2312"/>
          <w:sz w:val="32"/>
          <w:szCs w:val="32"/>
          <w:lang w:eastAsia="zh-CN"/>
        </w:rPr>
        <w:t>信访工作联席会议办公室</w:t>
      </w:r>
      <w:r>
        <w:rPr>
          <w:rFonts w:hint="eastAsia" w:ascii="仿宋_GB2312" w:hAnsi="仿宋_GB2312" w:eastAsia="仿宋_GB2312" w:cs="Times New Roman"/>
          <w:sz w:val="32"/>
          <w:szCs w:val="32"/>
        </w:rPr>
        <w:t>经费全年预算数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25.12</w:t>
      </w:r>
      <w:r>
        <w:rPr>
          <w:rFonts w:hint="eastAsia" w:ascii="仿宋_GB2312" w:hAnsi="仿宋_GB2312" w:eastAsia="仿宋_GB2312" w:cs="Times New Roman"/>
          <w:sz w:val="32"/>
          <w:szCs w:val="32"/>
        </w:rPr>
        <w:t>万元，市财政当年实际拨付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25.12</w:t>
      </w:r>
      <w:r>
        <w:rPr>
          <w:rFonts w:hint="eastAsia" w:ascii="仿宋_GB2312" w:hAnsi="仿宋_GB2312" w:eastAsia="仿宋_GB2312" w:cs="Times New Roman"/>
          <w:sz w:val="32"/>
          <w:szCs w:val="32"/>
        </w:rPr>
        <w:t>万元，资金到位率100%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，当年预算执行数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25.12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万元，预算执行率 100%。</w:t>
      </w:r>
      <w:r>
        <w:rPr>
          <w:rFonts w:hint="eastAsia" w:ascii="仿宋_GB2312" w:hAnsi="仿宋_GB2312" w:eastAsia="仿宋_GB2312" w:cs="Times New Roman"/>
          <w:sz w:val="32"/>
          <w:szCs w:val="32"/>
        </w:rPr>
        <w:t>由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我局</w:t>
      </w:r>
      <w:r>
        <w:rPr>
          <w:rFonts w:hint="eastAsia" w:ascii="仿宋_GB2312" w:hAnsi="仿宋_GB2312" w:eastAsia="仿宋_GB2312" w:cs="Times New Roman"/>
          <w:sz w:val="32"/>
          <w:szCs w:val="32"/>
        </w:rPr>
        <w:t>集中管理开支，制定了经费使用管理制度，成立</w:t>
      </w:r>
      <w:r>
        <w:rPr>
          <w:rFonts w:hint="eastAsia" w:ascii="仿宋_GB2312" w:hAnsi="仿宋_GB2312" w:eastAsia="仿宋_GB2312"/>
          <w:sz w:val="32"/>
          <w:szCs w:val="32"/>
        </w:rPr>
        <w:t>了内部财务监控小组，严格财务管理制度，开支符合要求。</w:t>
      </w:r>
    </w:p>
    <w:p>
      <w:pPr>
        <w:numPr>
          <w:ilvl w:val="0"/>
          <w:numId w:val="1"/>
        </w:numPr>
        <w:spacing w:line="360" w:lineRule="auto"/>
        <w:ind w:firstLine="640" w:firstLineChars="200"/>
        <w:outlineLvl w:val="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项目产出。</w:t>
      </w:r>
    </w:p>
    <w:p>
      <w:pPr>
        <w:adjustRightInd w:val="0"/>
        <w:spacing w:line="360" w:lineRule="auto"/>
        <w:ind w:firstLine="640" w:firstLineChars="200"/>
        <w:rPr>
          <w:rFonts w:hint="eastAsia" w:ascii="仿宋_GB2312" w:hAns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项目产出指标评价标准制订主要是根据对</w:t>
      </w:r>
      <w:r>
        <w:rPr>
          <w:rFonts w:hint="eastAsia" w:ascii="仿宋_GB2312" w:hAnsi="仿宋_GB2312" w:eastAsia="仿宋_GB2312" w:cs="Times New Roman"/>
          <w:kern w:val="2"/>
          <w:sz w:val="32"/>
          <w:szCs w:val="32"/>
          <w:lang w:val="en-US" w:eastAsia="zh-CN" w:bidi="ar-SA"/>
        </w:rPr>
        <w:t>推动中央、省、市关于信访工作决策部署的贯彻落实；指导信访工作制度改革；研究分析信访形势，解决和化解具有普遍性的信访突出问题；督促各地各部门完成重点信访工作任务所取得的效果</w:t>
      </w:r>
      <w:r>
        <w:rPr>
          <w:rFonts w:hint="eastAsia" w:eastAsia="仿宋_GB2312"/>
          <w:sz w:val="32"/>
          <w:szCs w:val="32"/>
        </w:rPr>
        <w:t>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主要经验做法</w:t>
      </w:r>
    </w:p>
    <w:p>
      <w:pPr>
        <w:adjustRightInd w:val="0"/>
        <w:ind w:firstLine="64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int="eastAsia" w:eastAsia="仿宋_GB2312"/>
          <w:sz w:val="32"/>
          <w:szCs w:val="32"/>
        </w:rPr>
        <w:t>年，</w:t>
      </w:r>
      <w:r>
        <w:rPr>
          <w:rFonts w:hint="eastAsia" w:eastAsia="仿宋_GB2312"/>
          <w:sz w:val="32"/>
          <w:szCs w:val="32"/>
          <w:lang w:val="en-US" w:eastAsia="zh-CN"/>
        </w:rPr>
        <w:t>本部门严格执行各项制度规定，厉行节约，依照财务制度严格审查各项项目开支，严禁超预算支出，有效控制了各项支出，实际支出没有超出预算标准。从实际效果来看，我办较好地执行了财政绩效管理制度，紧紧围绕全市信访工作大局，切实保障了信访工作联席会议及其办公室高效运转，协调、督促、化解重要突出信访问题等重点工作的开展，为全市信访工作实现跨越式高质量发展提供了坚强保障。</w:t>
      </w: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六、有关建议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1.完善工作制度。进一步健全完善工作制度，提升信访工作质效，加大与</w:t>
      </w: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市、区、县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沟通联系力度，切实做好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各项信访工作。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规范资金使用。面对新形势，进一步推进经费管理制度改革，强化自我约束和自我规范，确保用得好、用到实处，强化资金使用绩效评价，保障资金使用安全规范有效。</w:t>
      </w:r>
    </w:p>
    <w:p>
      <w:pPr>
        <w:spacing w:line="540" w:lineRule="exact"/>
        <w:ind w:firstLine="640" w:firstLineChars="200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七、其他需要说明的问题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0"/>
        <w:rPr>
          <w:rFonts w:hint="eastAsia" w:ascii="仿宋_GB2312" w:hAns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Times New Roman"/>
          <w:sz w:val="32"/>
          <w:szCs w:val="32"/>
          <w:lang w:eastAsia="zh-CN"/>
        </w:rPr>
        <w:t>无</w:t>
      </w:r>
    </w:p>
    <w:p>
      <w:pPr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部门评价表</w:t>
      </w:r>
    </w:p>
    <w:p>
      <w:pPr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6"/>
        <w:tblW w:w="8914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900"/>
        <w:gridCol w:w="236"/>
        <w:gridCol w:w="1020"/>
        <w:gridCol w:w="739"/>
        <w:gridCol w:w="236"/>
        <w:gridCol w:w="1080"/>
        <w:gridCol w:w="1494"/>
        <w:gridCol w:w="236"/>
        <w:gridCol w:w="569"/>
        <w:gridCol w:w="236"/>
        <w:gridCol w:w="484"/>
        <w:gridCol w:w="236"/>
        <w:gridCol w:w="484"/>
        <w:gridCol w:w="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55" w:hRule="atLeast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1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281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评分标准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预期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实际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评价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10" w:hRule="atLeast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目标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值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00" w:hRule="atLeast"/>
        </w:trPr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投入指标(10分)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项目立项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项目立项规范性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（5分）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项目立项是否规范合理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035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资金落实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预算资金执行率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（5分）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预算资金是否按进度拨付到位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825" w:hRule="atLeast"/>
        </w:trPr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过程指标(10分)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财务管理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管理制度健全性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（5分）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是否建立规范的财务管理制度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825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财务监控有效性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（5分）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是否按规定进行了专项资金核算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005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结转资金不超过10%，每超过1%扣1分，扣完为止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10%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380" w:hRule="atLeast"/>
        </w:trPr>
        <w:tc>
          <w:tcPr>
            <w:tcW w:w="91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项目产出（50分）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产出成本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支出符合要求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（40分）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项目支出符合财经纪律要求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否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915" w:hRule="atLeast"/>
        </w:trPr>
        <w:tc>
          <w:tcPr>
            <w:tcW w:w="91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项目预算总额不超过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val="en-US" w:eastAsia="zh-CN"/>
              </w:rPr>
              <w:t>25.12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万元（10分）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不超过项目预算总额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25.12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万元，超过不得分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200" w:hRule="atLeast"/>
        </w:trPr>
        <w:tc>
          <w:tcPr>
            <w:tcW w:w="91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项目效果（25分）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社会效益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  <w:lang w:eastAsia="zh-CN"/>
              </w:rPr>
              <w:t>完成工作目标、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（25分）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协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调、督促、化解重要突出信访问题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是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1200" w:hRule="atLeast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项目满意度（5分）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服务对象满意度</w:t>
            </w:r>
          </w:p>
        </w:tc>
        <w:tc>
          <w:tcPr>
            <w:tcW w:w="1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信访群众对信访部门满意率在95%以上</w:t>
            </w:r>
          </w:p>
        </w:tc>
        <w:tc>
          <w:tcPr>
            <w:tcW w:w="28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szCs w:val="22"/>
              </w:rPr>
              <w:t>满意率95%以上，得5分，每低于1%，扣1分，扣完为止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95%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eastAsia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kern w:val="0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480" w:hRule="atLeast"/>
        </w:trPr>
        <w:tc>
          <w:tcPr>
            <w:tcW w:w="6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项目总分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15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主管部门（单位）评价等级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良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8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" w:type="dxa"/>
          <w:trHeight w:val="540" w:hRule="atLeast"/>
        </w:trPr>
        <w:tc>
          <w:tcPr>
            <w:tcW w:w="915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50" w:type="dxa"/>
            <w:gridSpan w:val="1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优</w:t>
            </w:r>
            <w:r>
              <w:rPr>
                <w:rFonts w:eastAsia="仿宋_GB2312"/>
                <w:kern w:val="0"/>
                <w:sz w:val="24"/>
              </w:rPr>
              <w:t>(90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以上</w:t>
            </w:r>
            <w:r>
              <w:rPr>
                <w:rFonts w:eastAsia="仿宋_GB2312"/>
                <w:kern w:val="0"/>
                <w:sz w:val="24"/>
              </w:rPr>
              <w:t xml:space="preserve">)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良</w:t>
            </w:r>
            <w:r>
              <w:rPr>
                <w:rFonts w:eastAsia="仿宋_GB2312"/>
                <w:kern w:val="0"/>
                <w:sz w:val="24"/>
              </w:rPr>
              <w:t xml:space="preserve">(80-89)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</w:t>
            </w:r>
            <w:r>
              <w:rPr>
                <w:rFonts w:eastAsia="仿宋_GB2312"/>
                <w:kern w:val="0"/>
                <w:sz w:val="24"/>
              </w:rPr>
              <w:t xml:space="preserve">(70-79)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合格</w:t>
            </w:r>
            <w:r>
              <w:rPr>
                <w:rFonts w:eastAsia="仿宋_GB2312"/>
                <w:kern w:val="0"/>
                <w:sz w:val="24"/>
              </w:rPr>
              <w:t xml:space="preserve">(69-60)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差</w:t>
            </w:r>
            <w:r>
              <w:rPr>
                <w:rFonts w:eastAsia="仿宋_GB2312"/>
                <w:kern w:val="0"/>
                <w:sz w:val="24"/>
              </w:rPr>
              <w:t>(59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以下</w:t>
            </w:r>
            <w:r>
              <w:rPr>
                <w:rFonts w:eastAsia="仿宋_GB2312"/>
                <w:kern w:val="0"/>
                <w:sz w:val="24"/>
              </w:rPr>
              <w:t>)</w:t>
            </w:r>
          </w:p>
        </w:tc>
      </w:tr>
    </w:tbl>
    <w:p>
      <w:pPr>
        <w:rPr>
          <w:rFonts w:hint="eastAsia" w:eastAsia="楷体_GB2312"/>
          <w:sz w:val="32"/>
          <w:szCs w:val="32"/>
        </w:rPr>
      </w:pPr>
      <w:r>
        <w:rPr>
          <w:rFonts w:hint="eastAsia" w:ascii="仿宋" w:hAnsi="仿宋" w:eastAsia="仿宋" w:cs="仿宋"/>
          <w:spacing w:val="-11"/>
        </w:rPr>
        <w:t>注：指标可参考财政部《项目支出绩效评价管理办法》中附件2：《项目支出绩效评价指标体系框架》设置。</w:t>
      </w:r>
    </w:p>
    <w:p/>
    <w:p/>
    <w:sectPr>
      <w:headerReference r:id="rId3" w:type="default"/>
      <w:footerReference r:id="rId4" w:type="default"/>
      <w:footerReference r:id="rId5" w:type="even"/>
      <w:pgSz w:w="11906" w:h="16838"/>
      <w:pgMar w:top="2098" w:right="1531" w:bottom="1985" w:left="1531" w:header="851" w:footer="1418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ind w:left="420" w:leftChars="200" w:right="420" w:rightChars="200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- 16 -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C07B07"/>
    <w:multiLevelType w:val="singleLevel"/>
    <w:tmpl w:val="55C07B07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2ODcwYzhkMGU2NDcxODhkODhjM2JhOTc0M2MwYmYifQ=="/>
  </w:docVars>
  <w:rsids>
    <w:rsidRoot w:val="268E6A25"/>
    <w:rsid w:val="17B76689"/>
    <w:rsid w:val="1A2B070F"/>
    <w:rsid w:val="1FEEC2D9"/>
    <w:rsid w:val="268E6A25"/>
    <w:rsid w:val="3DF3DBB0"/>
    <w:rsid w:val="605B538A"/>
    <w:rsid w:val="6CFFEF45"/>
    <w:rsid w:val="777BA6D4"/>
    <w:rsid w:val="77FBCD57"/>
    <w:rsid w:val="77FC3EB2"/>
    <w:rsid w:val="78B14A40"/>
    <w:rsid w:val="7DAD55DC"/>
    <w:rsid w:val="7FAFC1E8"/>
    <w:rsid w:val="9D7D3DEE"/>
    <w:rsid w:val="9FFBEF47"/>
    <w:rsid w:val="E5BF5999"/>
    <w:rsid w:val="EB5B435F"/>
    <w:rsid w:val="EFED6C6D"/>
    <w:rsid w:val="EFFBC590"/>
    <w:rsid w:val="F7BE5731"/>
    <w:rsid w:val="F7F7F3CD"/>
    <w:rsid w:val="FABB6A30"/>
    <w:rsid w:val="FBFF5A41"/>
    <w:rsid w:val="FF7F09D6"/>
    <w:rsid w:val="FFAFC27F"/>
    <w:rsid w:val="FFF63ECC"/>
    <w:rsid w:val="FFF969C8"/>
    <w:rsid w:val="FFFB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line="580" w:lineRule="exact"/>
      <w:ind w:firstLine="600"/>
    </w:pPr>
    <w:rPr>
      <w:rFonts w:ascii="仿宋_GB2312" w:eastAsia="仿宋_GB2312"/>
      <w:sz w:val="3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2574</Words>
  <Characters>2680</Characters>
  <Lines>0</Lines>
  <Paragraphs>0</Paragraphs>
  <TotalTime>5</TotalTime>
  <ScaleCrop>false</ScaleCrop>
  <LinksUpToDate>false</LinksUpToDate>
  <CharactersWithSpaces>2709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2023-05-10T23:29:00Z</dcterms:created>
  <dc:creator>good luck</dc:creator>
  <cp:lastModifiedBy>admin123</cp:lastModifiedBy>
  <dcterms:modified xsi:type="dcterms:W3CDTF">2023-08-25T17:44:39Z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1633E2E424AC4A57BAFE990B0D569AD9</vt:lpwstr>
  </property>
</Properties>
</file>