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部门评价报告</w:t>
      </w:r>
    </w:p>
    <w:p>
      <w:pPr>
        <w:spacing w:line="240" w:lineRule="exact"/>
        <w:jc w:val="center"/>
        <w:rPr>
          <w:rFonts w:hint="eastAsia" w:ascii="楷体_GB2312" w:hAnsi="楷体_GB2312" w:eastAsia="楷体_GB2312"/>
          <w:sz w:val="32"/>
          <w:szCs w:val="32"/>
        </w:rPr>
      </w:pPr>
    </w:p>
    <w:p>
      <w:pPr>
        <w:keepNext w:val="0"/>
        <w:keepLines w:val="0"/>
        <w:pageBreakBefore w:val="0"/>
        <w:widowControl w:val="0"/>
        <w:kinsoku/>
        <w:wordWrap/>
        <w:overflowPunct/>
        <w:topLinePunct w:val="0"/>
        <w:autoSpaceDE w:val="0"/>
        <w:autoSpaceDN w:val="0"/>
        <w:bidi w:val="0"/>
        <w:adjustRightInd/>
        <w:snapToGrid w:val="0"/>
        <w:spacing w:before="480" w:after="120" w:line="400" w:lineRule="exact"/>
        <w:ind w:left="0" w:right="0" w:firstLine="636" w:firstLineChars="200"/>
        <w:jc w:val="both"/>
        <w:textAlignment w:val="auto"/>
        <w:rPr>
          <w:rFonts w:hint="default" w:ascii="FangSong_GB2312" w:hAnsi="FangSong_GB2312" w:eastAsia="FangSong_GB2312" w:cs="FangSong_GB2312"/>
          <w:color w:val="000000"/>
          <w:spacing w:val="0"/>
          <w:w w:val="100"/>
          <w:kern w:val="0"/>
          <w:position w:val="0"/>
          <w:sz w:val="32"/>
          <w:szCs w:val="20"/>
          <w:highlight w:val="none"/>
          <w:u w:val="none"/>
          <w:vertAlign w:val="baseline"/>
        </w:rPr>
      </w:pPr>
      <w:r>
        <w:rPr>
          <w:rFonts w:hint="default" w:ascii="FangSong_GB2312" w:hAnsi="FangSong_GB2312" w:eastAsia="FangSong_GB2312" w:cs="FangSong_GB2312"/>
          <w:color w:val="000000"/>
          <w:spacing w:val="-1"/>
          <w:w w:val="100"/>
          <w:kern w:val="0"/>
          <w:position w:val="0"/>
          <w:sz w:val="32"/>
          <w:szCs w:val="20"/>
          <w:highlight w:val="none"/>
          <w:u w:val="none"/>
          <w:vertAlign w:val="baseline"/>
        </w:rPr>
        <w:t>为深入贯彻</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落</w:t>
      </w:r>
      <w:r>
        <w:rPr>
          <w:rFonts w:hint="default" w:ascii="FangSong_GB2312" w:hAnsi="FangSong_GB2312" w:eastAsia="FangSong_GB2312" w:cs="FangSong_GB2312"/>
          <w:color w:val="000000"/>
          <w:spacing w:val="-57"/>
          <w:w w:val="100"/>
          <w:kern w:val="0"/>
          <w:position w:val="0"/>
          <w:sz w:val="32"/>
          <w:szCs w:val="20"/>
          <w:highlight w:val="none"/>
          <w:u w:val="none"/>
          <w:vertAlign w:val="baseline"/>
        </w:rPr>
        <w:t>实</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《中共宜春市委 宜春市人民政府印发&lt;关于</w:t>
      </w:r>
    </w:p>
    <w:p>
      <w:pPr>
        <w:widowControl/>
        <w:tabs>
          <w:tab w:val="left" w:pos="2640"/>
          <w:tab w:val="left" w:pos="5760"/>
        </w:tabs>
        <w:spacing w:before="100" w:beforeAutospacing="1" w:after="100" w:afterAutospacing="1" w:line="240" w:lineRule="atLeast"/>
        <w:jc w:val="left"/>
        <w:rPr>
          <w:rFonts w:hint="eastAsia" w:ascii="FangSong_GB2312" w:hAnsi="FangSong_GB2312" w:eastAsia="FangSong_GB2312" w:cs="FangSong_GB2312"/>
          <w:color w:val="000000"/>
          <w:spacing w:val="-3"/>
          <w:w w:val="100"/>
          <w:kern w:val="0"/>
          <w:position w:val="0"/>
          <w:sz w:val="32"/>
          <w:szCs w:val="20"/>
          <w:highlight w:val="none"/>
          <w:u w:val="none"/>
          <w:vertAlign w:val="baseline"/>
        </w:rPr>
      </w:pPr>
      <w:r>
        <w:rPr>
          <w:rFonts w:hint="default" w:ascii="FangSong_GB2312" w:hAnsi="FangSong_GB2312" w:eastAsia="FangSong_GB2312" w:cs="FangSong_GB2312"/>
          <w:color w:val="000000"/>
          <w:spacing w:val="-3"/>
          <w:w w:val="100"/>
          <w:kern w:val="0"/>
          <w:position w:val="0"/>
          <w:sz w:val="32"/>
          <w:szCs w:val="20"/>
          <w:highlight w:val="none"/>
          <w:u w:val="none"/>
          <w:vertAlign w:val="baseline"/>
        </w:rPr>
        <w:t>全面实施预算绩效管理</w:t>
      </w:r>
      <w:r>
        <w:rPr>
          <w:rFonts w:hint="default" w:ascii="FangSong_GB2312" w:hAnsi="FangSong_GB2312" w:eastAsia="FangSong_GB2312" w:cs="FangSong_GB2312"/>
          <w:color w:val="000000"/>
          <w:spacing w:val="-2"/>
          <w:w w:val="100"/>
          <w:kern w:val="0"/>
          <w:position w:val="0"/>
          <w:sz w:val="32"/>
          <w:szCs w:val="20"/>
          <w:highlight w:val="none"/>
          <w:u w:val="none"/>
          <w:vertAlign w:val="baseline"/>
        </w:rPr>
        <w:t>的实施意</w:t>
      </w:r>
      <w:r>
        <w:rPr>
          <w:rFonts w:hint="default" w:ascii="FangSong_GB2312" w:hAnsi="FangSong_GB2312" w:eastAsia="FangSong_GB2312" w:cs="FangSong_GB2312"/>
          <w:color w:val="000000"/>
          <w:spacing w:val="1"/>
          <w:w w:val="100"/>
          <w:kern w:val="0"/>
          <w:position w:val="0"/>
          <w:sz w:val="32"/>
          <w:szCs w:val="20"/>
          <w:highlight w:val="none"/>
          <w:u w:val="none"/>
          <w:vertAlign w:val="baseline"/>
        </w:rPr>
        <w:t>见</w:t>
      </w:r>
      <w:r>
        <w:rPr>
          <w:rFonts w:hint="default" w:ascii="FangSong_GB2312" w:hAnsi="FangSong_GB2312" w:eastAsia="FangSong_GB2312" w:cs="FangSong_GB2312"/>
          <w:color w:val="000000"/>
          <w:spacing w:val="-2"/>
          <w:w w:val="100"/>
          <w:kern w:val="0"/>
          <w:position w:val="0"/>
          <w:sz w:val="32"/>
          <w:szCs w:val="20"/>
          <w:highlight w:val="none"/>
          <w:u w:val="none"/>
          <w:vertAlign w:val="baseline"/>
        </w:rPr>
        <w:t>&gt;的通知》（宜发〔2019〕19</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 xml:space="preserve"> </w:t>
      </w:r>
      <w:r>
        <w:rPr>
          <w:rFonts w:hint="default" w:ascii="FangSong_GB2312" w:hAnsi="FangSong_GB2312" w:eastAsia="FangSong_GB2312" w:cs="FangSong_GB2312"/>
          <w:color w:val="000000"/>
          <w:spacing w:val="-1"/>
          <w:w w:val="100"/>
          <w:kern w:val="0"/>
          <w:position w:val="0"/>
          <w:sz w:val="32"/>
          <w:szCs w:val="20"/>
          <w:highlight w:val="none"/>
          <w:u w:val="none"/>
          <w:vertAlign w:val="baseline"/>
        </w:rPr>
        <w:t>号</w:t>
      </w:r>
      <w:r>
        <w:rPr>
          <w:rFonts w:hint="default" w:ascii="FangSong_GB2312" w:hAnsi="FangSong_GB2312" w:eastAsia="FangSong_GB2312" w:cs="FangSong_GB2312"/>
          <w:color w:val="000000"/>
          <w:spacing w:val="-21"/>
          <w:w w:val="100"/>
          <w:kern w:val="0"/>
          <w:position w:val="0"/>
          <w:sz w:val="32"/>
          <w:szCs w:val="20"/>
          <w:highlight w:val="none"/>
          <w:u w:val="none"/>
          <w:vertAlign w:val="baseline"/>
        </w:rPr>
        <w:t>）</w:t>
      </w:r>
      <w:r>
        <w:rPr>
          <w:rFonts w:hint="default" w:ascii="FangSong_GB2312" w:hAnsi="FangSong_GB2312" w:eastAsia="FangSong_GB2312" w:cs="FangSong_GB2312"/>
          <w:color w:val="000000"/>
          <w:spacing w:val="-1"/>
          <w:w w:val="100"/>
          <w:kern w:val="0"/>
          <w:position w:val="0"/>
          <w:sz w:val="32"/>
          <w:szCs w:val="20"/>
          <w:highlight w:val="none"/>
          <w:u w:val="none"/>
          <w:vertAlign w:val="baseline"/>
        </w:rPr>
        <w:t>文件精神</w:t>
      </w:r>
      <w:r>
        <w:rPr>
          <w:rFonts w:hint="default" w:ascii="FangSong_GB2312" w:hAnsi="FangSong_GB2312" w:eastAsia="FangSong_GB2312" w:cs="FangSong_GB2312"/>
          <w:color w:val="000000"/>
          <w:spacing w:val="-19"/>
          <w:w w:val="100"/>
          <w:kern w:val="0"/>
          <w:position w:val="0"/>
          <w:sz w:val="32"/>
          <w:szCs w:val="20"/>
          <w:highlight w:val="none"/>
          <w:u w:val="none"/>
          <w:vertAlign w:val="baseline"/>
        </w:rPr>
        <w:t>，</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强化部门预算绩效主体责任和绩效意</w:t>
      </w:r>
      <w:r>
        <w:rPr>
          <w:rFonts w:hint="default" w:ascii="FangSong_GB2312" w:hAnsi="FangSong_GB2312" w:eastAsia="FangSong_GB2312" w:cs="FangSong_GB2312"/>
          <w:color w:val="000000"/>
          <w:spacing w:val="3"/>
          <w:w w:val="100"/>
          <w:kern w:val="0"/>
          <w:position w:val="0"/>
          <w:sz w:val="32"/>
          <w:szCs w:val="20"/>
          <w:highlight w:val="none"/>
          <w:u w:val="none"/>
          <w:vertAlign w:val="baseline"/>
        </w:rPr>
        <w:t>识</w:t>
      </w:r>
      <w:r>
        <w:rPr>
          <w:rFonts w:hint="default" w:ascii="FangSong_GB2312" w:hAnsi="FangSong_GB2312" w:eastAsia="FangSong_GB2312" w:cs="FangSong_GB2312"/>
          <w:color w:val="000000"/>
          <w:spacing w:val="-20"/>
          <w:w w:val="100"/>
          <w:kern w:val="0"/>
          <w:position w:val="0"/>
          <w:sz w:val="32"/>
          <w:szCs w:val="20"/>
          <w:highlight w:val="none"/>
          <w:u w:val="none"/>
          <w:vertAlign w:val="baseline"/>
        </w:rPr>
        <w:t>，</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提高财</w:t>
      </w:r>
      <w:r>
        <w:rPr>
          <w:rFonts w:hint="default" w:ascii="FangSong_GB2312" w:hAnsi="FangSong_GB2312" w:eastAsia="FangSong_GB2312" w:cs="FangSong_GB2312"/>
          <w:color w:val="000000"/>
          <w:spacing w:val="-4"/>
          <w:w w:val="100"/>
          <w:kern w:val="0"/>
          <w:position w:val="0"/>
          <w:sz w:val="32"/>
          <w:szCs w:val="20"/>
          <w:highlight w:val="none"/>
          <w:u w:val="none"/>
          <w:vertAlign w:val="baseline"/>
        </w:rPr>
        <w:t>政资金使用</w:t>
      </w:r>
      <w:r>
        <w:rPr>
          <w:rFonts w:hint="default" w:ascii="FangSong_GB2312" w:hAnsi="FangSong_GB2312" w:eastAsia="FangSong_GB2312" w:cs="FangSong_GB2312"/>
          <w:color w:val="000000"/>
          <w:spacing w:val="-3"/>
          <w:w w:val="100"/>
          <w:kern w:val="0"/>
          <w:position w:val="0"/>
          <w:sz w:val="32"/>
          <w:szCs w:val="20"/>
          <w:highlight w:val="none"/>
          <w:u w:val="none"/>
          <w:vertAlign w:val="baseline"/>
        </w:rPr>
        <w:t>效益和预算绩效管理水</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平</w:t>
      </w:r>
      <w:r>
        <w:rPr>
          <w:rFonts w:hint="default" w:ascii="FangSong_GB2312" w:hAnsi="FangSong_GB2312" w:eastAsia="FangSong_GB2312" w:cs="FangSong_GB2312"/>
          <w:color w:val="000000"/>
          <w:spacing w:val="-32"/>
          <w:w w:val="100"/>
          <w:kern w:val="0"/>
          <w:position w:val="0"/>
          <w:sz w:val="32"/>
          <w:szCs w:val="20"/>
          <w:highlight w:val="none"/>
          <w:u w:val="none"/>
          <w:vertAlign w:val="baseline"/>
        </w:rPr>
        <w:t>，</w:t>
      </w:r>
      <w:r>
        <w:rPr>
          <w:rFonts w:hint="default" w:ascii="FangSong_GB2312" w:hAnsi="FangSong_GB2312" w:eastAsia="FangSong_GB2312" w:cs="FangSong_GB2312"/>
          <w:color w:val="000000"/>
          <w:spacing w:val="-3"/>
          <w:w w:val="100"/>
          <w:kern w:val="0"/>
          <w:position w:val="0"/>
          <w:sz w:val="32"/>
          <w:szCs w:val="20"/>
          <w:highlight w:val="none"/>
          <w:u w:val="none"/>
          <w:vertAlign w:val="baseline"/>
        </w:rPr>
        <w:t>根</w:t>
      </w:r>
      <w:r>
        <w:rPr>
          <w:rFonts w:hint="default" w:ascii="FangSong_GB2312" w:hAnsi="FangSong_GB2312" w:eastAsia="FangSong_GB2312" w:cs="FangSong_GB2312"/>
          <w:color w:val="000000"/>
          <w:spacing w:val="-32"/>
          <w:w w:val="100"/>
          <w:kern w:val="0"/>
          <w:position w:val="0"/>
          <w:sz w:val="32"/>
          <w:szCs w:val="20"/>
          <w:highlight w:val="none"/>
          <w:u w:val="none"/>
          <w:vertAlign w:val="baseline"/>
        </w:rPr>
        <w:t>据</w:t>
      </w:r>
      <w:r>
        <w:rPr>
          <w:rFonts w:hint="default" w:ascii="FangSong_GB2312" w:hAnsi="FangSong_GB2312" w:eastAsia="FangSong_GB2312" w:cs="FangSong_GB2312"/>
          <w:color w:val="000000"/>
          <w:spacing w:val="-3"/>
          <w:w w:val="100"/>
          <w:kern w:val="0"/>
          <w:position w:val="0"/>
          <w:sz w:val="32"/>
          <w:szCs w:val="20"/>
          <w:highlight w:val="none"/>
          <w:u w:val="none"/>
          <w:vertAlign w:val="baseline"/>
        </w:rPr>
        <w:t>《宜春市财政项目支</w:t>
      </w:r>
      <w:r>
        <w:rPr>
          <w:rFonts w:hint="default" w:ascii="FangSong_GB2312" w:hAnsi="FangSong_GB2312" w:eastAsia="FangSong_GB2312" w:cs="FangSong_GB2312"/>
          <w:color w:val="000000"/>
          <w:spacing w:val="-1"/>
          <w:w w:val="100"/>
          <w:kern w:val="0"/>
          <w:position w:val="0"/>
          <w:sz w:val="32"/>
          <w:szCs w:val="20"/>
          <w:highlight w:val="none"/>
          <w:u w:val="none"/>
          <w:vertAlign w:val="baseline"/>
        </w:rPr>
        <w:t>出绩效</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评价管理办法</w:t>
      </w:r>
      <w:r>
        <w:rPr>
          <w:rFonts w:hint="default" w:ascii="FangSong_GB2312" w:hAnsi="FangSong_GB2312" w:eastAsia="FangSong_GB2312" w:cs="FangSong_GB2312"/>
          <w:color w:val="000000"/>
          <w:spacing w:val="-6"/>
          <w:w w:val="100"/>
          <w:kern w:val="0"/>
          <w:position w:val="0"/>
          <w:sz w:val="32"/>
          <w:szCs w:val="20"/>
          <w:highlight w:val="none"/>
          <w:u w:val="none"/>
          <w:vertAlign w:val="baseline"/>
        </w:rPr>
        <w:t>》</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（宜财</w:t>
      </w:r>
      <w:r>
        <w:rPr>
          <w:rFonts w:hint="default" w:ascii="FangSong_GB2312" w:hAnsi="FangSong_GB2312" w:eastAsia="FangSong_GB2312" w:cs="FangSong_GB2312"/>
          <w:color w:val="000000"/>
          <w:spacing w:val="-2"/>
          <w:w w:val="100"/>
          <w:kern w:val="0"/>
          <w:position w:val="0"/>
          <w:sz w:val="32"/>
          <w:szCs w:val="20"/>
          <w:highlight w:val="none"/>
          <w:u w:val="none"/>
          <w:vertAlign w:val="baseline"/>
        </w:rPr>
        <w:t>发</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〔202</w:t>
      </w:r>
      <w:r>
        <w:rPr>
          <w:rFonts w:hint="default" w:ascii="FangSong_GB2312" w:hAnsi="FangSong_GB2312" w:eastAsia="FangSong_GB2312" w:cs="FangSong_GB2312"/>
          <w:color w:val="000000"/>
          <w:spacing w:val="-2"/>
          <w:w w:val="100"/>
          <w:kern w:val="0"/>
          <w:position w:val="0"/>
          <w:sz w:val="32"/>
          <w:szCs w:val="20"/>
          <w:highlight w:val="none"/>
          <w:u w:val="none"/>
          <w:vertAlign w:val="baseline"/>
        </w:rPr>
        <w:t>0</w:t>
      </w:r>
      <w:r>
        <w:rPr>
          <w:rFonts w:hint="default" w:ascii="FangSong_GB2312" w:hAnsi="FangSong_GB2312" w:eastAsia="FangSong_GB2312" w:cs="FangSong_GB2312"/>
          <w:color w:val="000000"/>
          <w:spacing w:val="-3"/>
          <w:w w:val="100"/>
          <w:kern w:val="0"/>
          <w:position w:val="0"/>
          <w:sz w:val="32"/>
          <w:szCs w:val="20"/>
          <w:highlight w:val="none"/>
          <w:u w:val="none"/>
          <w:vertAlign w:val="baseline"/>
        </w:rPr>
        <w:t>〕</w:t>
      </w:r>
      <w:r>
        <w:rPr>
          <w:rFonts w:hint="default" w:ascii="FangSong_GB2312" w:hAnsi="FangSong_GB2312" w:eastAsia="FangSong_GB2312" w:cs="FangSong_GB2312"/>
          <w:color w:val="000000"/>
          <w:spacing w:val="80"/>
          <w:w w:val="100"/>
          <w:kern w:val="0"/>
          <w:position w:val="0"/>
          <w:sz w:val="32"/>
          <w:szCs w:val="20"/>
          <w:highlight w:val="none"/>
          <w:u w:val="none"/>
          <w:vertAlign w:val="baseline"/>
        </w:rPr>
        <w:t>7</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号</w:t>
      </w:r>
      <w:r>
        <w:rPr>
          <w:rFonts w:hint="default" w:ascii="FangSong_GB2312" w:hAnsi="FangSong_GB2312" w:eastAsia="FangSong_GB2312" w:cs="FangSong_GB2312"/>
          <w:color w:val="000000"/>
          <w:spacing w:val="-2"/>
          <w:w w:val="100"/>
          <w:kern w:val="0"/>
          <w:position w:val="0"/>
          <w:sz w:val="32"/>
          <w:szCs w:val="20"/>
          <w:highlight w:val="none"/>
          <w:u w:val="none"/>
          <w:vertAlign w:val="baseline"/>
        </w:rPr>
        <w:t>）</w:t>
      </w:r>
      <w:r>
        <w:rPr>
          <w:rFonts w:hint="default" w:ascii="FangSong_GB2312" w:hAnsi="FangSong_GB2312" w:eastAsia="FangSong_GB2312" w:cs="FangSong_GB2312"/>
          <w:color w:val="000000"/>
          <w:spacing w:val="-5"/>
          <w:w w:val="100"/>
          <w:kern w:val="0"/>
          <w:position w:val="0"/>
          <w:sz w:val="32"/>
          <w:szCs w:val="20"/>
          <w:highlight w:val="none"/>
          <w:u w:val="none"/>
          <w:vertAlign w:val="baseline"/>
        </w:rPr>
        <w:t>、</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《宜春市财政</w:t>
      </w:r>
      <w:r>
        <w:rPr>
          <w:rFonts w:hint="default" w:ascii="FangSong_GB2312" w:hAnsi="FangSong_GB2312" w:eastAsia="FangSong_GB2312" w:cs="FangSong_GB2312"/>
          <w:color w:val="000000"/>
          <w:spacing w:val="-1"/>
          <w:w w:val="100"/>
          <w:kern w:val="0"/>
          <w:position w:val="0"/>
          <w:sz w:val="32"/>
          <w:szCs w:val="20"/>
          <w:highlight w:val="none"/>
          <w:u w:val="none"/>
          <w:vertAlign w:val="baseline"/>
        </w:rPr>
        <w:t>局关于市级部门</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开展单位自评及部门评价工作的通</w:t>
      </w:r>
      <w:r>
        <w:rPr>
          <w:rFonts w:hint="default" w:ascii="FangSong_GB2312" w:hAnsi="FangSong_GB2312" w:eastAsia="FangSong_GB2312" w:cs="FangSong_GB2312"/>
          <w:color w:val="000000"/>
          <w:spacing w:val="3"/>
          <w:w w:val="100"/>
          <w:kern w:val="0"/>
          <w:position w:val="0"/>
          <w:sz w:val="32"/>
          <w:szCs w:val="20"/>
          <w:highlight w:val="none"/>
          <w:u w:val="none"/>
          <w:vertAlign w:val="baseline"/>
        </w:rPr>
        <w:t>知</w:t>
      </w:r>
      <w:r>
        <w:rPr>
          <w:rFonts w:hint="default" w:ascii="FangSong_GB2312" w:hAnsi="FangSong_GB2312" w:eastAsia="FangSong_GB2312" w:cs="FangSong_GB2312"/>
          <w:color w:val="000000"/>
          <w:spacing w:val="-58"/>
          <w:w w:val="100"/>
          <w:kern w:val="0"/>
          <w:position w:val="0"/>
          <w:sz w:val="32"/>
          <w:szCs w:val="20"/>
          <w:highlight w:val="none"/>
          <w:u w:val="none"/>
          <w:vertAlign w:val="baseline"/>
        </w:rPr>
        <w:t>》</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（宜财绩〔202</w:t>
      </w:r>
      <w:r>
        <w:rPr>
          <w:rFonts w:hint="default" w:ascii="FangSong_GB2312" w:hAnsi="FangSong_GB2312" w:eastAsia="FangSong_GB2312" w:cs="FangSong_GB2312"/>
          <w:color w:val="000000"/>
          <w:spacing w:val="8"/>
          <w:w w:val="100"/>
          <w:kern w:val="0"/>
          <w:position w:val="0"/>
          <w:sz w:val="32"/>
          <w:szCs w:val="20"/>
          <w:highlight w:val="none"/>
          <w:u w:val="none"/>
          <w:vertAlign w:val="baseline"/>
        </w:rPr>
        <w:t>2</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〕2</w:t>
      </w:r>
      <w:r>
        <w:rPr>
          <w:rFonts w:hint="default" w:ascii="FangSong_GB2312" w:hAnsi="FangSong_GB2312" w:eastAsia="FangSong_GB2312" w:cs="FangSong_GB2312"/>
          <w:color w:val="000000"/>
          <w:spacing w:val="-39"/>
          <w:w w:val="100"/>
          <w:kern w:val="0"/>
          <w:position w:val="0"/>
          <w:sz w:val="32"/>
          <w:szCs w:val="20"/>
          <w:highlight w:val="none"/>
          <w:u w:val="none"/>
          <w:vertAlign w:val="baseline"/>
        </w:rPr>
        <w:t xml:space="preserve"> </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号）文件要求，宜春市</w:t>
      </w:r>
      <w:r>
        <w:rPr>
          <w:rFonts w:hint="eastAsia" w:ascii="FangSong_GB2312" w:hAnsi="FangSong_GB2312" w:eastAsia="FangSong_GB2312" w:cs="FangSong_GB2312"/>
          <w:color w:val="000000"/>
          <w:spacing w:val="0"/>
          <w:w w:val="100"/>
          <w:kern w:val="0"/>
          <w:position w:val="0"/>
          <w:sz w:val="32"/>
          <w:szCs w:val="20"/>
          <w:highlight w:val="none"/>
          <w:u w:val="none"/>
          <w:vertAlign w:val="baseline"/>
          <w:lang w:val="en-US" w:eastAsia="zh-CN"/>
        </w:rPr>
        <w:t>信访局</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对202</w:t>
      </w:r>
      <w:r>
        <w:rPr>
          <w:rFonts w:hint="eastAsia" w:ascii="FangSong_GB2312" w:hAnsi="FangSong_GB2312" w:eastAsia="FangSong_GB2312" w:cs="FangSong_GB2312"/>
          <w:color w:val="000000"/>
          <w:spacing w:val="0"/>
          <w:w w:val="100"/>
          <w:kern w:val="0"/>
          <w:position w:val="0"/>
          <w:sz w:val="32"/>
          <w:szCs w:val="20"/>
          <w:highlight w:val="none"/>
          <w:u w:val="none"/>
          <w:vertAlign w:val="baseline"/>
          <w:lang w:val="en-US" w:eastAsia="zh-CN"/>
        </w:rPr>
        <w:t>1</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年</w:t>
      </w:r>
      <w:r>
        <w:rPr>
          <w:rFonts w:hint="eastAsia" w:ascii="FangSong_GB2312" w:hAnsi="FangSong_GB2312" w:eastAsia="FangSong_GB2312" w:cs="FangSong_GB2312"/>
          <w:color w:val="000000"/>
          <w:spacing w:val="-3"/>
          <w:w w:val="100"/>
          <w:kern w:val="0"/>
          <w:position w:val="0"/>
          <w:sz w:val="32"/>
          <w:szCs w:val="20"/>
          <w:highlight w:val="none"/>
          <w:u w:val="none"/>
          <w:vertAlign w:val="baseline"/>
        </w:rPr>
        <w:t>挂职干部信访</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工作经费项目绩效进行了自评价</w:t>
      </w:r>
      <w:r>
        <w:rPr>
          <w:rFonts w:hint="default" w:ascii="FangSong_GB2312" w:hAnsi="FangSong_GB2312" w:eastAsia="FangSong_GB2312" w:cs="FangSong_GB2312"/>
          <w:color w:val="000000"/>
          <w:spacing w:val="-61"/>
          <w:w w:val="100"/>
          <w:kern w:val="0"/>
          <w:position w:val="0"/>
          <w:sz w:val="32"/>
          <w:szCs w:val="20"/>
          <w:highlight w:val="none"/>
          <w:u w:val="none"/>
          <w:vertAlign w:val="baseline"/>
        </w:rPr>
        <w:t>，</w:t>
      </w:r>
      <w:r>
        <w:rPr>
          <w:rFonts w:hint="default" w:ascii="FangSong_GB2312" w:hAnsi="FangSong_GB2312" w:eastAsia="FangSong_GB2312" w:cs="FangSong_GB2312"/>
          <w:color w:val="000000"/>
          <w:spacing w:val="-3"/>
          <w:w w:val="100"/>
          <w:kern w:val="0"/>
          <w:position w:val="0"/>
          <w:sz w:val="32"/>
          <w:szCs w:val="20"/>
          <w:highlight w:val="none"/>
          <w:u w:val="none"/>
          <w:vertAlign w:val="baseline"/>
        </w:rPr>
        <w:t>现将绩效评价情</w:t>
      </w:r>
      <w:r>
        <w:rPr>
          <w:rFonts w:hint="default" w:ascii="FangSong_GB2312" w:hAnsi="FangSong_GB2312" w:eastAsia="FangSong_GB2312" w:cs="FangSong_GB2312"/>
          <w:color w:val="000000"/>
          <w:spacing w:val="0"/>
          <w:w w:val="100"/>
          <w:kern w:val="0"/>
          <w:position w:val="0"/>
          <w:sz w:val="32"/>
          <w:szCs w:val="20"/>
          <w:highlight w:val="none"/>
          <w:u w:val="none"/>
          <w:vertAlign w:val="baseline"/>
        </w:rPr>
        <w:t>况报告如下：</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一、基本情况</w:t>
      </w:r>
    </w:p>
    <w:p>
      <w:pPr>
        <w:spacing w:line="540" w:lineRule="exact"/>
        <w:ind w:firstLine="640" w:firstLineChars="200"/>
        <w:outlineLvl w:val="0"/>
        <w:rPr>
          <w:rFonts w:hint="eastAsia" w:ascii="仿宋_GB2312" w:hAnsi="仿宋_GB2312" w:eastAsia="仿宋_GB2312"/>
          <w:sz w:val="32"/>
          <w:szCs w:val="32"/>
        </w:rPr>
      </w:pPr>
      <w:r>
        <w:rPr>
          <w:rFonts w:hint="eastAsia" w:ascii="仿宋_GB2312" w:hAnsi="仿宋_GB2312" w:eastAsia="仿宋_GB2312"/>
          <w:sz w:val="32"/>
          <w:szCs w:val="32"/>
        </w:rPr>
        <w:t>（一）项目概况。</w:t>
      </w:r>
    </w:p>
    <w:p>
      <w:pPr>
        <w:adjustRightInd w:val="0"/>
        <w:ind w:firstLine="642" w:firstLineChars="200"/>
        <w:rPr>
          <w:rFonts w:eastAsia="仿宋_GB2312"/>
          <w:sz w:val="32"/>
          <w:szCs w:val="32"/>
        </w:rPr>
      </w:pPr>
      <w:r>
        <w:rPr>
          <w:rFonts w:hint="eastAsia" w:eastAsia="仿宋_GB2312"/>
          <w:b/>
          <w:sz w:val="32"/>
          <w:szCs w:val="32"/>
        </w:rPr>
        <w:t>1、项目实施依据。</w:t>
      </w:r>
      <w:r>
        <w:rPr>
          <w:rFonts w:hint="eastAsia" w:ascii="仿宋_GB2312" w:eastAsia="仿宋_GB2312"/>
          <w:sz w:val="32"/>
          <w:szCs w:val="32"/>
        </w:rPr>
        <w:t>根据《中共宜春市委办公室 宜春市人民政府办公室关于成立宜春市人民来访接待中心的通知》（宜办发电〔2017〕60号）、《中共宜春市委办公室关于印发〈宜春市人民来访接待中心进驻单位工作人员管理办法〉的通知》（宜办字〔2018〕10号）、《中共宜春市委组织部  宜春市委市政府信访局关于从市直部门选调年轻干部到市信访局锻炼的通知》（宜信发〔2010〕12号）等文件的精神，对每年在我局接访中心窗口单位工作人员、挂职锻炼干部，按《宜春市人力资源和社会保障局 宜春市财政局关于转发赣人社发〔2010〕7号文件的通知》（宜人社发〔2010〕8号）文件规定发放信访岗位津贴。</w:t>
      </w:r>
    </w:p>
    <w:p>
      <w:pPr>
        <w:adjustRightInd w:val="0"/>
        <w:ind w:firstLine="640" w:firstLineChars="200"/>
        <w:rPr>
          <w:rFonts w:eastAsia="仿宋_GB2312"/>
          <w:sz w:val="32"/>
          <w:szCs w:val="32"/>
        </w:rPr>
      </w:pPr>
      <w:r>
        <w:rPr>
          <w:rFonts w:hint="eastAsia" w:ascii="仿宋_GB2312" w:hAnsi="仿宋_GB2312" w:eastAsia="仿宋_GB2312"/>
          <w:sz w:val="32"/>
          <w:szCs w:val="32"/>
          <w:lang w:val="en-US" w:eastAsia="zh-CN"/>
        </w:rPr>
        <w:t>2021年，宜春市信访局</w:t>
      </w:r>
      <w:r>
        <w:rPr>
          <w:rFonts w:hint="eastAsia" w:ascii="仿宋_GB2312" w:hAnsi="仿宋_GB2312" w:eastAsia="仿宋_GB2312"/>
          <w:sz w:val="32"/>
          <w:szCs w:val="32"/>
          <w:lang w:eastAsia="zh-CN"/>
        </w:rPr>
        <w:t>投入</w:t>
      </w:r>
      <w:r>
        <w:rPr>
          <w:rFonts w:hint="eastAsia" w:ascii="仿宋_GB2312" w:hAnsi="仿宋_GB2312" w:eastAsia="仿宋_GB2312"/>
          <w:sz w:val="32"/>
          <w:szCs w:val="32"/>
          <w:lang w:val="en-US" w:eastAsia="zh-CN"/>
        </w:rPr>
        <w:t>5万经费用于</w:t>
      </w:r>
      <w:r>
        <w:rPr>
          <w:rFonts w:hint="eastAsia" w:eastAsia="仿宋_GB2312"/>
          <w:sz w:val="32"/>
          <w:szCs w:val="32"/>
        </w:rPr>
        <w:t>挂职干部信访津贴</w:t>
      </w:r>
      <w:r>
        <w:rPr>
          <w:rFonts w:hint="eastAsia" w:ascii="仿宋_GB2312" w:hAnsi="仿宋_GB2312" w:eastAsia="仿宋_GB2312" w:cs="Times New Roman"/>
          <w:kern w:val="2"/>
          <w:sz w:val="32"/>
          <w:szCs w:val="32"/>
          <w:lang w:val="en-US" w:eastAsia="zh-CN" w:bidi="ar-SA"/>
        </w:rPr>
        <w:t>经费项目。该项目经费主要用于</w:t>
      </w:r>
      <w:r>
        <w:rPr>
          <w:rFonts w:hint="eastAsia" w:eastAsia="仿宋_GB2312"/>
          <w:sz w:val="32"/>
          <w:szCs w:val="32"/>
        </w:rPr>
        <w:t>挂职干部信访津贴属工资福利支出，主要用于向到信访局挂职干部的信访津贴发放。</w:t>
      </w:r>
    </w:p>
    <w:p>
      <w:pPr>
        <w:adjustRightInd w:val="0"/>
        <w:ind w:firstLine="640" w:firstLineChars="200"/>
        <w:rPr>
          <w:rFonts w:hint="eastAsia" w:ascii="黑体" w:hAnsi="黑体" w:eastAsia="黑体"/>
          <w:sz w:val="32"/>
          <w:szCs w:val="32"/>
        </w:rPr>
      </w:pPr>
      <w:r>
        <w:rPr>
          <w:rFonts w:hint="eastAsia" w:hAnsi="仿宋_GB2312"/>
          <w:sz w:val="32"/>
          <w:szCs w:val="32"/>
          <w:lang w:eastAsia="zh-CN"/>
        </w:rPr>
        <w:t>（二）项目绩效目标</w:t>
      </w:r>
      <w:r>
        <w:rPr>
          <w:rFonts w:hint="eastAsia" w:ascii="仿宋_GB2312" w:hAnsi="仿宋_GB2312" w:eastAsia="仿宋_GB2312"/>
          <w:sz w:val="32"/>
          <w:szCs w:val="32"/>
        </w:rPr>
        <w:t>。</w:t>
      </w:r>
      <w:r>
        <w:rPr>
          <w:rFonts w:hint="eastAsia" w:ascii="仿宋_GB2312" w:eastAsia="仿宋_GB2312"/>
          <w:sz w:val="32"/>
          <w:szCs w:val="32"/>
        </w:rPr>
        <w:t>增加挂职干部的信访岗位的责任感，保障其合法权益</w:t>
      </w:r>
      <w:r>
        <w:rPr>
          <w:rFonts w:hint="eastAsia" w:eastAsia="仿宋_GB2312"/>
          <w:sz w:val="32"/>
          <w:szCs w:val="32"/>
        </w:rPr>
        <w:t xml:space="preserve">。 </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二、绩效评价工作开展情况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（一）绩效评价目的、对象和范围。通过对</w:t>
      </w:r>
      <w:r>
        <w:rPr>
          <w:rFonts w:hint="eastAsia" w:eastAsia="仿宋_GB2312"/>
          <w:sz w:val="32"/>
          <w:szCs w:val="32"/>
        </w:rPr>
        <w:t> 挂职干部信访津贴</w:t>
      </w:r>
      <w:r>
        <w:rPr>
          <w:rFonts w:hint="eastAsia" w:ascii="仿宋_GB2312" w:hAnsi="仿宋_GB2312" w:eastAsia="仿宋_GB2312" w:cs="Times New Roman"/>
          <w:kern w:val="2"/>
          <w:sz w:val="32"/>
          <w:szCs w:val="32"/>
          <w:lang w:val="en-US" w:eastAsia="zh-CN" w:bidi="ar-SA"/>
        </w:rPr>
        <w:t>经费项目的评价，主要是对项目的运行情况、预算安排与产、效益的匹配情况以及项目绩效目标完成情况进行深入分析、总结经验、查找问题、提出改进意见。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（二）绩效评价原则、方法和标准。依据《宜春市财政局关于市级部门开展单位自评及部门评价工作的通知》（宜财绩〔2022〕2 号）文件精神，按照科学规范、公平公正、分级分类绩效相关的原则，组织绩效人员查阅资料、公众效益、综合评价的方式。重点对项目产出质量、产出数量、产出时效、产出成本进行绩效评价。</w:t>
      </w:r>
    </w:p>
    <w:p>
      <w:pPr>
        <w:spacing w:line="54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（三）绩效评价工作过程。年初财政预算安排经费为</w:t>
      </w:r>
      <w:r>
        <w:rPr>
          <w:rFonts w:hint="eastAsia" w:ascii="仿宋_GB2312" w:hAnsi="仿宋_GB2312" w:eastAsia="仿宋_GB2312"/>
          <w:sz w:val="32"/>
          <w:szCs w:val="32"/>
          <w:lang w:val="en-US" w:eastAsia="zh-CN"/>
        </w:rPr>
        <w:t>5</w:t>
      </w:r>
      <w:r>
        <w:rPr>
          <w:rFonts w:hint="eastAsia" w:ascii="仿宋_GB2312" w:hAnsi="仿宋_GB2312" w:eastAsia="仿宋_GB2312"/>
          <w:sz w:val="32"/>
          <w:szCs w:val="32"/>
        </w:rPr>
        <w:t>万元。通过建立了一系列业务管理制度和财务管理制度,严格资金拨付,基本实现了项目资金规范使用。</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三、综合评价情况及评价结论</w:t>
      </w:r>
    </w:p>
    <w:p>
      <w:pPr>
        <w:pStyle w:val="2"/>
        <w:rPr>
          <w:rFonts w:hint="eastAsia"/>
        </w:rPr>
      </w:pPr>
      <w:r>
        <w:rPr>
          <w:rFonts w:hint="eastAsia"/>
        </w:rPr>
        <w:t>评价小组齐心协力、紧密配合,并结合实际,加强调查研究,对专项经费项目做出客观、公正、科学的评价,在收集、汇总、整理、分析有关资料的基础上,该项目经评价小组综合评价得分</w:t>
      </w:r>
      <w:r>
        <w:rPr>
          <w:rFonts w:hint="eastAsia"/>
          <w:lang w:val="en-US" w:eastAsia="zh-CN"/>
        </w:rPr>
        <w:t>97</w:t>
      </w:r>
      <w:r>
        <w:rPr>
          <w:rFonts w:hint="eastAsia"/>
        </w:rPr>
        <w:t>分,评价等级为优。</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四、绩效评价指标分析</w:t>
      </w:r>
    </w:p>
    <w:p>
      <w:pPr>
        <w:spacing w:line="360" w:lineRule="auto"/>
        <w:ind w:firstLine="640" w:firstLineChars="200"/>
        <w:outlineLvl w:val="0"/>
        <w:rPr>
          <w:rFonts w:hint="eastAsia" w:ascii="仿宋_GB2312" w:hAnsi="仿宋_GB2312" w:eastAsia="仿宋_GB2312"/>
          <w:sz w:val="32"/>
          <w:szCs w:val="32"/>
        </w:rPr>
      </w:pPr>
      <w:r>
        <w:rPr>
          <w:rFonts w:hint="eastAsia" w:ascii="仿宋_GB2312" w:hAnsi="仿宋_GB2312" w:eastAsia="仿宋_GB2312"/>
          <w:sz w:val="32"/>
          <w:szCs w:val="32"/>
        </w:rPr>
        <w:t>（一）项目决策。一是项目立项：主要是对项目立项的规范性、项目立项的合理性进行评价</w:t>
      </w:r>
      <w:r>
        <w:rPr>
          <w:rFonts w:hint="eastAsia" w:ascii="仿宋_GB2312" w:hAnsi="仿宋_GB2312" w:eastAsia="仿宋_GB2312"/>
          <w:sz w:val="32"/>
          <w:szCs w:val="32"/>
          <w:lang w:eastAsia="zh-CN"/>
        </w:rPr>
        <w:t>。</w:t>
      </w:r>
      <w:r>
        <w:rPr>
          <w:rFonts w:hint="eastAsia" w:ascii="仿宋_GB2312" w:eastAsia="仿宋_GB2312"/>
          <w:sz w:val="32"/>
          <w:szCs w:val="32"/>
        </w:rPr>
        <w:t>根据《中共宜春市委办公室 宜春市人民政府办公室关于成立宜春市人民来访接待中心的通知》（宜办发电〔2017〕60号）</w:t>
      </w:r>
      <w:r>
        <w:rPr>
          <w:rFonts w:hint="eastAsia" w:ascii="仿宋_GB2312" w:hAnsi="仿宋_GB2312" w:eastAsia="仿宋_GB2312"/>
          <w:sz w:val="32"/>
          <w:szCs w:val="32"/>
        </w:rPr>
        <w:t>及市委信访局工作职责等相关要求，我局须贯彻落实《信访条例》以及相关法律法规，根据党中央国务院、省委省政府、市委市政府工作部署，协调、督导、指导全市信访工作，办理群众信访事项。因此，</w:t>
      </w:r>
      <w:r>
        <w:rPr>
          <w:rFonts w:hint="eastAsia" w:eastAsia="仿宋_GB2312"/>
          <w:sz w:val="32"/>
          <w:szCs w:val="32"/>
        </w:rPr>
        <w:t>信访局挂职干部</w:t>
      </w:r>
      <w:r>
        <w:rPr>
          <w:rFonts w:hint="eastAsia" w:ascii="仿宋_GB2312" w:hAnsi="仿宋_GB2312" w:eastAsia="仿宋_GB2312"/>
          <w:sz w:val="32"/>
          <w:szCs w:val="32"/>
        </w:rPr>
        <w:t>经费项目的设立是我局履行职责的必要工作保障。该项目符合申报条件、符合部门职责和年度工作计划，通过评价</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该项目绩效目标</w:t>
      </w:r>
      <w:r>
        <w:rPr>
          <w:rFonts w:hint="eastAsia" w:ascii="仿宋_GB2312" w:hAnsi="仿宋_GB2312" w:eastAsia="仿宋_GB2312"/>
          <w:sz w:val="32"/>
          <w:szCs w:val="32"/>
          <w:lang w:val="en-US" w:eastAsia="zh-CN"/>
        </w:rPr>
        <w:t>合理</w:t>
      </w:r>
      <w:r>
        <w:rPr>
          <w:rFonts w:hint="eastAsia" w:ascii="仿宋_GB2312" w:hAnsi="仿宋_GB2312" w:eastAsia="仿宋_GB2312"/>
          <w:sz w:val="32"/>
          <w:szCs w:val="32"/>
        </w:rPr>
        <w:t>，绩效指标清晰、可衡量。二是绩效目标：我</w:t>
      </w:r>
      <w:r>
        <w:rPr>
          <w:rFonts w:hint="eastAsia" w:ascii="仿宋_GB2312" w:hAnsi="仿宋_GB2312" w:eastAsia="仿宋_GB2312"/>
          <w:sz w:val="32"/>
          <w:szCs w:val="32"/>
          <w:lang w:val="en-US" w:eastAsia="zh-CN"/>
        </w:rPr>
        <w:t>局</w:t>
      </w:r>
      <w:r>
        <w:rPr>
          <w:rFonts w:hint="eastAsia" w:ascii="仿宋_GB2312" w:hAnsi="仿宋_GB2312" w:eastAsia="仿宋_GB2312"/>
          <w:sz w:val="32"/>
          <w:szCs w:val="32"/>
        </w:rPr>
        <w:t>编制预算时，为该项目在本年度所计划达到的产出和效果设定了合理的目标。该绩效目标按照数量、质量、时效与效益等不同方面，将项目年度任务分解为绩效指标，每条指标基于 2021 年预算资金用途设置，与预算资金量相匹配。同时，在设定绩效指标时，部分指标明确清晰、可衡量，本项目绩效目标依据充分，与实际工作内容密切相关，预算确定的项目投资额与资金量相匹配；三是资金使用：主要是对资金落实率、到位率、及时率和使用率进行评价，通过评价</w:t>
      </w:r>
      <w:r>
        <w:rPr>
          <w:rFonts w:hint="eastAsia" w:ascii="仿宋_GB2312" w:hAnsi="仿宋_GB2312" w:eastAsia="仿宋_GB2312"/>
          <w:sz w:val="32"/>
          <w:szCs w:val="32"/>
          <w:lang w:val="en-US" w:eastAsia="zh-CN"/>
        </w:rPr>
        <w:t>发现该项目预算编制科学，并能按照标准编制，预算内容与项目内容匹配，预算额度测算依据充分，资金分配合理</w:t>
      </w:r>
      <w:r>
        <w:rPr>
          <w:rFonts w:hint="eastAsia" w:ascii="仿宋_GB2312" w:hAnsi="仿宋_GB2312" w:eastAsia="仿宋_GB2312"/>
          <w:sz w:val="32"/>
          <w:szCs w:val="32"/>
        </w:rPr>
        <w:t>。</w:t>
      </w:r>
    </w:p>
    <w:p>
      <w:pPr>
        <w:spacing w:line="360" w:lineRule="auto"/>
        <w:ind w:firstLine="640" w:firstLineChars="200"/>
        <w:outlineLvl w:val="0"/>
        <w:rPr>
          <w:rFonts w:hint="eastAsia" w:ascii="仿宋_GB2312" w:hAnsi="仿宋_GB2312" w:eastAsia="仿宋_GB2312"/>
          <w:sz w:val="32"/>
          <w:szCs w:val="32"/>
        </w:rPr>
      </w:pPr>
      <w:r>
        <w:rPr>
          <w:rFonts w:hint="eastAsia" w:ascii="仿宋_GB2312" w:hAnsi="仿宋_GB2312" w:eastAsia="仿宋_GB2312"/>
          <w:sz w:val="32"/>
          <w:szCs w:val="32"/>
        </w:rPr>
        <w:t>（二）项目过程。主要对项目在管理制定健全性、制度执行有效性进行评价，看业务管理制度是否健全，程序是否完整，效果是否良好，是否制定相应的项目资金管理办法，财务监控措施是</w:t>
      </w:r>
      <w:r>
        <w:rPr>
          <w:rFonts w:hint="eastAsia" w:ascii="仿宋_GB2312" w:hAnsi="仿宋_GB2312" w:eastAsia="仿宋_GB2312" w:cs="Times New Roman"/>
          <w:sz w:val="32"/>
          <w:szCs w:val="32"/>
        </w:rPr>
        <w:t>否有效，经费使用，有无超范围、超标准;通过查看和评价，2021 年度</w:t>
      </w:r>
      <w:r>
        <w:rPr>
          <w:rFonts w:hint="eastAsia" w:eastAsia="仿宋_GB2312"/>
          <w:sz w:val="32"/>
          <w:szCs w:val="32"/>
        </w:rPr>
        <w:t>信访局挂职干部</w:t>
      </w:r>
      <w:r>
        <w:rPr>
          <w:rFonts w:hint="eastAsia" w:ascii="仿宋_GB2312" w:hAnsi="仿宋_GB2312" w:eastAsia="仿宋_GB2312" w:cs="Times New Roman"/>
          <w:sz w:val="32"/>
          <w:szCs w:val="32"/>
        </w:rPr>
        <w:t>工作经费全年预算数</w:t>
      </w:r>
      <w:r>
        <w:rPr>
          <w:rFonts w:hint="eastAsia" w:ascii="仿宋_GB2312" w:hAnsi="仿宋_GB2312" w:eastAsia="仿宋_GB2312" w:cs="Times New Roman"/>
          <w:sz w:val="32"/>
          <w:szCs w:val="32"/>
          <w:lang w:val="en-US" w:eastAsia="zh-CN"/>
        </w:rPr>
        <w:t>5</w:t>
      </w:r>
      <w:r>
        <w:rPr>
          <w:rFonts w:hint="eastAsia" w:ascii="仿宋_GB2312" w:hAnsi="仿宋_GB2312" w:eastAsia="仿宋_GB2312" w:cs="Times New Roman"/>
          <w:sz w:val="32"/>
          <w:szCs w:val="32"/>
        </w:rPr>
        <w:t>万元，市财政当年实际拨付</w:t>
      </w:r>
      <w:r>
        <w:rPr>
          <w:rFonts w:hint="eastAsia" w:ascii="仿宋_GB2312" w:hAnsi="仿宋_GB2312" w:eastAsia="仿宋_GB2312" w:cs="Times New Roman"/>
          <w:sz w:val="32"/>
          <w:szCs w:val="32"/>
          <w:lang w:val="en-US" w:eastAsia="zh-CN"/>
        </w:rPr>
        <w:t>5</w:t>
      </w:r>
      <w:r>
        <w:rPr>
          <w:rFonts w:hint="eastAsia" w:ascii="仿宋_GB2312" w:hAnsi="仿宋_GB2312" w:eastAsia="仿宋_GB2312" w:cs="Times New Roman"/>
          <w:sz w:val="32"/>
          <w:szCs w:val="32"/>
        </w:rPr>
        <w:t>万元，资金到位率100%</w:t>
      </w:r>
      <w:r>
        <w:rPr>
          <w:rFonts w:hint="eastAsia" w:ascii="仿宋_GB2312" w:hAnsi="仿宋_GB2312" w:eastAsia="仿宋_GB2312" w:cs="Times New Roman"/>
          <w:sz w:val="32"/>
          <w:szCs w:val="32"/>
          <w:lang w:eastAsia="zh-CN"/>
        </w:rPr>
        <w:t>，当年预算执行数</w:t>
      </w:r>
      <w:r>
        <w:rPr>
          <w:rFonts w:hint="eastAsia" w:ascii="仿宋_GB2312" w:hAnsi="仿宋_GB2312" w:eastAsia="仿宋_GB2312" w:cs="Times New Roman"/>
          <w:sz w:val="32"/>
          <w:szCs w:val="32"/>
          <w:lang w:val="en-US" w:eastAsia="zh-CN"/>
        </w:rPr>
        <w:t>5</w:t>
      </w:r>
      <w:r>
        <w:rPr>
          <w:rFonts w:hint="eastAsia" w:ascii="仿宋_GB2312" w:hAnsi="仿宋_GB2312" w:eastAsia="仿宋_GB2312" w:cs="Times New Roman"/>
          <w:sz w:val="32"/>
          <w:szCs w:val="32"/>
          <w:lang w:eastAsia="zh-CN"/>
        </w:rPr>
        <w:t>万元，预算执行率 100%，预算执行率100%。</w:t>
      </w:r>
      <w:r>
        <w:rPr>
          <w:rFonts w:hint="eastAsia" w:ascii="仿宋_GB2312" w:hAnsi="仿宋_GB2312" w:eastAsia="仿宋_GB2312" w:cs="Times New Roman"/>
          <w:sz w:val="32"/>
          <w:szCs w:val="32"/>
        </w:rPr>
        <w:t>由</w:t>
      </w:r>
      <w:r>
        <w:rPr>
          <w:rFonts w:hint="eastAsia" w:ascii="仿宋_GB2312" w:hAnsi="仿宋_GB2312" w:eastAsia="仿宋_GB2312" w:cs="Times New Roman"/>
          <w:sz w:val="32"/>
          <w:szCs w:val="32"/>
          <w:lang w:val="en-US" w:eastAsia="zh-CN"/>
        </w:rPr>
        <w:t>我局</w:t>
      </w:r>
      <w:r>
        <w:rPr>
          <w:rFonts w:hint="eastAsia" w:ascii="仿宋_GB2312" w:hAnsi="仿宋_GB2312" w:eastAsia="仿宋_GB2312" w:cs="Times New Roman"/>
          <w:sz w:val="32"/>
          <w:szCs w:val="32"/>
        </w:rPr>
        <w:t>集中管理开支，制定了经费使用管理制度，成立</w:t>
      </w:r>
      <w:r>
        <w:rPr>
          <w:rFonts w:hint="eastAsia" w:ascii="仿宋_GB2312" w:hAnsi="仿宋_GB2312" w:eastAsia="仿宋_GB2312"/>
          <w:sz w:val="32"/>
          <w:szCs w:val="32"/>
        </w:rPr>
        <w:t>了内部财务监控小组，严格财务管理制度，开支符合要求。</w:t>
      </w:r>
    </w:p>
    <w:p>
      <w:pPr>
        <w:numPr>
          <w:ilvl w:val="0"/>
          <w:numId w:val="1"/>
        </w:numPr>
        <w:spacing w:line="360" w:lineRule="auto"/>
        <w:ind w:firstLine="640" w:firstLineChars="200"/>
        <w:outlineLvl w:val="0"/>
        <w:rPr>
          <w:rFonts w:hint="eastAsia" w:ascii="仿宋_GB2312" w:hAnsi="仿宋_GB2312" w:eastAsia="仿宋_GB2312"/>
          <w:sz w:val="32"/>
          <w:szCs w:val="32"/>
        </w:rPr>
      </w:pPr>
      <w:r>
        <w:rPr>
          <w:rFonts w:hint="eastAsia" w:ascii="仿宋_GB2312" w:hAnsi="仿宋_GB2312" w:eastAsia="仿宋_GB2312"/>
          <w:sz w:val="32"/>
          <w:szCs w:val="32"/>
        </w:rPr>
        <w:t>项目产出。</w:t>
      </w:r>
    </w:p>
    <w:p>
      <w:pPr>
        <w:adjustRightInd w:val="0"/>
        <w:spacing w:line="360" w:lineRule="auto"/>
        <w:ind w:firstLine="640" w:firstLineChars="200"/>
        <w:rPr>
          <w:rFonts w:hint="eastAsia" w:ascii="仿宋_GB2312" w:hAnsi="仿宋_GB2312" w:eastAsia="仿宋_GB2312"/>
          <w:sz w:val="32"/>
          <w:szCs w:val="32"/>
        </w:rPr>
      </w:pPr>
      <w:r>
        <w:rPr>
          <w:rFonts w:hint="eastAsia" w:ascii="仿宋_GB2312" w:eastAsia="仿宋_GB2312"/>
          <w:sz w:val="32"/>
          <w:szCs w:val="32"/>
        </w:rPr>
        <w:t>项目产出指标评价标准制订主要是根据对到我局挂职的干部及市人民来访接待中心窗口单位工作人员的信访津贴是否错发乱发。</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val="en-US" w:eastAsia="zh-CN"/>
        </w:rPr>
        <w:t>主要经验做法</w:t>
      </w:r>
    </w:p>
    <w:p>
      <w:pPr>
        <w:adjustRightInd w:val="0"/>
        <w:ind w:firstLine="640" w:firstLineChars="200"/>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年，对市人民来访接待中心窗口单位工作人员、市委组织部选派到我局挂职的信访督查专员及信访督查专员助理、各县市区选派到我局锻炼干部共19名同志按规定发放了信访岗位津贴。</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六、有关建议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Times New Roman"/>
          <w:sz w:val="32"/>
          <w:szCs w:val="32"/>
          <w:lang w:eastAsia="zh-CN"/>
        </w:rPr>
      </w:pPr>
      <w:r>
        <w:rPr>
          <w:rFonts w:hint="eastAsia" w:ascii="仿宋_GB2312" w:hAnsi="仿宋_GB2312" w:eastAsia="仿宋_GB2312" w:cs="Times New Roman"/>
          <w:sz w:val="32"/>
          <w:szCs w:val="32"/>
          <w:lang w:eastAsia="zh-CN"/>
        </w:rPr>
        <w:t>1.完善工作制度。进一步健全完善信访</w:t>
      </w:r>
      <w:r>
        <w:rPr>
          <w:rFonts w:hint="eastAsia" w:eastAsia="仿宋_GB2312"/>
          <w:sz w:val="32"/>
          <w:szCs w:val="32"/>
        </w:rPr>
        <w:t>挂职干部信访</w:t>
      </w:r>
      <w:r>
        <w:rPr>
          <w:rFonts w:hint="eastAsia" w:ascii="仿宋_GB2312" w:hAnsi="仿宋_GB2312" w:eastAsia="仿宋_GB2312" w:cs="Times New Roman"/>
          <w:sz w:val="32"/>
          <w:szCs w:val="32"/>
          <w:lang w:eastAsia="zh-CN"/>
        </w:rPr>
        <w:t>工作制度，提升劝返工作质效，加大与</w:t>
      </w:r>
      <w:r>
        <w:rPr>
          <w:rFonts w:hint="eastAsia" w:ascii="仿宋_GB2312" w:hAnsi="仿宋_GB2312" w:eastAsia="仿宋_GB2312" w:cs="Times New Roman"/>
          <w:sz w:val="32"/>
          <w:szCs w:val="32"/>
          <w:lang w:val="en-US" w:eastAsia="zh-CN"/>
        </w:rPr>
        <w:t>市、区、县</w:t>
      </w:r>
      <w:r>
        <w:rPr>
          <w:rFonts w:hint="eastAsia" w:ascii="仿宋_GB2312" w:hAnsi="仿宋_GB2312" w:eastAsia="仿宋_GB2312" w:cs="Times New Roman"/>
          <w:sz w:val="32"/>
          <w:szCs w:val="32"/>
          <w:lang w:eastAsia="zh-CN"/>
        </w:rPr>
        <w:t>沟通联系力度，切实做好</w:t>
      </w:r>
      <w:r>
        <w:rPr>
          <w:rFonts w:hint="eastAsia" w:eastAsia="仿宋_GB2312"/>
          <w:sz w:val="32"/>
          <w:szCs w:val="32"/>
        </w:rPr>
        <w:t>挂职干部</w:t>
      </w:r>
      <w:r>
        <w:rPr>
          <w:rFonts w:hint="eastAsia" w:eastAsia="仿宋_GB2312"/>
          <w:sz w:val="32"/>
          <w:szCs w:val="32"/>
          <w:lang w:eastAsia="zh-CN"/>
        </w:rPr>
        <w:t>的</w:t>
      </w:r>
      <w:bookmarkStart w:id="0" w:name="_GoBack"/>
      <w:bookmarkEnd w:id="0"/>
      <w:r>
        <w:rPr>
          <w:rFonts w:hint="eastAsia" w:ascii="仿宋_GB2312" w:hAnsi="仿宋_GB2312" w:eastAsia="仿宋_GB2312" w:cs="Times New Roman"/>
          <w:sz w:val="32"/>
          <w:szCs w:val="32"/>
          <w:lang w:eastAsia="zh-CN"/>
        </w:rPr>
        <w:t>各项工作。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Times New Roman"/>
          <w:sz w:val="32"/>
          <w:szCs w:val="32"/>
          <w:lang w:eastAsia="zh-CN"/>
        </w:rPr>
      </w:pPr>
      <w:r>
        <w:rPr>
          <w:rFonts w:hint="eastAsia" w:ascii="仿宋_GB2312" w:hAnsi="仿宋_GB2312" w:eastAsia="仿宋_GB2312" w:cs="Times New Roman"/>
          <w:sz w:val="32"/>
          <w:szCs w:val="32"/>
          <w:lang w:val="en-US" w:eastAsia="zh-CN"/>
        </w:rPr>
        <w:t>2.</w:t>
      </w:r>
      <w:r>
        <w:rPr>
          <w:rFonts w:hint="eastAsia" w:ascii="仿宋_GB2312" w:hAnsi="仿宋_GB2312" w:eastAsia="仿宋_GB2312" w:cs="Times New Roman"/>
          <w:sz w:val="32"/>
          <w:szCs w:val="32"/>
          <w:lang w:eastAsia="zh-CN"/>
        </w:rPr>
        <w:t>规范资金使用。面对新形势，进一步推进</w:t>
      </w:r>
      <w:r>
        <w:rPr>
          <w:rFonts w:hint="eastAsia" w:eastAsia="仿宋_GB2312"/>
          <w:sz w:val="32"/>
          <w:szCs w:val="32"/>
        </w:rPr>
        <w:t>挂职干部信</w:t>
      </w:r>
      <w:r>
        <w:rPr>
          <w:rFonts w:hint="eastAsia" w:ascii="仿宋_GB2312" w:hAnsi="仿宋_GB2312" w:eastAsia="仿宋_GB2312" w:cs="Times New Roman"/>
          <w:sz w:val="32"/>
          <w:szCs w:val="32"/>
          <w:lang w:eastAsia="zh-CN"/>
        </w:rPr>
        <w:t>工作组经费管理制度改革，强化自我约束和自我规范，确保用得好、用到实处，强化资金使用绩效评价，保障资金使用安全规范有效。</w:t>
      </w:r>
    </w:p>
    <w:p>
      <w:pPr>
        <w:spacing w:line="54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七、其他需要说明的问题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Times New Roman"/>
          <w:sz w:val="32"/>
          <w:szCs w:val="32"/>
          <w:lang w:eastAsia="zh-CN"/>
        </w:rPr>
      </w:pPr>
      <w:r>
        <w:rPr>
          <w:rFonts w:hint="eastAsia" w:ascii="仿宋_GB2312" w:hAnsi="仿宋_GB2312" w:eastAsia="仿宋_GB2312" w:cs="Times New Roman"/>
          <w:sz w:val="32"/>
          <w:szCs w:val="32"/>
          <w:lang w:eastAsia="zh-CN"/>
        </w:rPr>
        <w:t>无</w:t>
      </w:r>
    </w:p>
    <w:p>
      <w:pPr>
        <w:spacing w:line="200" w:lineRule="exact"/>
        <w:jc w:val="center"/>
        <w:rPr>
          <w:rFonts w:hint="eastAsia" w:ascii="方正小标宋简体" w:hAnsi="方正小标宋简体" w:eastAsia="方正小标宋简体" w:cs="方正小标宋简体"/>
          <w:bCs/>
          <w:sz w:val="44"/>
          <w:szCs w:val="44"/>
        </w:rPr>
      </w:pPr>
    </w:p>
    <w:p>
      <w:pPr>
        <w:spacing w:line="578"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部门评价表</w:t>
      </w:r>
    </w:p>
    <w:p>
      <w:pPr>
        <w:spacing w:line="200" w:lineRule="exact"/>
        <w:jc w:val="center"/>
        <w:rPr>
          <w:rFonts w:hint="eastAsia" w:ascii="方正小标宋简体" w:hAnsi="方正小标宋简体" w:eastAsia="方正小标宋简体" w:cs="方正小标宋简体"/>
          <w:bCs/>
          <w:sz w:val="44"/>
          <w:szCs w:val="44"/>
        </w:rPr>
      </w:pPr>
    </w:p>
    <w:tbl>
      <w:tblPr>
        <w:tblStyle w:val="6"/>
        <w:tblW w:w="8914" w:type="dxa"/>
        <w:tblInd w:w="93" w:type="dxa"/>
        <w:tblLayout w:type="fixed"/>
        <w:tblCellMar>
          <w:top w:w="0" w:type="dxa"/>
          <w:left w:w="108" w:type="dxa"/>
          <w:bottom w:w="0" w:type="dxa"/>
          <w:right w:w="108" w:type="dxa"/>
        </w:tblCellMar>
      </w:tblPr>
      <w:tblGrid>
        <w:gridCol w:w="915"/>
        <w:gridCol w:w="900"/>
        <w:gridCol w:w="236"/>
        <w:gridCol w:w="1020"/>
        <w:gridCol w:w="739"/>
        <w:gridCol w:w="236"/>
        <w:gridCol w:w="1080"/>
        <w:gridCol w:w="1494"/>
        <w:gridCol w:w="236"/>
        <w:gridCol w:w="569"/>
        <w:gridCol w:w="236"/>
        <w:gridCol w:w="484"/>
        <w:gridCol w:w="236"/>
        <w:gridCol w:w="484"/>
        <w:gridCol w:w="49"/>
      </w:tblGrid>
      <w:tr>
        <w:tblPrEx>
          <w:tblCellMar>
            <w:top w:w="0" w:type="dxa"/>
            <w:left w:w="108" w:type="dxa"/>
            <w:bottom w:w="0" w:type="dxa"/>
            <w:right w:w="108" w:type="dxa"/>
          </w:tblCellMar>
        </w:tblPrEx>
        <w:trPr>
          <w:gridAfter w:val="1"/>
          <w:wAfter w:w="49" w:type="dxa"/>
          <w:trHeight w:val="555" w:hRule="atLeast"/>
        </w:trPr>
        <w:tc>
          <w:tcPr>
            <w:tcW w:w="91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一级指标</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二级指标</w:t>
            </w:r>
          </w:p>
        </w:tc>
        <w:tc>
          <w:tcPr>
            <w:tcW w:w="1995" w:type="dxa"/>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三级指标</w:t>
            </w:r>
          </w:p>
        </w:tc>
        <w:tc>
          <w:tcPr>
            <w:tcW w:w="2810" w:type="dxa"/>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评分标准</w:t>
            </w:r>
          </w:p>
        </w:tc>
        <w:tc>
          <w:tcPr>
            <w:tcW w:w="805"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预期</w:t>
            </w:r>
          </w:p>
        </w:tc>
        <w:tc>
          <w:tcPr>
            <w:tcW w:w="720"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实际</w:t>
            </w:r>
          </w:p>
        </w:tc>
        <w:tc>
          <w:tcPr>
            <w:tcW w:w="720"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评价</w:t>
            </w:r>
          </w:p>
        </w:tc>
      </w:tr>
      <w:tr>
        <w:tblPrEx>
          <w:tblCellMar>
            <w:top w:w="0" w:type="dxa"/>
            <w:left w:w="108" w:type="dxa"/>
            <w:bottom w:w="0" w:type="dxa"/>
            <w:right w:w="108" w:type="dxa"/>
          </w:tblCellMar>
        </w:tblPrEx>
        <w:trPr>
          <w:gridAfter w:val="1"/>
          <w:wAfter w:w="49" w:type="dxa"/>
          <w:trHeight w:val="510"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1995"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281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目标</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值</w:t>
            </w:r>
          </w:p>
        </w:tc>
        <w:tc>
          <w:tcPr>
            <w:tcW w:w="720"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得分</w:t>
            </w:r>
          </w:p>
        </w:tc>
      </w:tr>
      <w:tr>
        <w:tblPrEx>
          <w:tblCellMar>
            <w:top w:w="0" w:type="dxa"/>
            <w:left w:w="108" w:type="dxa"/>
            <w:bottom w:w="0" w:type="dxa"/>
            <w:right w:w="108" w:type="dxa"/>
          </w:tblCellMar>
        </w:tblPrEx>
        <w:trPr>
          <w:gridAfter w:val="1"/>
          <w:wAfter w:w="49" w:type="dxa"/>
          <w:trHeight w:val="900" w:hRule="atLeast"/>
        </w:trPr>
        <w:tc>
          <w:tcPr>
            <w:tcW w:w="915"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投入指标(10分)</w:t>
            </w: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项目立项</w:t>
            </w:r>
          </w:p>
        </w:tc>
        <w:tc>
          <w:tcPr>
            <w:tcW w:w="1995"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项目立项规范性</w:t>
            </w:r>
          </w:p>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（5分）</w:t>
            </w:r>
          </w:p>
        </w:tc>
        <w:tc>
          <w:tcPr>
            <w:tcW w:w="2810"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cs="宋体"/>
                <w:kern w:val="0"/>
                <w:sz w:val="22"/>
                <w:szCs w:val="22"/>
              </w:rPr>
            </w:pPr>
            <w:r>
              <w:rPr>
                <w:rFonts w:hint="eastAsia" w:ascii="宋体" w:hAnsi="宋体" w:cs="宋体"/>
                <w:kern w:val="0"/>
                <w:sz w:val="22"/>
                <w:szCs w:val="22"/>
              </w:rPr>
              <w:t>项目立项是否规范合理</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p>
        </w:tc>
        <w:tc>
          <w:tcPr>
            <w:tcW w:w="720"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gridAfter w:val="1"/>
          <w:wAfter w:w="49" w:type="dxa"/>
          <w:trHeight w:val="1035" w:hRule="atLeast"/>
        </w:trPr>
        <w:tc>
          <w:tcPr>
            <w:tcW w:w="9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资金落实</w:t>
            </w:r>
          </w:p>
        </w:tc>
        <w:tc>
          <w:tcPr>
            <w:tcW w:w="1995"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预算资金执行率</w:t>
            </w:r>
          </w:p>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（5分）</w:t>
            </w:r>
          </w:p>
        </w:tc>
        <w:tc>
          <w:tcPr>
            <w:tcW w:w="2810"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cs="宋体"/>
                <w:kern w:val="0"/>
                <w:sz w:val="22"/>
                <w:szCs w:val="22"/>
              </w:rPr>
            </w:pPr>
            <w:r>
              <w:rPr>
                <w:rFonts w:hint="eastAsia" w:ascii="宋体" w:hAnsi="宋体" w:cs="宋体"/>
                <w:kern w:val="0"/>
                <w:sz w:val="22"/>
                <w:szCs w:val="22"/>
              </w:rPr>
              <w:t>预算资金是否按进度拨付到位</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p>
        </w:tc>
        <w:tc>
          <w:tcPr>
            <w:tcW w:w="720"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gridAfter w:val="1"/>
          <w:wAfter w:w="49" w:type="dxa"/>
          <w:trHeight w:val="825" w:hRule="atLeast"/>
        </w:trPr>
        <w:tc>
          <w:tcPr>
            <w:tcW w:w="915"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过程指标(10分)</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财务管理</w:t>
            </w:r>
          </w:p>
        </w:tc>
        <w:tc>
          <w:tcPr>
            <w:tcW w:w="1995"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管理制度健全性</w:t>
            </w:r>
          </w:p>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（5分）</w:t>
            </w:r>
          </w:p>
        </w:tc>
        <w:tc>
          <w:tcPr>
            <w:tcW w:w="2810"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cs="宋体"/>
                <w:kern w:val="0"/>
                <w:sz w:val="22"/>
                <w:szCs w:val="22"/>
              </w:rPr>
            </w:pPr>
            <w:r>
              <w:rPr>
                <w:rFonts w:hint="eastAsia" w:ascii="宋体" w:hAnsi="宋体" w:cs="宋体"/>
                <w:kern w:val="0"/>
                <w:sz w:val="22"/>
                <w:szCs w:val="22"/>
              </w:rPr>
              <w:t>是否建立规范的财务管理制度</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p>
        </w:tc>
        <w:tc>
          <w:tcPr>
            <w:tcW w:w="720"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gridAfter w:val="1"/>
          <w:wAfter w:w="49" w:type="dxa"/>
          <w:trHeight w:val="825" w:hRule="atLeast"/>
        </w:trPr>
        <w:tc>
          <w:tcPr>
            <w:tcW w:w="91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1995" w:type="dxa"/>
            <w:gridSpan w:val="3"/>
            <w:vMerge w:val="restart"/>
            <w:tcBorders>
              <w:top w:val="single" w:color="auto"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财务监控有效性</w:t>
            </w:r>
          </w:p>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（5分）</w:t>
            </w:r>
          </w:p>
        </w:tc>
        <w:tc>
          <w:tcPr>
            <w:tcW w:w="2810"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cs="宋体"/>
                <w:kern w:val="0"/>
                <w:sz w:val="22"/>
                <w:szCs w:val="22"/>
              </w:rPr>
            </w:pPr>
            <w:r>
              <w:rPr>
                <w:rFonts w:hint="eastAsia" w:ascii="宋体" w:hAnsi="宋体" w:cs="宋体"/>
                <w:kern w:val="0"/>
                <w:sz w:val="22"/>
                <w:szCs w:val="22"/>
              </w:rPr>
              <w:t>是否按规定进行了专项资金核算</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p>
        </w:tc>
        <w:tc>
          <w:tcPr>
            <w:tcW w:w="720"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gridAfter w:val="1"/>
          <w:wAfter w:w="49" w:type="dxa"/>
          <w:trHeight w:val="1005" w:hRule="atLeast"/>
        </w:trPr>
        <w:tc>
          <w:tcPr>
            <w:tcW w:w="91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1995" w:type="dxa"/>
            <w:gridSpan w:val="3"/>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2810"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cs="宋体"/>
                <w:kern w:val="0"/>
                <w:sz w:val="22"/>
                <w:szCs w:val="22"/>
              </w:rPr>
            </w:pPr>
            <w:r>
              <w:rPr>
                <w:rFonts w:hint="eastAsia" w:ascii="宋体" w:hAnsi="宋体" w:cs="宋体"/>
                <w:kern w:val="0"/>
                <w:sz w:val="22"/>
                <w:szCs w:val="22"/>
              </w:rPr>
              <w:t>结转资金不超过10%，每超过1%扣1分，扣完为止</w:t>
            </w:r>
          </w:p>
        </w:tc>
        <w:tc>
          <w:tcPr>
            <w:tcW w:w="80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72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72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49" w:type="dxa"/>
          <w:trHeight w:val="1380" w:hRule="atLeast"/>
        </w:trPr>
        <w:tc>
          <w:tcPr>
            <w:tcW w:w="915"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项目产出（50分）</w:t>
            </w:r>
          </w:p>
        </w:tc>
        <w:tc>
          <w:tcPr>
            <w:tcW w:w="900" w:type="dxa"/>
            <w:vMerge w:val="restart"/>
            <w:tcBorders>
              <w:top w:val="single" w:color="auto"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产出成本</w:t>
            </w:r>
          </w:p>
        </w:tc>
        <w:tc>
          <w:tcPr>
            <w:tcW w:w="1995"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按规定对相关人员发放信访津贴</w:t>
            </w:r>
          </w:p>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（40分）</w:t>
            </w:r>
          </w:p>
        </w:tc>
        <w:tc>
          <w:tcPr>
            <w:tcW w:w="2810"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存在应发未发不得分，存在错发、漏发不得分</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p>
        </w:tc>
        <w:tc>
          <w:tcPr>
            <w:tcW w:w="720" w:type="dxa"/>
            <w:gridSpan w:val="2"/>
            <w:tcBorders>
              <w:top w:val="single" w:color="auto" w:sz="4" w:space="0"/>
              <w:left w:val="nil"/>
              <w:bottom w:val="single" w:color="auto" w:sz="4" w:space="0"/>
              <w:right w:val="single" w:color="auto" w:sz="4" w:space="0"/>
            </w:tcBorders>
            <w:noWrap/>
            <w:vAlign w:val="center"/>
          </w:tcPr>
          <w:p>
            <w:pPr>
              <w:widowControl/>
              <w:jc w:val="center"/>
              <w:rPr>
                <w:kern w:val="0"/>
                <w:sz w:val="22"/>
                <w:szCs w:val="22"/>
              </w:rPr>
            </w:pPr>
          </w:p>
        </w:tc>
      </w:tr>
      <w:tr>
        <w:tblPrEx>
          <w:tblCellMar>
            <w:top w:w="0" w:type="dxa"/>
            <w:left w:w="108" w:type="dxa"/>
            <w:bottom w:w="0" w:type="dxa"/>
            <w:right w:w="108" w:type="dxa"/>
          </w:tblCellMar>
        </w:tblPrEx>
        <w:trPr>
          <w:gridAfter w:val="1"/>
          <w:wAfter w:w="49" w:type="dxa"/>
          <w:trHeight w:val="915" w:hRule="atLeast"/>
        </w:trPr>
        <w:tc>
          <w:tcPr>
            <w:tcW w:w="91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900" w:type="dxa"/>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1995"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项目预算总额不超过5万元（10分）</w:t>
            </w:r>
          </w:p>
        </w:tc>
        <w:tc>
          <w:tcPr>
            <w:tcW w:w="2810"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不超过项目预算总额5万元，超过不得分</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kern w:val="0"/>
                <w:sz w:val="22"/>
                <w:szCs w:val="22"/>
              </w:rPr>
            </w:pPr>
            <w:r>
              <w:rPr>
                <w:kern w:val="0"/>
                <w:sz w:val="22"/>
                <w:szCs w:val="22"/>
              </w:rPr>
              <w:t>5</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kern w:val="0"/>
                <w:sz w:val="22"/>
                <w:szCs w:val="22"/>
              </w:rPr>
            </w:pPr>
          </w:p>
        </w:tc>
        <w:tc>
          <w:tcPr>
            <w:tcW w:w="720" w:type="dxa"/>
            <w:gridSpan w:val="2"/>
            <w:tcBorders>
              <w:top w:val="single" w:color="auto" w:sz="4" w:space="0"/>
              <w:left w:val="nil"/>
              <w:bottom w:val="single" w:color="auto" w:sz="4" w:space="0"/>
              <w:right w:val="single" w:color="auto" w:sz="4" w:space="0"/>
            </w:tcBorders>
            <w:noWrap/>
            <w:vAlign w:val="center"/>
          </w:tcPr>
          <w:p>
            <w:pPr>
              <w:widowControl/>
              <w:jc w:val="center"/>
              <w:rPr>
                <w:kern w:val="0"/>
                <w:sz w:val="22"/>
                <w:szCs w:val="22"/>
              </w:rPr>
            </w:pPr>
          </w:p>
        </w:tc>
      </w:tr>
      <w:tr>
        <w:tblPrEx>
          <w:tblCellMar>
            <w:top w:w="0" w:type="dxa"/>
            <w:left w:w="108" w:type="dxa"/>
            <w:bottom w:w="0" w:type="dxa"/>
            <w:right w:w="108" w:type="dxa"/>
          </w:tblCellMar>
        </w:tblPrEx>
        <w:trPr>
          <w:gridAfter w:val="1"/>
          <w:wAfter w:w="49" w:type="dxa"/>
          <w:trHeight w:val="1200" w:hRule="atLeast"/>
        </w:trPr>
        <w:tc>
          <w:tcPr>
            <w:tcW w:w="915" w:type="dxa"/>
            <w:tcBorders>
              <w:top w:val="nil"/>
              <w:left w:val="single" w:color="auto" w:sz="4" w:space="0"/>
              <w:bottom w:val="nil"/>
              <w:right w:val="single" w:color="auto" w:sz="4" w:space="0"/>
            </w:tcBorders>
            <w:shd w:val="clear" w:color="auto" w:fill="FFFFFF"/>
            <w:noWrap w:val="0"/>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项目效果（25分）</w:t>
            </w:r>
          </w:p>
        </w:tc>
        <w:tc>
          <w:tcPr>
            <w:tcW w:w="900"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社会效益</w:t>
            </w:r>
          </w:p>
        </w:tc>
        <w:tc>
          <w:tcPr>
            <w:tcW w:w="1995"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增强挂职锻炼干部的岗位责任（25分）</w:t>
            </w:r>
          </w:p>
        </w:tc>
        <w:tc>
          <w:tcPr>
            <w:tcW w:w="2810"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增强挂职锻炼干部的岗位责任</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p>
        </w:tc>
        <w:tc>
          <w:tcPr>
            <w:tcW w:w="720"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2"/>
                <w:szCs w:val="22"/>
              </w:rPr>
            </w:pPr>
          </w:p>
        </w:tc>
      </w:tr>
      <w:tr>
        <w:tblPrEx>
          <w:tblCellMar>
            <w:top w:w="0" w:type="dxa"/>
            <w:left w:w="108" w:type="dxa"/>
            <w:bottom w:w="0" w:type="dxa"/>
            <w:right w:w="108" w:type="dxa"/>
          </w:tblCellMar>
        </w:tblPrEx>
        <w:trPr>
          <w:gridAfter w:val="1"/>
          <w:wAfter w:w="49" w:type="dxa"/>
          <w:trHeight w:val="1200" w:hRule="atLeast"/>
        </w:trPr>
        <w:tc>
          <w:tcPr>
            <w:tcW w:w="915" w:type="dxa"/>
            <w:tcBorders>
              <w:top w:val="single" w:color="auto" w:sz="4" w:space="0"/>
              <w:left w:val="single" w:color="auto" w:sz="4" w:space="0"/>
              <w:bottom w:val="nil"/>
              <w:right w:val="single" w:color="auto" w:sz="4" w:space="0"/>
            </w:tcBorders>
            <w:shd w:val="clear" w:color="auto" w:fill="FFFFFF"/>
            <w:noWrap w:val="0"/>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项目满意度（5分）</w:t>
            </w:r>
          </w:p>
        </w:tc>
        <w:tc>
          <w:tcPr>
            <w:tcW w:w="900" w:type="dxa"/>
            <w:tcBorders>
              <w:top w:val="nil"/>
              <w:left w:val="nil"/>
              <w:bottom w:val="single" w:color="auto" w:sz="4" w:space="0"/>
              <w:right w:val="single" w:color="000000"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服务对象满意度</w:t>
            </w:r>
          </w:p>
        </w:tc>
        <w:tc>
          <w:tcPr>
            <w:tcW w:w="1995"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信访群众对信访部门满意率在95%以上</w:t>
            </w:r>
          </w:p>
        </w:tc>
        <w:tc>
          <w:tcPr>
            <w:tcW w:w="2810"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满意率95%以上，得5分，每低于1%，扣1分，扣完为止</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95%</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p>
        </w:tc>
        <w:tc>
          <w:tcPr>
            <w:tcW w:w="720"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2"/>
                <w:szCs w:val="22"/>
              </w:rPr>
            </w:pPr>
          </w:p>
        </w:tc>
      </w:tr>
      <w:tr>
        <w:tblPrEx>
          <w:tblCellMar>
            <w:top w:w="0" w:type="dxa"/>
            <w:left w:w="108" w:type="dxa"/>
            <w:bottom w:w="0" w:type="dxa"/>
            <w:right w:w="108" w:type="dxa"/>
          </w:tblCellMar>
        </w:tblPrEx>
        <w:trPr>
          <w:gridAfter w:val="1"/>
          <w:wAfter w:w="49" w:type="dxa"/>
          <w:trHeight w:val="480" w:hRule="atLeast"/>
        </w:trPr>
        <w:tc>
          <w:tcPr>
            <w:tcW w:w="6620"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项目总分</w:t>
            </w:r>
          </w:p>
        </w:tc>
        <w:tc>
          <w:tcPr>
            <w:tcW w:w="805" w:type="dxa"/>
            <w:gridSpan w:val="2"/>
            <w:tcBorders>
              <w:top w:val="nil"/>
              <w:left w:val="nil"/>
              <w:bottom w:val="single" w:color="auto" w:sz="4" w:space="0"/>
              <w:right w:val="single" w:color="auto" w:sz="4" w:space="0"/>
            </w:tcBorders>
            <w:noWrap/>
            <w:vAlign w:val="center"/>
          </w:tcPr>
          <w:p>
            <w:pPr>
              <w:widowControl/>
              <w:jc w:val="center"/>
              <w:rPr>
                <w:kern w:val="0"/>
                <w:sz w:val="24"/>
              </w:rPr>
            </w:pPr>
            <w:r>
              <w:rPr>
                <w:kern w:val="0"/>
                <w:sz w:val="24"/>
              </w:rPr>
              <w:t>　</w:t>
            </w:r>
          </w:p>
        </w:tc>
        <w:tc>
          <w:tcPr>
            <w:tcW w:w="720" w:type="dxa"/>
            <w:gridSpan w:val="2"/>
            <w:tcBorders>
              <w:top w:val="nil"/>
              <w:left w:val="nil"/>
              <w:bottom w:val="single" w:color="auto" w:sz="4" w:space="0"/>
              <w:right w:val="single" w:color="auto" w:sz="4" w:space="0"/>
            </w:tcBorders>
            <w:noWrap/>
            <w:vAlign w:val="center"/>
          </w:tcPr>
          <w:p>
            <w:pPr>
              <w:widowControl/>
              <w:jc w:val="center"/>
              <w:rPr>
                <w:kern w:val="0"/>
                <w:sz w:val="24"/>
              </w:rPr>
            </w:pPr>
          </w:p>
        </w:tc>
        <w:tc>
          <w:tcPr>
            <w:tcW w:w="720" w:type="dxa"/>
            <w:gridSpan w:val="2"/>
            <w:tcBorders>
              <w:top w:val="single" w:color="auto" w:sz="4" w:space="0"/>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495" w:hRule="atLeast"/>
        </w:trPr>
        <w:tc>
          <w:tcPr>
            <w:tcW w:w="915"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主管部门（单位）评价等级</w:t>
            </w:r>
          </w:p>
        </w:tc>
        <w:tc>
          <w:tcPr>
            <w:tcW w:w="900"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优</w:t>
            </w:r>
          </w:p>
        </w:tc>
        <w:tc>
          <w:tcPr>
            <w:tcW w:w="236" w:type="dxa"/>
            <w:tcBorders>
              <w:top w:val="nil"/>
              <w:left w:val="nil"/>
              <w:bottom w:val="single" w:color="auto" w:sz="8" w:space="0"/>
              <w:right w:val="single" w:color="auto" w:sz="8" w:space="0"/>
            </w:tcBorders>
            <w:noWrap w:val="0"/>
            <w:vAlign w:val="center"/>
          </w:tcPr>
          <w:p>
            <w:pPr>
              <w:widowControl/>
              <w:jc w:val="center"/>
              <w:rPr>
                <w:kern w:val="0"/>
                <w:sz w:val="24"/>
              </w:rPr>
            </w:pPr>
            <w:r>
              <w:rPr>
                <w:kern w:val="0"/>
                <w:sz w:val="24"/>
              </w:rPr>
              <w:t>　</w:t>
            </w:r>
          </w:p>
        </w:tc>
        <w:tc>
          <w:tcPr>
            <w:tcW w:w="1020"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良</w:t>
            </w:r>
          </w:p>
        </w:tc>
        <w:tc>
          <w:tcPr>
            <w:tcW w:w="975" w:type="dxa"/>
            <w:gridSpan w:val="2"/>
            <w:tcBorders>
              <w:top w:val="nil"/>
              <w:left w:val="nil"/>
              <w:bottom w:val="single" w:color="auto" w:sz="8" w:space="0"/>
              <w:right w:val="single" w:color="auto" w:sz="8" w:space="0"/>
            </w:tcBorders>
            <w:noWrap w:val="0"/>
            <w:vAlign w:val="center"/>
          </w:tcPr>
          <w:p>
            <w:pPr>
              <w:widowControl/>
              <w:jc w:val="center"/>
              <w:rPr>
                <w:kern w:val="0"/>
                <w:sz w:val="24"/>
              </w:rPr>
            </w:pPr>
            <w:r>
              <w:rPr>
                <w:kern w:val="0"/>
                <w:sz w:val="24"/>
              </w:rPr>
              <w:t>　</w:t>
            </w:r>
          </w:p>
        </w:tc>
        <w:tc>
          <w:tcPr>
            <w:tcW w:w="1080"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中</w:t>
            </w:r>
          </w:p>
        </w:tc>
        <w:tc>
          <w:tcPr>
            <w:tcW w:w="1730" w:type="dxa"/>
            <w:gridSpan w:val="2"/>
            <w:tcBorders>
              <w:top w:val="nil"/>
              <w:left w:val="nil"/>
              <w:bottom w:val="single" w:color="auto" w:sz="8" w:space="0"/>
              <w:right w:val="single" w:color="auto" w:sz="8" w:space="0"/>
            </w:tcBorders>
            <w:noWrap w:val="0"/>
            <w:vAlign w:val="center"/>
          </w:tcPr>
          <w:p>
            <w:pPr>
              <w:widowControl/>
              <w:jc w:val="center"/>
              <w:rPr>
                <w:kern w:val="0"/>
                <w:sz w:val="24"/>
              </w:rPr>
            </w:pPr>
            <w:r>
              <w:rPr>
                <w:kern w:val="0"/>
                <w:sz w:val="24"/>
              </w:rPr>
              <w:t>　</w:t>
            </w:r>
          </w:p>
        </w:tc>
        <w:tc>
          <w:tcPr>
            <w:tcW w:w="805" w:type="dxa"/>
            <w:gridSpan w:val="2"/>
            <w:tcBorders>
              <w:top w:val="nil"/>
              <w:left w:val="nil"/>
              <w:bottom w:val="single" w:color="auto" w:sz="8"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合格</w:t>
            </w:r>
          </w:p>
        </w:tc>
        <w:tc>
          <w:tcPr>
            <w:tcW w:w="720" w:type="dxa"/>
            <w:gridSpan w:val="2"/>
            <w:tcBorders>
              <w:top w:val="nil"/>
              <w:left w:val="nil"/>
              <w:bottom w:val="single" w:color="auto" w:sz="8" w:space="0"/>
              <w:right w:val="single" w:color="auto" w:sz="8" w:space="0"/>
            </w:tcBorders>
            <w:noWrap/>
            <w:vAlign w:val="center"/>
          </w:tcPr>
          <w:p>
            <w:pPr>
              <w:widowControl/>
              <w:jc w:val="center"/>
              <w:rPr>
                <w:kern w:val="0"/>
                <w:sz w:val="24"/>
              </w:rPr>
            </w:pPr>
            <w:r>
              <w:rPr>
                <w:kern w:val="0"/>
                <w:sz w:val="24"/>
              </w:rPr>
              <w:t>　</w:t>
            </w:r>
          </w:p>
        </w:tc>
        <w:tc>
          <w:tcPr>
            <w:tcW w:w="533" w:type="dxa"/>
            <w:gridSpan w:val="2"/>
            <w:tcBorders>
              <w:top w:val="nil"/>
              <w:left w:val="nil"/>
              <w:bottom w:val="single" w:color="auto" w:sz="8"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差</w:t>
            </w:r>
          </w:p>
        </w:tc>
      </w:tr>
      <w:tr>
        <w:tblPrEx>
          <w:tblCellMar>
            <w:top w:w="0" w:type="dxa"/>
            <w:left w:w="108" w:type="dxa"/>
            <w:bottom w:w="0" w:type="dxa"/>
            <w:right w:w="108" w:type="dxa"/>
          </w:tblCellMar>
        </w:tblPrEx>
        <w:trPr>
          <w:gridAfter w:val="1"/>
          <w:wAfter w:w="49" w:type="dxa"/>
          <w:trHeight w:val="540" w:hRule="atLeast"/>
        </w:trPr>
        <w:tc>
          <w:tcPr>
            <w:tcW w:w="915"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kern w:val="0"/>
                <w:sz w:val="24"/>
              </w:rPr>
            </w:pPr>
          </w:p>
        </w:tc>
        <w:tc>
          <w:tcPr>
            <w:tcW w:w="7950" w:type="dxa"/>
            <w:gridSpan w:val="13"/>
            <w:tcBorders>
              <w:top w:val="single" w:color="auto" w:sz="8" w:space="0"/>
              <w:left w:val="nil"/>
              <w:bottom w:val="single" w:color="auto" w:sz="8" w:space="0"/>
              <w:right w:val="single" w:color="000000" w:sz="8"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优</w:t>
            </w:r>
            <w:r>
              <w:rPr>
                <w:rFonts w:eastAsia="仿宋_GB2312"/>
                <w:kern w:val="0"/>
                <w:sz w:val="24"/>
              </w:rPr>
              <w:t>(90</w:t>
            </w:r>
            <w:r>
              <w:rPr>
                <w:rFonts w:hint="eastAsia" w:ascii="仿宋_GB2312" w:hAnsi="宋体" w:eastAsia="仿宋_GB2312" w:cs="宋体"/>
                <w:kern w:val="0"/>
                <w:sz w:val="24"/>
              </w:rPr>
              <w:t>以上</w:t>
            </w:r>
            <w:r>
              <w:rPr>
                <w:rFonts w:eastAsia="仿宋_GB2312"/>
                <w:kern w:val="0"/>
                <w:sz w:val="24"/>
              </w:rPr>
              <w:t xml:space="preserve">)  </w:t>
            </w:r>
            <w:r>
              <w:rPr>
                <w:rFonts w:hint="eastAsia" w:ascii="仿宋_GB2312" w:hAnsi="宋体" w:eastAsia="仿宋_GB2312" w:cs="宋体"/>
                <w:kern w:val="0"/>
                <w:sz w:val="24"/>
              </w:rPr>
              <w:t>良</w:t>
            </w:r>
            <w:r>
              <w:rPr>
                <w:rFonts w:eastAsia="仿宋_GB2312"/>
                <w:kern w:val="0"/>
                <w:sz w:val="24"/>
              </w:rPr>
              <w:t xml:space="preserve">(80-89)  </w:t>
            </w:r>
            <w:r>
              <w:rPr>
                <w:rFonts w:hint="eastAsia" w:ascii="仿宋_GB2312" w:hAnsi="宋体" w:eastAsia="仿宋_GB2312" w:cs="宋体"/>
                <w:kern w:val="0"/>
                <w:sz w:val="24"/>
              </w:rPr>
              <w:t>中</w:t>
            </w:r>
            <w:r>
              <w:rPr>
                <w:rFonts w:eastAsia="仿宋_GB2312"/>
                <w:kern w:val="0"/>
                <w:sz w:val="24"/>
              </w:rPr>
              <w:t xml:space="preserve">(70-79)  </w:t>
            </w:r>
            <w:r>
              <w:rPr>
                <w:rFonts w:hint="eastAsia" w:ascii="仿宋_GB2312" w:hAnsi="宋体" w:eastAsia="仿宋_GB2312" w:cs="宋体"/>
                <w:kern w:val="0"/>
                <w:sz w:val="24"/>
              </w:rPr>
              <w:t>合格</w:t>
            </w:r>
            <w:r>
              <w:rPr>
                <w:rFonts w:eastAsia="仿宋_GB2312"/>
                <w:kern w:val="0"/>
                <w:sz w:val="24"/>
              </w:rPr>
              <w:t xml:space="preserve">(69-60)  </w:t>
            </w:r>
            <w:r>
              <w:rPr>
                <w:rFonts w:hint="eastAsia" w:ascii="仿宋_GB2312" w:hAnsi="宋体" w:eastAsia="仿宋_GB2312" w:cs="宋体"/>
                <w:kern w:val="0"/>
                <w:sz w:val="24"/>
              </w:rPr>
              <w:t>差</w:t>
            </w:r>
            <w:r>
              <w:rPr>
                <w:rFonts w:eastAsia="仿宋_GB2312"/>
                <w:kern w:val="0"/>
                <w:sz w:val="24"/>
              </w:rPr>
              <w:t>(59</w:t>
            </w:r>
            <w:r>
              <w:rPr>
                <w:rFonts w:hint="eastAsia" w:ascii="仿宋_GB2312" w:hAnsi="宋体" w:eastAsia="仿宋_GB2312" w:cs="宋体"/>
                <w:kern w:val="0"/>
                <w:sz w:val="24"/>
              </w:rPr>
              <w:t>以下</w:t>
            </w:r>
            <w:r>
              <w:rPr>
                <w:rFonts w:eastAsia="仿宋_GB2312"/>
                <w:kern w:val="0"/>
                <w:sz w:val="24"/>
              </w:rPr>
              <w:t>)</w:t>
            </w:r>
          </w:p>
        </w:tc>
      </w:tr>
    </w:tbl>
    <w:p>
      <w:pPr>
        <w:rPr>
          <w:rFonts w:hint="eastAsia" w:eastAsia="楷体_GB2312"/>
          <w:sz w:val="32"/>
          <w:szCs w:val="32"/>
        </w:rPr>
      </w:pPr>
      <w:r>
        <w:rPr>
          <w:rFonts w:hint="eastAsia" w:ascii="仿宋" w:hAnsi="仿宋" w:eastAsia="仿宋" w:cs="仿宋"/>
          <w:spacing w:val="-11"/>
        </w:rPr>
        <w:t>注：指标可参考财政部《项目支出绩效评价管理办法》中附件2：《项目支出绩效评价指标体系框架》设置。</w:t>
      </w:r>
    </w:p>
    <w:p/>
    <w:p/>
    <w:sectPr>
      <w:headerReference r:id="rId3" w:type="default"/>
      <w:footerReference r:id="rId4" w:type="default"/>
      <w:footerReference r:id="rId5" w:type="even"/>
      <w:pgSz w:w="11906" w:h="16838"/>
      <w:pgMar w:top="2098" w:right="1531" w:bottom="1985" w:left="1531" w:header="851" w:footer="1418"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2"/>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20" w:leftChars="200" w:right="420" w:rightChars="200"/>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- 16 -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C07B07"/>
    <w:multiLevelType w:val="singleLevel"/>
    <w:tmpl w:val="55C07B0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ODcwYzhkMGU2NDcxODhkODhjM2JhOTc0M2MwYmYifQ=="/>
  </w:docVars>
  <w:rsids>
    <w:rsidRoot w:val="268E6A25"/>
    <w:rsid w:val="1A2B070F"/>
    <w:rsid w:val="268E6A25"/>
    <w:rsid w:val="605B538A"/>
    <w:rsid w:val="78B14A40"/>
    <w:rsid w:val="EFFBC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line="580" w:lineRule="exact"/>
      <w:ind w:firstLine="600"/>
    </w:pPr>
    <w:rPr>
      <w:rFonts w:ascii="仿宋_GB2312" w:eastAsia="仿宋_GB2312"/>
      <w:sz w:val="30"/>
      <w:szCs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2574</Words>
  <Characters>2680</Characters>
  <Lines>0</Lines>
  <Paragraphs>0</Paragraphs>
  <TotalTime>0</TotalTime>
  <ScaleCrop>false</ScaleCrop>
  <LinksUpToDate>false</LinksUpToDate>
  <CharactersWithSpaces>2709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2023-05-09T23:29:00Z</dcterms:created>
  <dc:creator>good luck</dc:creator>
  <cp:lastModifiedBy>admin123</cp:lastModifiedBy>
  <dcterms:modified xsi:type="dcterms:W3CDTF">2023-05-11T15:21:08Z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1633E2E424AC4A57BAFE990B0D569AD9</vt:lpwstr>
  </property>
</Properties>
</file>