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after="0"/>
        <w:textAlignment w:val="auto"/>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72</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宋体" w:eastAsia="方正小标宋简体"/>
          <w:sz w:val="44"/>
          <w:szCs w:val="44"/>
        </w:rPr>
      </w:pPr>
      <w:bookmarkStart w:id="0" w:name="_GoBack"/>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态环境局关</w:t>
      </w:r>
      <w:r>
        <w:rPr>
          <w:rFonts w:hint="eastAsia" w:ascii="方正小标宋简体" w:hAnsi="方正小标宋简体" w:eastAsia="方正小标宋简体" w:cs="方正小标宋简体"/>
          <w:bCs/>
          <w:color w:val="000000"/>
          <w:sz w:val="44"/>
          <w:szCs w:val="44"/>
        </w:rPr>
        <w:t>于</w:t>
      </w:r>
      <w:r>
        <w:rPr>
          <w:rFonts w:hint="eastAsia" w:ascii="方正小标宋简体" w:hAnsi="方正小标宋简体" w:eastAsia="方正小标宋简体" w:cs="方正小标宋简体"/>
          <w:bCs/>
          <w:color w:val="000000"/>
          <w:sz w:val="44"/>
          <w:szCs w:val="44"/>
          <w:lang w:eastAsia="zh-CN"/>
        </w:rPr>
        <w:t>江西宇鸿新能源有限公司年处理20万吨尾泥综合利用项目</w:t>
      </w:r>
      <w:r>
        <w:rPr>
          <w:rFonts w:hint="eastAsia" w:ascii="方正小标宋简体" w:hAnsi="宋体" w:eastAsia="方正小标宋简体"/>
          <w:sz w:val="44"/>
          <w:szCs w:val="44"/>
        </w:rPr>
        <w:t>环境</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影响报告书的批复</w:t>
      </w:r>
    </w:p>
    <w:bookmarkEnd w:id="0"/>
    <w:p>
      <w:pPr>
        <w:spacing w:line="520" w:lineRule="exact"/>
        <w:jc w:val="both"/>
        <w:rPr>
          <w:rFonts w:ascii="仿宋_GB2312" w:hAnsi="仿宋_GB2312" w:eastAsia="仿宋_GB2312" w:cs="仿宋_GB2312"/>
          <w:sz w:val="32"/>
          <w:szCs w:val="32"/>
        </w:rPr>
      </w:pPr>
    </w:p>
    <w:p>
      <w:pPr>
        <w:keepNext w:val="0"/>
        <w:keepLines w:val="0"/>
        <w:pageBreakBefore w:val="0"/>
        <w:kinsoku/>
        <w:wordWrap/>
        <w:overflowPunct/>
        <w:topLinePunct w:val="0"/>
        <w:bidi w:val="0"/>
        <w:snapToGrid w:val="0"/>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江西宇鸿新能源有限公司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_GB2312" w:eastAsia="仿宋_GB2312" w:cs="仿宋_GB2312"/>
          <w:sz w:val="32"/>
          <w:szCs w:val="32"/>
          <w:lang w:eastAsia="zh-CN"/>
        </w:rPr>
        <w:t>江西宇鸿新能源有限公司年处理20万吨尾泥综合利用项目</w:t>
      </w:r>
      <w:r>
        <w:rPr>
          <w:rFonts w:hint="eastAsia" w:ascii="仿宋_GB2312" w:hAnsi="仿宋_GB2312" w:eastAsia="仿宋_GB2312" w:cs="仿宋_GB2312"/>
          <w:sz w:val="32"/>
          <w:szCs w:val="32"/>
        </w:rPr>
        <w:t>环境影响报告书〉的请示》以及相关资料收悉，经研究，批复如下：</w:t>
      </w:r>
    </w:p>
    <w:p>
      <w:pPr>
        <w:keepNext w:val="0"/>
        <w:keepLines w:val="0"/>
        <w:pageBreakBefore w:val="0"/>
        <w:widowControl w:val="0"/>
        <w:kinsoku/>
        <w:wordWrap/>
        <w:overflowPunct/>
        <w:topLinePunct w:val="0"/>
        <w:autoSpaceDN/>
        <w:bidi w:val="0"/>
        <w:adjustRightInd/>
        <w:spacing w:line="600" w:lineRule="exact"/>
        <w:ind w:firstLine="640" w:firstLineChars="200"/>
        <w:jc w:val="both"/>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楷体_GB2312" w:hAnsi="楷体_GB2312" w:eastAsia="楷体_GB2312" w:cs="楷体_GB2312"/>
          <w:sz w:val="32"/>
          <w:szCs w:val="32"/>
        </w:rPr>
        <w:t>（一）项目基本情况。</w:t>
      </w:r>
      <w:r>
        <w:rPr>
          <w:rFonts w:hint="eastAsia" w:ascii="仿宋_GB2312" w:hAnsi="仿宋_GB2312" w:eastAsia="仿宋_GB2312" w:cs="仿宋_GB2312"/>
          <w:color w:val="000000"/>
          <w:sz w:val="32"/>
          <w:szCs w:val="32"/>
          <w:highlight w:val="none"/>
          <w:lang w:eastAsia="zh-CN"/>
        </w:rPr>
        <w:t>江西宇鸿新能源有限公司年处理20万吨尾泥综合利用项目</w:t>
      </w:r>
      <w:r>
        <w:rPr>
          <w:rFonts w:hint="eastAsia" w:ascii="仿宋_GB2312" w:hAnsi="仿宋_GB2312" w:eastAsia="仿宋_GB2312" w:cs="仿宋_GB2312"/>
          <w:color w:val="000000"/>
          <w:sz w:val="32"/>
          <w:szCs w:val="32"/>
          <w:highlight w:val="none"/>
        </w:rPr>
        <w:t>拟建于</w:t>
      </w:r>
      <w:r>
        <w:rPr>
          <w:rFonts w:hint="eastAsia" w:ascii="仿宋_GB2312" w:hAnsi="仿宋_GB2312" w:eastAsia="仿宋_GB2312" w:cs="仿宋_GB2312"/>
          <w:color w:val="000000"/>
          <w:sz w:val="32"/>
          <w:szCs w:val="32"/>
          <w:highlight w:val="none"/>
          <w:lang w:eastAsia="zh-CN"/>
        </w:rPr>
        <w:t>江西省宜春</w:t>
      </w:r>
      <w:r>
        <w:rPr>
          <w:rFonts w:hint="eastAsia" w:ascii="仿宋_GB2312" w:hAnsi="仿宋_GB2312" w:eastAsia="仿宋_GB2312" w:cs="仿宋_GB2312"/>
          <w:color w:val="auto"/>
          <w:sz w:val="32"/>
          <w:szCs w:val="32"/>
          <w:highlight w:val="none"/>
          <w:lang w:eastAsia="zh-CN"/>
        </w:rPr>
        <w:t>市奉新县赤岸镇浣溪村（原奉新圣大磨具厂</w:t>
      </w:r>
      <w:r>
        <w:rPr>
          <w:rFonts w:hint="eastAsia" w:ascii="仿宋_GB2312" w:hAnsi="仿宋_GB2312" w:eastAsia="仿宋_GB2312" w:cs="仿宋_GB2312"/>
          <w:snapToGrid w:val="0"/>
          <w:color w:val="auto"/>
          <w:sz w:val="32"/>
          <w:szCs w:val="32"/>
          <w:highlight w:val="none"/>
          <w:lang w:val="en-US" w:eastAsia="zh-CN"/>
        </w:rPr>
        <w:t>厂房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，厂址中心地理</w:t>
      </w:r>
      <w:r>
        <w:rPr>
          <w:rFonts w:hint="eastAsia" w:ascii="仿宋_GB2312" w:hAnsi="仿宋_GB2312" w:eastAsia="仿宋_GB2312" w:cs="仿宋_GB2312"/>
          <w:color w:val="auto"/>
          <w:sz w:val="32"/>
          <w:szCs w:val="32"/>
          <w:highlight w:val="none"/>
          <w:lang w:eastAsia="zh-CN"/>
        </w:rPr>
        <w:t>位置</w:t>
      </w:r>
      <w:r>
        <w:rPr>
          <w:rFonts w:hint="eastAsia" w:ascii="仿宋_GB2312" w:hAnsi="仿宋_GB2312" w:eastAsia="仿宋_GB2312" w:cs="仿宋_GB2312"/>
          <w:color w:val="auto"/>
          <w:sz w:val="32"/>
          <w:szCs w:val="32"/>
          <w:highlight w:val="none"/>
        </w:rPr>
        <w:t>坐标为东经</w:t>
      </w:r>
      <w:r>
        <w:rPr>
          <w:rFonts w:hint="eastAsia" w:ascii="仿宋_GB2312" w:hAnsi="仿宋_GB2312" w:eastAsia="仿宋_GB2312" w:cs="仿宋_GB2312"/>
          <w:color w:val="auto"/>
          <w:sz w:val="32"/>
          <w:szCs w:val="32"/>
          <w:highlight w:val="none"/>
          <w:lang w:eastAsia="zh-CN"/>
        </w:rPr>
        <w:t>115°20′54.6″、北纬28°39′32.1″</w:t>
      </w:r>
      <w:r>
        <w:rPr>
          <w:rFonts w:hint="eastAsia" w:ascii="仿宋_GB2312" w:hAnsi="仿宋_GB2312" w:eastAsia="仿宋_GB2312" w:cs="仿宋_GB2312"/>
          <w:color w:val="auto"/>
          <w:sz w:val="32"/>
          <w:szCs w:val="32"/>
          <w:highlight w:val="none"/>
        </w:rPr>
        <w:t>，总</w:t>
      </w:r>
      <w:r>
        <w:rPr>
          <w:rFonts w:hint="eastAsia" w:ascii="仿宋_GB2312" w:hAnsi="仿宋_GB2312" w:eastAsia="仿宋_GB2312" w:cs="仿宋_GB2312"/>
          <w:color w:val="000000"/>
          <w:sz w:val="32"/>
          <w:szCs w:val="32"/>
          <w:highlight w:val="none"/>
        </w:rPr>
        <w:t>占地面积</w:t>
      </w:r>
      <w:r>
        <w:rPr>
          <w:rFonts w:hint="eastAsia" w:ascii="仿宋_GB2312" w:hAnsi="仿宋_GB2312" w:eastAsia="仿宋_GB2312" w:cs="仿宋_GB2312"/>
          <w:color w:val="000000"/>
          <w:sz w:val="32"/>
          <w:szCs w:val="32"/>
          <w:highlight w:val="none"/>
          <w:lang w:eastAsia="zh-CN"/>
        </w:rPr>
        <w:t>约</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亩</w:t>
      </w:r>
      <w:r>
        <w:rPr>
          <w:rFonts w:hint="eastAsia" w:ascii="仿宋_GB2312" w:hAnsi="仿宋_GB2312" w:eastAsia="仿宋_GB2312" w:cs="仿宋_GB2312"/>
          <w:color w:val="000000"/>
          <w:sz w:val="32"/>
          <w:szCs w:val="32"/>
          <w:highlight w:val="none"/>
        </w:rPr>
        <w:t>。厂址东面为S418省道，南面、北面为林地，西面为空地</w:t>
      </w:r>
      <w:r>
        <w:rPr>
          <w:rFonts w:hint="eastAsia" w:ascii="仿宋_GB2312" w:hAnsi="仿宋_GB2312" w:eastAsia="仿宋_GB2312" w:cs="仿宋_GB2312"/>
          <w:bCs/>
          <w:snapToGrid w:val="0"/>
          <w:color w:val="auto"/>
          <w:sz w:val="32"/>
          <w:szCs w:val="32"/>
          <w:lang w:val="en-US" w:eastAsia="zh-CN"/>
        </w:rPr>
        <w:t>。</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本项目为</w:t>
      </w:r>
      <w:r>
        <w:rPr>
          <w:rFonts w:hint="eastAsia" w:ascii="仿宋_GB2312" w:hAnsi="仿宋_GB2312" w:eastAsia="仿宋_GB2312" w:cs="仿宋_GB2312"/>
          <w:color w:val="000000"/>
          <w:sz w:val="32"/>
          <w:szCs w:val="32"/>
          <w:highlight w:val="none"/>
          <w:lang w:val="en-US" w:eastAsia="zh-CN"/>
        </w:rPr>
        <w:t>新建工程</w:t>
      </w:r>
      <w:r>
        <w:rPr>
          <w:rFonts w:hint="eastAsia" w:ascii="仿宋_GB2312" w:hAnsi="仿宋_GB2312" w:eastAsia="仿宋_GB2312" w:cs="仿宋_GB2312"/>
          <w:color w:val="000000"/>
          <w:sz w:val="32"/>
          <w:szCs w:val="32"/>
          <w:highlight w:val="none"/>
          <w:lang w:eastAsia="zh-CN"/>
        </w:rPr>
        <w:t>。主要</w:t>
      </w:r>
      <w:r>
        <w:rPr>
          <w:rFonts w:hint="eastAsia" w:ascii="仿宋_GB2312" w:hAnsi="仿宋_GB2312" w:eastAsia="仿宋_GB2312" w:cs="仿宋_GB2312"/>
          <w:color w:val="000000"/>
          <w:sz w:val="32"/>
          <w:szCs w:val="32"/>
          <w:highlight w:val="none"/>
          <w:lang w:val="zh-CN" w:eastAsia="zh-CN"/>
        </w:rPr>
        <w:t>以选矿</w:t>
      </w:r>
      <w:r>
        <w:rPr>
          <w:rFonts w:hint="eastAsia" w:ascii="仿宋_GB2312" w:hAnsi="仿宋_GB2312" w:eastAsia="仿宋_GB2312" w:cs="仿宋_GB2312"/>
          <w:color w:val="000000"/>
          <w:sz w:val="32"/>
          <w:szCs w:val="32"/>
          <w:highlight w:val="none"/>
          <w:lang w:val="en-US" w:eastAsia="zh-CN"/>
        </w:rPr>
        <w:t>尾泥、浮选剂、水处理剂（聚合氯化铝、聚丙烯酰胺）</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lang w:val="en-US" w:eastAsia="zh-CN"/>
        </w:rPr>
        <w:t>为原辅</w:t>
      </w:r>
      <w:r>
        <w:rPr>
          <w:rFonts w:hint="eastAsia" w:ascii="仿宋_GB2312" w:hAnsi="仿宋_GB2312" w:eastAsia="仿宋_GB2312" w:cs="仿宋_GB2312"/>
          <w:color w:val="000000"/>
          <w:sz w:val="32"/>
          <w:szCs w:val="32"/>
          <w:highlight w:val="none"/>
          <w:lang w:val="zh-CN" w:eastAsia="zh-CN"/>
        </w:rPr>
        <w:t>材料，经</w:t>
      </w:r>
      <w:r>
        <w:rPr>
          <w:rFonts w:hint="eastAsia" w:ascii="仿宋_GB2312" w:hAnsi="仿宋_GB2312" w:eastAsia="仿宋_GB2312" w:cs="仿宋_GB2312"/>
          <w:color w:val="000000"/>
          <w:sz w:val="32"/>
          <w:szCs w:val="32"/>
          <w:highlight w:val="none"/>
          <w:lang w:val="en-US" w:eastAsia="zh-CN"/>
        </w:rPr>
        <w:t>搅拌、调浆、旋流、浮选、脱水及压滤等工序</w:t>
      </w:r>
      <w:r>
        <w:rPr>
          <w:rFonts w:hint="eastAsia" w:ascii="仿宋_GB2312" w:hAnsi="仿宋_GB2312" w:eastAsia="仿宋_GB2312" w:cs="仿宋_GB2312"/>
          <w:color w:val="000000"/>
          <w:sz w:val="32"/>
          <w:szCs w:val="32"/>
          <w:highlight w:val="none"/>
          <w:lang w:eastAsia="zh-CN"/>
        </w:rPr>
        <w:t>达到年处理</w:t>
      </w:r>
      <w:r>
        <w:rPr>
          <w:rFonts w:hint="eastAsia" w:ascii="仿宋_GB2312" w:hAnsi="仿宋_GB2312" w:eastAsia="仿宋_GB2312"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eastAsia="zh-CN"/>
        </w:rPr>
        <w:t>万吨选矿尾泥的生产规模</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本项目产品方案：</w:t>
      </w:r>
      <w:r>
        <w:rPr>
          <w:rFonts w:hint="eastAsia" w:ascii="仿宋_GB2312" w:hAnsi="仿宋_GB2312" w:eastAsia="仿宋_GB2312" w:cs="仿宋_GB2312"/>
          <w:color w:val="000000"/>
          <w:sz w:val="32"/>
          <w:szCs w:val="32"/>
          <w:highlight w:val="none"/>
          <w:lang w:val="en-US" w:eastAsia="zh-CN"/>
        </w:rPr>
        <w:t>锂云母精矿20000t/a</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本</w:t>
      </w:r>
      <w:r>
        <w:rPr>
          <w:rFonts w:hint="eastAsia" w:ascii="仿宋_GB2312" w:hAnsi="仿宋_GB2312" w:eastAsia="仿宋_GB2312" w:cs="仿宋_GB2312"/>
          <w:color w:val="000000"/>
          <w:sz w:val="32"/>
          <w:szCs w:val="32"/>
          <w:highlight w:val="none"/>
          <w:lang w:eastAsia="zh-CN"/>
        </w:rPr>
        <w:t>项目总投资1</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000万元，其中环保投资</w:t>
      </w:r>
      <w:r>
        <w:rPr>
          <w:rFonts w:hint="eastAsia" w:ascii="仿宋_GB2312" w:hAnsi="仿宋_GB2312" w:eastAsia="仿宋_GB2312" w:cs="仿宋_GB2312"/>
          <w:color w:val="000000"/>
          <w:sz w:val="32"/>
          <w:szCs w:val="32"/>
          <w:highlight w:val="none"/>
          <w:lang w:val="en-US" w:eastAsia="zh-CN"/>
        </w:rPr>
        <w:t>232</w:t>
      </w:r>
      <w:r>
        <w:rPr>
          <w:rFonts w:hint="eastAsia" w:ascii="仿宋_GB2312" w:hAnsi="仿宋_GB2312" w:eastAsia="仿宋_GB2312" w:cs="仿宋_GB2312"/>
          <w:color w:val="000000"/>
          <w:sz w:val="32"/>
          <w:szCs w:val="32"/>
          <w:highlight w:val="none"/>
          <w:lang w:eastAsia="zh-CN"/>
        </w:rPr>
        <w:t>万元，占总投资的</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lang w:eastAsia="zh-CN"/>
        </w:rPr>
        <w:t>%。</w:t>
      </w:r>
    </w:p>
    <w:p>
      <w:pPr>
        <w:pStyle w:val="27"/>
        <w:keepNext w:val="0"/>
        <w:keepLines w:val="0"/>
        <w:pageBreakBefore w:val="0"/>
        <w:kinsoku/>
        <w:wordWrap/>
        <w:overflowPunct/>
        <w:topLinePunct w:val="0"/>
        <w:bidi w:val="0"/>
        <w:spacing w:line="600" w:lineRule="exact"/>
        <w:ind w:firstLine="640" w:firstLineChars="200"/>
        <w:jc w:val="both"/>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w:t>
      </w:r>
      <w:r>
        <w:rPr>
          <w:rFonts w:hint="eastAsia" w:ascii="仿宋_GB2312" w:hAnsi="Times New Roman" w:eastAsia="仿宋_GB2312"/>
          <w:sz w:val="32"/>
          <w:szCs w:val="32"/>
        </w:rPr>
        <w:t>实《</w:t>
      </w:r>
      <w:r>
        <w:rPr>
          <w:rFonts w:hint="eastAsia" w:ascii="仿宋_GB2312" w:hAnsi="仿宋_GB2312" w:eastAsia="仿宋_GB2312" w:cs="仿宋_GB2312"/>
          <w:color w:val="000000"/>
          <w:sz w:val="32"/>
          <w:szCs w:val="32"/>
          <w:highlight w:val="none"/>
          <w:lang w:eastAsia="zh-CN"/>
        </w:rPr>
        <w:t>江西宇鸿新能源有限公司年处理20万吨尾泥综合利用项目</w:t>
      </w:r>
      <w:r>
        <w:rPr>
          <w:rFonts w:hint="eastAsia" w:ascii="仿宋_GB2312" w:hAnsi="Times New Roman" w:eastAsia="仿宋_GB2312"/>
          <w:sz w:val="32"/>
          <w:szCs w:val="32"/>
        </w:rPr>
        <w:t>环境影响报告书》（以下简称《报告书》）和《</w:t>
      </w:r>
      <w:r>
        <w:rPr>
          <w:rFonts w:hint="eastAsia" w:ascii="仿宋_GB2312" w:hAnsi="仿宋_GB2312" w:eastAsia="仿宋_GB2312" w:cs="仿宋_GB2312"/>
          <w:color w:val="000000"/>
          <w:sz w:val="32"/>
          <w:szCs w:val="32"/>
          <w:highlight w:val="none"/>
          <w:lang w:eastAsia="zh-CN"/>
        </w:rPr>
        <w:t>江西宇鸿新能源有限公司年处理20万吨尾泥综合利用项目</w:t>
      </w:r>
      <w:r>
        <w:rPr>
          <w:rFonts w:hint="eastAsia" w:ascii="仿宋_GB2312" w:hAnsi="Times New Roman" w:eastAsia="仿宋_GB2312"/>
          <w:sz w:val="32"/>
          <w:szCs w:val="32"/>
        </w:rPr>
        <w:t>环</w:t>
      </w:r>
      <w:r>
        <w:rPr>
          <w:rFonts w:hint="eastAsia" w:ascii="仿宋_GB2312" w:eastAsia="仿宋_GB2312"/>
          <w:sz w:val="32"/>
          <w:szCs w:val="32"/>
        </w:rPr>
        <w:t>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600" w:lineRule="exact"/>
        <w:ind w:firstLine="640" w:firstLineChars="200"/>
        <w:jc w:val="both"/>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项目在工程设计、建设和生产过程中必须认真落实《报告书》和《评估意见》提出的各项环保要求，严格执行宜春市生态环境保护工作领导小组办公室下发的《宜春市瓷土加工生产企业污染专项整治工作方案》和</w:t>
      </w:r>
      <w:r>
        <w:rPr>
          <w:rFonts w:hint="default" w:ascii="仿宋_GB2312" w:hAnsi="仿宋_GB2312" w:eastAsia="仿宋_GB2312" w:cs="仿宋_GB2312"/>
          <w:bCs/>
          <w:color w:val="auto"/>
          <w:kern w:val="2"/>
          <w:sz w:val="32"/>
          <w:szCs w:val="32"/>
          <w:highlight w:val="none"/>
          <w:lang w:val="en-US" w:eastAsia="zh-CN" w:bidi="ar-SA"/>
        </w:rPr>
        <w:t>《宜春市涉锂电主要行业生态环境监管标准（试行）》</w:t>
      </w:r>
      <w:r>
        <w:rPr>
          <w:rFonts w:hint="eastAsia" w:ascii="仿宋_GB2312" w:hAnsi="仿宋_GB2312" w:eastAsia="仿宋_GB2312" w:cs="仿宋_GB2312"/>
          <w:bCs/>
          <w:color w:val="auto"/>
          <w:kern w:val="2"/>
          <w:sz w:val="32"/>
          <w:szCs w:val="32"/>
          <w:highlight w:val="none"/>
          <w:lang w:val="en-US" w:eastAsia="zh-CN" w:bidi="ar-SA"/>
        </w:rPr>
        <w:t>要求进行建设，并重点做好以下几项工作：</w:t>
      </w:r>
    </w:p>
    <w:p>
      <w:pPr>
        <w:keepNext w:val="0"/>
        <w:keepLines w:val="0"/>
        <w:pageBreakBefore w:val="0"/>
        <w:numPr>
          <w:ilvl w:val="0"/>
          <w:numId w:val="1"/>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color w:val="auto"/>
          <w:kern w:val="0"/>
          <w:sz w:val="32"/>
          <w:szCs w:val="32"/>
          <w:lang w:val="zh-CN"/>
        </w:rPr>
      </w:pP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w:t>
      </w:r>
      <w:r>
        <w:rPr>
          <w:rFonts w:hint="eastAsia" w:ascii="仿宋_GB2312" w:hAnsi="仿宋_GB2312" w:eastAsia="仿宋_GB2312" w:cs="仿宋_GB2312"/>
          <w:snapToGrid w:val="0"/>
          <w:color w:val="000000"/>
          <w:sz w:val="32"/>
          <w:szCs w:val="32"/>
          <w:highlight w:val="none"/>
          <w:lang w:val="en-US" w:eastAsia="zh-CN"/>
        </w:rPr>
        <w:t>生产废水</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Cs/>
          <w:snapToGrid w:val="0"/>
          <w:color w:val="auto"/>
          <w:sz w:val="32"/>
          <w:szCs w:val="32"/>
        </w:rPr>
        <w:t>车辆</w:t>
      </w:r>
      <w:r>
        <w:rPr>
          <w:rFonts w:hint="eastAsia" w:ascii="仿宋_GB2312" w:hAnsi="仿宋_GB2312" w:eastAsia="仿宋_GB2312" w:cs="仿宋_GB2312"/>
          <w:bCs/>
          <w:snapToGrid w:val="0"/>
          <w:color w:val="auto"/>
          <w:sz w:val="32"/>
          <w:szCs w:val="32"/>
          <w:lang w:val="en-US" w:eastAsia="zh-CN"/>
        </w:rPr>
        <w:t>冲</w:t>
      </w:r>
      <w:r>
        <w:rPr>
          <w:rFonts w:hint="eastAsia" w:ascii="仿宋_GB2312" w:hAnsi="仿宋_GB2312" w:eastAsia="仿宋_GB2312" w:cs="仿宋_GB2312"/>
          <w:bCs/>
          <w:snapToGrid w:val="0"/>
          <w:color w:val="auto"/>
          <w:sz w:val="32"/>
          <w:szCs w:val="32"/>
        </w:rPr>
        <w:t>洗废水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、生活污水及初期雨水。</w:t>
      </w:r>
      <w:r>
        <w:rPr>
          <w:rFonts w:hint="eastAsia" w:ascii="仿宋_GB2312" w:hAnsi="仿宋_GB2312" w:eastAsia="仿宋_GB2312" w:cs="仿宋_GB2312"/>
          <w:color w:val="000000"/>
          <w:kern w:val="2"/>
          <w:sz w:val="32"/>
          <w:szCs w:val="32"/>
          <w:highlight w:val="none"/>
          <w:lang w:val="en-US" w:eastAsia="zh-CN" w:bidi="ar-SA"/>
        </w:rPr>
        <w:t>生产废水通过沉淀池处理后回用于选矿工序，不外排；</w:t>
      </w:r>
      <w:r>
        <w:rPr>
          <w:rFonts w:hint="eastAsia" w:ascii="仿宋_GB2312" w:hAnsi="仿宋_GB2312" w:eastAsia="仿宋_GB2312" w:cs="仿宋_GB2312"/>
          <w:snapToGrid w:val="0"/>
          <w:color w:val="000000"/>
          <w:sz w:val="32"/>
          <w:szCs w:val="32"/>
          <w:highlight w:val="none"/>
          <w:lang w:val="en-US" w:eastAsia="zh-CN"/>
        </w:rPr>
        <w:t>车辆冲洗废水</w:t>
      </w:r>
      <w:r>
        <w:rPr>
          <w:rFonts w:hint="eastAsia" w:ascii="仿宋_GB2312" w:hAnsi="仿宋_GB2312" w:eastAsia="仿宋_GB2312" w:cs="仿宋_GB2312"/>
          <w:color w:val="000000"/>
          <w:kern w:val="2"/>
          <w:sz w:val="32"/>
          <w:szCs w:val="32"/>
          <w:highlight w:val="none"/>
          <w:lang w:val="en-US" w:eastAsia="zh-CN" w:bidi="ar-SA"/>
        </w:rPr>
        <w:t>经管道收集至沉淀池沉淀后回用，不外排</w:t>
      </w:r>
      <w:r>
        <w:rPr>
          <w:rFonts w:hint="eastAsia" w:ascii="仿宋_GB2312" w:hAnsi="仿宋_GB2312" w:eastAsia="仿宋_GB2312" w:cs="仿宋_GB2312"/>
          <w:color w:val="auto"/>
          <w:sz w:val="32"/>
          <w:szCs w:val="32"/>
        </w:rPr>
        <w:t>。</w:t>
      </w:r>
      <w:r>
        <w:rPr>
          <w:rFonts w:hint="eastAsia" w:ascii="仿宋_GB2312" w:eastAsia="仿宋_GB2312" w:hAnsiTheme="minorHAnsi" w:cstheme="minorBidi"/>
          <w:color w:val="auto"/>
          <w:sz w:val="32"/>
          <w:szCs w:val="32"/>
        </w:rPr>
        <w:t>严格做好雨污分流、雨水沟清淤等措施，</w:t>
      </w:r>
      <w:r>
        <w:rPr>
          <w:rFonts w:ascii="仿宋_GB2312" w:eastAsia="仿宋_GB2312" w:hAnsiTheme="minorHAnsi" w:cstheme="minorBidi"/>
          <w:color w:val="auto"/>
          <w:sz w:val="32"/>
          <w:szCs w:val="32"/>
        </w:rPr>
        <w:t>加强初期雨水收集、处理和回用，</w:t>
      </w:r>
      <w:r>
        <w:rPr>
          <w:rFonts w:hint="eastAsia" w:ascii="仿宋_GB2312" w:eastAsia="仿宋_GB2312" w:hAnsiTheme="minorHAnsi" w:cstheme="minorBidi"/>
          <w:color w:val="auto"/>
          <w:sz w:val="32"/>
          <w:szCs w:val="32"/>
        </w:rPr>
        <w:t>建设足够容量的初期雨水收集池，防止污水通过雨水管沟外排</w:t>
      </w:r>
      <w:r>
        <w:rPr>
          <w:rFonts w:ascii="仿宋_GB2312" w:eastAsia="仿宋_GB2312" w:hAnsiTheme="minorHAnsi" w:cstheme="minorBidi"/>
          <w:color w:val="auto"/>
          <w:sz w:val="32"/>
          <w:szCs w:val="32"/>
        </w:rPr>
        <w:t>；</w:t>
      </w:r>
      <w:r>
        <w:rPr>
          <w:rFonts w:hint="eastAsia" w:ascii="仿宋_GB2312" w:eastAsia="仿宋_GB2312" w:hAnsiTheme="minorHAnsi" w:cstheme="minorBidi"/>
          <w:color w:val="auto"/>
          <w:sz w:val="32"/>
          <w:szCs w:val="32"/>
        </w:rPr>
        <w:t>做好地面灰尘、泥渣的清理，防止污染物随雨水流入外环境；</w:t>
      </w:r>
      <w:r>
        <w:rPr>
          <w:rFonts w:hint="eastAsia" w:ascii="仿宋_GB2312" w:hAnsi="仿宋_GB2312" w:eastAsia="仿宋_GB2312" w:cs="仿宋_GB2312"/>
          <w:bCs/>
          <w:snapToGrid w:val="0"/>
          <w:color w:val="auto"/>
          <w:sz w:val="32"/>
          <w:szCs w:val="32"/>
        </w:rPr>
        <w:t>初期雨水经厂内雨水管网收集进入厂</w:t>
      </w:r>
      <w:r>
        <w:rPr>
          <w:rFonts w:hint="eastAsia" w:ascii="仿宋_GB2312" w:hAnsi="仿宋_GB2312" w:eastAsia="仿宋_GB2312" w:cs="仿宋_GB2312"/>
          <w:bCs/>
          <w:snapToGrid w:val="0"/>
          <w:color w:val="auto"/>
          <w:sz w:val="32"/>
          <w:szCs w:val="32"/>
          <w:lang w:eastAsia="zh-CN"/>
        </w:rPr>
        <w:t>区</w:t>
      </w:r>
      <w:r>
        <w:rPr>
          <w:rFonts w:hint="eastAsia" w:ascii="仿宋_GB2312" w:hAnsi="仿宋_GB2312" w:eastAsia="仿宋_GB2312" w:cs="仿宋_GB2312"/>
          <w:bCs/>
          <w:snapToGrid w:val="0"/>
          <w:color w:val="auto"/>
          <w:sz w:val="32"/>
          <w:szCs w:val="32"/>
        </w:rPr>
        <w:t>初期雨水收集池内，经沉淀</w:t>
      </w:r>
      <w:r>
        <w:rPr>
          <w:rFonts w:hint="eastAsia" w:ascii="仿宋_GB2312" w:hAnsi="仿宋_GB2312" w:eastAsia="仿宋_GB2312" w:cs="仿宋_GB2312"/>
          <w:bCs/>
          <w:snapToGrid w:val="0"/>
          <w:color w:val="auto"/>
          <w:sz w:val="32"/>
          <w:szCs w:val="32"/>
          <w:lang w:val="en-US" w:eastAsia="zh-CN"/>
        </w:rPr>
        <w:t>处理后</w:t>
      </w:r>
      <w:r>
        <w:rPr>
          <w:rFonts w:hint="eastAsia" w:ascii="仿宋_GB2312" w:hAnsi="仿宋_GB2312" w:eastAsia="仿宋_GB2312" w:cs="仿宋_GB2312"/>
          <w:bCs/>
          <w:snapToGrid w:val="0"/>
          <w:color w:val="auto"/>
          <w:sz w:val="32"/>
          <w:szCs w:val="32"/>
        </w:rPr>
        <w:t>回用于</w:t>
      </w:r>
      <w:r>
        <w:rPr>
          <w:rFonts w:hint="eastAsia" w:ascii="仿宋_GB2312" w:hAnsi="仿宋_GB2312" w:eastAsia="仿宋_GB2312" w:cs="仿宋_GB2312"/>
          <w:bCs/>
          <w:snapToGrid w:val="0"/>
          <w:color w:val="auto"/>
          <w:sz w:val="32"/>
          <w:szCs w:val="32"/>
          <w:lang w:eastAsia="zh-CN"/>
        </w:rPr>
        <w:t>生产，不外排；</w:t>
      </w:r>
      <w:r>
        <w:rPr>
          <w:rFonts w:hint="eastAsia" w:ascii="仿宋_GB2312" w:hAnsi="仿宋_GB2312" w:eastAsia="仿宋_GB2312" w:cs="仿宋_GB2312"/>
          <w:color w:val="auto"/>
          <w:sz w:val="32"/>
          <w:szCs w:val="32"/>
        </w:rPr>
        <w:t>生活污水经“隔油池+化粪池”</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rPr>
        <w:t>处理</w:t>
      </w:r>
      <w:r>
        <w:rPr>
          <w:rFonts w:hint="eastAsia" w:ascii="仿宋_GB2312" w:hAnsi="仿宋_GB2312" w:eastAsia="仿宋_GB2312" w:cs="仿宋_GB2312"/>
          <w:color w:val="auto"/>
          <w:sz w:val="32"/>
          <w:szCs w:val="32"/>
          <w:lang w:val="en-US" w:eastAsia="zh-CN"/>
        </w:rPr>
        <w:t>达《农田灌溉水质标准》（GB5048-2021）中旱作标准后用于周边施肥。</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项目运营期废气主要为</w:t>
      </w:r>
      <w:r>
        <w:rPr>
          <w:rFonts w:hint="eastAsia" w:ascii="仿宋_GB2312" w:hAnsi="宋体" w:eastAsia="仿宋_GB2312" w:cs="Times New Roman"/>
          <w:bCs/>
          <w:color w:val="auto"/>
          <w:sz w:val="32"/>
          <w:szCs w:val="32"/>
        </w:rPr>
        <w:t>堆场扬尘、装卸扬尘</w:t>
      </w:r>
      <w:r>
        <w:rPr>
          <w:rFonts w:hint="eastAsia" w:ascii="仿宋_GB2312" w:hAnsi="仿宋_GB2312" w:eastAsia="仿宋_GB2312" w:cs="仿宋_GB2312"/>
          <w:bCs/>
          <w:snapToGrid w:val="0"/>
          <w:color w:val="000000"/>
          <w:sz w:val="32"/>
          <w:szCs w:val="32"/>
          <w:highlight w:val="none"/>
          <w:lang w:eastAsia="zh-CN"/>
        </w:rPr>
        <w:t>及汽车道路运输扬尘等无组织废气</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采用封闭生产车间，</w:t>
      </w:r>
      <w:r>
        <w:rPr>
          <w:rFonts w:hint="eastAsia" w:ascii="仿宋_GB2312" w:hAnsi="仿宋_GB2312" w:eastAsia="仿宋_GB2312" w:cs="仿宋_GB2312"/>
          <w:bCs/>
          <w:snapToGrid w:val="0"/>
          <w:color w:val="auto"/>
          <w:sz w:val="32"/>
          <w:szCs w:val="32"/>
          <w:lang w:eastAsia="zh-CN"/>
        </w:rPr>
        <w:t>屋顶加设洒水喷淋设施，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定期进行雾炮降尘、洒水、车间地面勤清理的方法抑尘；通过输送带封闭，降低物料落差，对运输车辆加蓬盖，道路硬化，设置喷雾洒水、车辆冲洗平台等措施，加强物料湿度，减少输送、装卸和道路运输粉尘。通过上述措施控制无组织排放，厂界颗粒物无组织排放应达到《大气污染物综合排放标准》(GB16297-1996） 中无组织排放标准要求。</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600" w:lineRule="exact"/>
        <w:ind w:left="0" w:right="0" w:firstLine="64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w:t>
      </w:r>
      <w:r>
        <w:rPr>
          <w:rFonts w:hint="eastAsia" w:ascii="仿宋_GB2312" w:hAnsi="仿宋_GB2312" w:eastAsia="仿宋_GB2312" w:cs="仿宋_GB2312"/>
          <w:snapToGrid w:val="0"/>
          <w:color w:val="000000"/>
          <w:sz w:val="32"/>
          <w:szCs w:val="32"/>
          <w:highlight w:val="none"/>
          <w:lang w:val="en-US" w:eastAsia="zh-CN"/>
        </w:rPr>
        <w:t>螺旋喂料机、提升搅拌桶、旋流器和各种泵类</w:t>
      </w:r>
      <w:r>
        <w:rPr>
          <w:rFonts w:ascii="仿宋_GB2312" w:hAnsi="宋体" w:eastAsia="仿宋_GB2312"/>
          <w:color w:val="auto"/>
          <w:sz w:val="32"/>
          <w:szCs w:val="32"/>
        </w:rPr>
        <w:t>等设备</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运行时产生的噪声，采取隔声、减振等降噪措施，定期对隔声罩、减震装置等降噪设施进行检查和维护，维持设备处于良好的运转状态，经厂房、围墙隔音及距离衰减等措施后，厂界噪声达到《工业企业厂界环境噪声排放标准》（GB12348-2008）中2类功能区噪声排放限值标准。</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60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600" w:lineRule="exact"/>
        <w:ind w:left="0" w:right="0" w:firstLine="640"/>
        <w:jc w:val="both"/>
        <w:textAlignment w:val="auto"/>
        <w:rPr>
          <w:rFonts w:hint="default" w:ascii="仿宋_GB2312" w:eastAsia="仿宋_GB2312"/>
          <w:sz w:val="32"/>
          <w:szCs w:val="32"/>
          <w:lang w:val="en-US"/>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厂区周边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根据《报告书》和《评估意见》结论，确定</w:t>
      </w:r>
      <w:r>
        <w:rPr>
          <w:rFonts w:hint="eastAsia" w:ascii="仿宋_GB2312" w:hAnsi="仿宋_GB2312" w:eastAsia="仿宋_GB2312" w:cs="仿宋_GB2312"/>
          <w:snapToGrid w:val="0"/>
          <w:color w:val="000000"/>
          <w:sz w:val="32"/>
          <w:szCs w:val="32"/>
        </w:rPr>
        <w:t>本项目</w:t>
      </w:r>
      <w:r>
        <w:rPr>
          <w:rFonts w:hint="eastAsia" w:ascii="仿宋_GB2312" w:hAnsi="仿宋_GB2312" w:eastAsia="仿宋_GB2312" w:cs="仿宋_GB2312"/>
          <w:snapToGrid w:val="0"/>
          <w:color w:val="000000"/>
          <w:sz w:val="32"/>
          <w:szCs w:val="32"/>
          <w:highlight w:val="none"/>
        </w:rPr>
        <w:t>各车间及仓库</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600" w:lineRule="exact"/>
        <w:ind w:firstLine="640" w:firstLineChars="200"/>
        <w:jc w:val="both"/>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600" w:lineRule="exact"/>
        <w:ind w:firstLine="640" w:firstLineChars="200"/>
        <w:jc w:val="both"/>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600" w:lineRule="exact"/>
        <w:ind w:firstLine="640" w:firstLineChars="200"/>
        <w:jc w:val="both"/>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600" w:lineRule="exact"/>
        <w:ind w:firstLine="640" w:firstLineChars="200"/>
        <w:jc w:val="both"/>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600" w:lineRule="exact"/>
        <w:ind w:firstLine="640" w:firstLineChars="200"/>
        <w:jc w:val="both"/>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奉新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奉新</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val="0"/>
        <w:kinsoku/>
        <w:wordWrap/>
        <w:overflowPunct/>
        <w:topLinePunct w:val="0"/>
        <w:autoSpaceDE w:val="0"/>
        <w:autoSpaceDN/>
        <w:bidi w:val="0"/>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rPr>
        <w:t>项目产品</w:t>
      </w:r>
      <w:r>
        <w:rPr>
          <w:rFonts w:hint="eastAsia" w:ascii="仿宋_GB2312" w:eastAsia="仿宋_GB2312"/>
          <w:color w:val="000000"/>
          <w:sz w:val="32"/>
          <w:szCs w:val="32"/>
          <w:lang w:eastAsia="zh-CN"/>
        </w:rPr>
        <w:t>压榨泥</w:t>
      </w:r>
      <w:r>
        <w:rPr>
          <w:rFonts w:hint="eastAsia" w:ascii="仿宋_GB2312" w:eastAsia="仿宋_GB2312"/>
          <w:color w:val="000000"/>
          <w:sz w:val="32"/>
          <w:szCs w:val="32"/>
        </w:rPr>
        <w:t>应有明确可行的下游销售渠道。如暂时无法外售，应参照一般工业固体废物管理要求进行收集、贮存、处置，落实防雨、防渗、单独区域储存等措施，并建立专门台账，不得随意倾倒，污染环境。</w:t>
      </w:r>
    </w:p>
    <w:p>
      <w:pPr>
        <w:keepNext w:val="0"/>
        <w:keepLines w:val="0"/>
        <w:pageBreakBefore w:val="0"/>
        <w:widowControl w:val="0"/>
        <w:kinsoku/>
        <w:wordWrap/>
        <w:overflowPunct/>
        <w:topLinePunct w:val="0"/>
        <w:bidi w:val="0"/>
        <w:snapToGrid/>
        <w:spacing w:line="520" w:lineRule="exact"/>
        <w:ind w:right="1077"/>
        <w:jc w:val="both"/>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spacing w:line="520" w:lineRule="exact"/>
        <w:jc w:val="both"/>
        <w:textAlignment w:val="auto"/>
        <w:rPr>
          <w:rFonts w:hint="eastAsia"/>
          <w:lang w:val="en-US" w:eastAsia="zh-CN"/>
        </w:rPr>
      </w:pPr>
    </w:p>
    <w:p>
      <w:pPr>
        <w:pStyle w:val="20"/>
        <w:keepNext w:val="0"/>
        <w:keepLines w:val="0"/>
        <w:pageBreakBefore w:val="0"/>
        <w:widowControl w:val="0"/>
        <w:kinsoku/>
        <w:wordWrap/>
        <w:overflowPunct/>
        <w:topLinePunct w:val="0"/>
        <w:bidi w:val="0"/>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8" w:rightChars="0"/>
        <w:jc w:val="center"/>
        <w:textAlignment w:val="auto"/>
        <w:rPr>
          <w:rFonts w:hint="default" w:ascii="仿宋_GB2312" w:hAnsi="华文仿宋" w:eastAsia="仿宋_GB2312"/>
          <w:sz w:val="32"/>
          <w:szCs w:val="32"/>
          <w:lang w:val="en-US"/>
        </w:rPr>
      </w:pPr>
      <w:r>
        <w:rPr>
          <w:rFonts w:hint="eastAsia" w:ascii="仿宋_GB2312" w:hAnsi="华文仿宋" w:eastAsia="仿宋_GB2312"/>
          <w:sz w:val="32"/>
          <w:szCs w:val="32"/>
          <w:lang w:val="en-US" w:eastAsia="zh-CN"/>
        </w:rPr>
        <w:t xml:space="preserve">                            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60" w:lineRule="exact"/>
        <w:ind w:firstLine="80" w:firstLineChars="25"/>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10"/>
        <w:ind w:left="0" w:leftChars="0" w:firstLine="0" w:firstLineChars="0"/>
        <w:jc w:val="both"/>
        <w:rPr>
          <w:rFonts w:hint="eastAsia"/>
          <w:lang w:val="en-US" w:eastAsia="zh-CN"/>
        </w:rPr>
      </w:pPr>
    </w:p>
    <w:p>
      <w:pPr>
        <w:spacing w:line="140" w:lineRule="exact"/>
        <w:jc w:val="both"/>
        <w:rPr>
          <w:rFonts w:hint="eastAsia" w:ascii="仿宋_GB2312" w:eastAsia="仿宋_GB2312"/>
          <w:color w:val="000000"/>
          <w:sz w:val="28"/>
          <w:szCs w:val="32"/>
          <w:u w:val="single"/>
        </w:rPr>
      </w:pPr>
    </w:p>
    <w:p>
      <w:pPr>
        <w:pStyle w:val="2"/>
        <w:rPr>
          <w:rFonts w:hint="eastAsia" w:ascii="仿宋_GB2312" w:eastAsia="仿宋_GB2312"/>
          <w:color w:val="000000"/>
          <w:sz w:val="28"/>
          <w:szCs w:val="32"/>
          <w:u w:val="single"/>
        </w:rPr>
      </w:pPr>
    </w:p>
    <w:p>
      <w:pPr>
        <w:rPr>
          <w:rFonts w:hint="eastAsia" w:ascii="仿宋_GB2312" w:eastAsia="仿宋_GB2312"/>
          <w:color w:val="000000"/>
          <w:sz w:val="28"/>
          <w:szCs w:val="32"/>
          <w:u w:val="single"/>
        </w:rPr>
      </w:pPr>
    </w:p>
    <w:p>
      <w:pPr>
        <w:pStyle w:val="2"/>
        <w:rPr>
          <w:rFonts w:hint="eastAsia" w:ascii="仿宋_GB2312" w:eastAsia="仿宋_GB2312"/>
          <w:color w:val="000000"/>
          <w:sz w:val="28"/>
          <w:szCs w:val="32"/>
          <w:u w:val="single"/>
        </w:rPr>
      </w:pPr>
    </w:p>
    <w:p>
      <w:pPr>
        <w:rPr>
          <w:rFonts w:hint="eastAsia" w:ascii="仿宋_GB2312" w:eastAsia="仿宋_GB2312"/>
          <w:color w:val="000000"/>
          <w:sz w:val="28"/>
          <w:szCs w:val="32"/>
          <w:u w:val="single"/>
        </w:rPr>
      </w:pPr>
    </w:p>
    <w:p>
      <w:pPr>
        <w:pStyle w:val="2"/>
        <w:rPr>
          <w:rFonts w:hint="eastAsia" w:ascii="仿宋_GB2312" w:eastAsia="仿宋_GB2312"/>
          <w:color w:val="000000"/>
          <w:sz w:val="28"/>
          <w:szCs w:val="32"/>
          <w:u w:val="single"/>
        </w:rPr>
      </w:pPr>
    </w:p>
    <w:p>
      <w:pPr>
        <w:rPr>
          <w:rFonts w:hint="eastAsia" w:ascii="仿宋_GB2312" w:eastAsia="仿宋_GB2312"/>
          <w:color w:val="000000"/>
          <w:sz w:val="28"/>
          <w:szCs w:val="32"/>
          <w:u w:val="single"/>
        </w:rPr>
      </w:pPr>
    </w:p>
    <w:p>
      <w:pPr>
        <w:pStyle w:val="2"/>
        <w:rPr>
          <w:rFonts w:hint="eastAsia" w:ascii="仿宋_GB2312" w:eastAsia="仿宋_GB2312"/>
          <w:color w:val="000000"/>
          <w:sz w:val="28"/>
          <w:szCs w:val="32"/>
          <w:u w:val="single"/>
        </w:rPr>
      </w:pPr>
    </w:p>
    <w:p>
      <w:pPr>
        <w:rPr>
          <w:rFonts w:hint="eastAsia" w:ascii="仿宋_GB2312" w:eastAsia="仿宋_GB2312"/>
          <w:color w:val="000000"/>
          <w:sz w:val="28"/>
          <w:szCs w:val="32"/>
          <w:u w:val="single"/>
        </w:rPr>
      </w:pPr>
    </w:p>
    <w:p>
      <w:pPr>
        <w:rPr>
          <w:rFonts w:hint="eastAsia"/>
        </w:rPr>
      </w:pPr>
    </w:p>
    <w:p>
      <w:pPr>
        <w:pStyle w:val="2"/>
        <w:rPr>
          <w:rFonts w:hint="eastAsia"/>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hint="eastAsia" w:ascii="仿宋_GB2312" w:eastAsia="仿宋_GB2312"/>
          <w:color w:val="000000"/>
          <w:sz w:val="28"/>
          <w:szCs w:val="32"/>
          <w:u w:val="single"/>
        </w:rPr>
      </w:pPr>
    </w:p>
    <w:p>
      <w:pPr>
        <w:spacing w:line="140" w:lineRule="exact"/>
        <w:jc w:val="both"/>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spacing w:beforeLines="30" w:line="460" w:lineRule="exact"/>
        <w:ind w:left="840" w:hanging="840" w:hangingChars="300"/>
        <w:jc w:val="both"/>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华文仿宋" w:eastAsia="仿宋_GB2312"/>
          <w:spacing w:val="-6"/>
          <w:sz w:val="28"/>
          <w:szCs w:val="32"/>
          <w:lang w:eastAsia="zh-CN"/>
        </w:rPr>
        <w:t>奉新县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奉新</w:t>
      </w:r>
      <w:r>
        <w:rPr>
          <w:rFonts w:hint="eastAsia" w:ascii="仿宋_GB2312" w:hAnsi="华文仿宋" w:eastAsia="仿宋_GB2312"/>
          <w:spacing w:val="-6"/>
          <w:sz w:val="28"/>
          <w:szCs w:val="32"/>
        </w:rPr>
        <w:t>生态环境局，局相关科室，局直属有关单位，</w:t>
      </w:r>
      <w:r>
        <w:rPr>
          <w:rFonts w:hint="eastAsia" w:ascii="仿宋_GB2312" w:hAnsi="Times New Roman" w:eastAsia="仿宋_GB2312" w:cs="Times New Roman"/>
          <w:color w:val="auto"/>
          <w:w w:val="90"/>
          <w:sz w:val="28"/>
          <w:szCs w:val="28"/>
          <w:lang w:val="en-US" w:eastAsia="zh-CN"/>
        </w:rPr>
        <w:t>江西锦名成环保有限公司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jc w:val="both"/>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tabs>
          <w:tab w:val="left" w:pos="7938"/>
        </w:tabs>
        <w:spacing w:line="520" w:lineRule="exact"/>
        <w:jc w:val="both"/>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7</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7</w:t>
      </w:r>
      <w:r>
        <w:rPr>
          <w:rFonts w:hint="eastAsia" w:ascii="仿宋_GB2312" w:eastAsia="仿宋_GB2312"/>
          <w:color w:val="000000"/>
          <w:sz w:val="28"/>
          <w:szCs w:val="32"/>
        </w:rPr>
        <w:t>日印发</w:t>
      </w:r>
    </w:p>
    <w:p>
      <w:pPr>
        <w:keepNext w:val="0"/>
        <w:keepLines w:val="0"/>
        <w:pageBreakBefore w:val="0"/>
        <w:widowControl w:val="0"/>
        <w:kinsoku/>
        <w:wordWrap/>
        <w:overflowPunct/>
        <w:topLinePunct w:val="0"/>
        <w:autoSpaceDE/>
        <w:autoSpaceDN/>
        <w:bidi w:val="0"/>
        <w:adjustRightInd/>
        <w:snapToGrid/>
        <w:spacing w:line="100" w:lineRule="exact"/>
        <w:ind w:left="0" w:hanging="980" w:hangingChars="350"/>
        <w:textAlignment w:val="auto"/>
        <w:rPr>
          <w:rFonts w:ascii="仿宋_GB2312" w:hAnsi="华文仿宋" w:eastAsia="仿宋_GB2312"/>
          <w:spacing w:val="-6"/>
          <w:sz w:val="32"/>
          <w:szCs w:val="32"/>
        </w:rPr>
      </w:pPr>
      <w:r>
        <w:rPr>
          <w:rFonts w:hint="eastAsia" w:ascii="仿宋_GB2312" w:eastAsia="仿宋_GB2312"/>
          <w:color w:val="000000"/>
          <w:sz w:val="28"/>
          <w:szCs w:val="32"/>
          <w:u w:val="single"/>
        </w:rPr>
        <w:t xml:space="preserve">                                                  　　          </w:t>
      </w:r>
      <w:r>
        <w:rPr>
          <w:rFonts w:hint="eastAsia" w:ascii="仿宋_GB2312" w:eastAsia="仿宋_GB2312"/>
          <w:sz w:val="32"/>
          <w:szCs w:val="32"/>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 w:name="楷体">
    <w:altName w:val="方正楷体_GBK"/>
    <w:panose1 w:val="02010609060101010101"/>
    <w:charset w:val="00"/>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771F2"/>
    <w:multiLevelType w:val="singleLevel"/>
    <w:tmpl w:val="3BF771F2"/>
    <w:lvl w:ilvl="0" w:tentative="0">
      <w:start w:val="3"/>
      <w:numFmt w:val="chineseCounting"/>
      <w:suff w:val="nothing"/>
      <w:lvlText w:val="（%1）"/>
      <w:lvlJc w:val="left"/>
      <w:rPr>
        <w:rFonts w:hint="eastAsia"/>
      </w:rPr>
    </w:lvl>
  </w:abstractNum>
  <w:abstractNum w:abstractNumId="1">
    <w:nsid w:val="73DBD816"/>
    <w:multiLevelType w:val="singleLevel"/>
    <w:tmpl w:val="73DBD81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C75B6"/>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9456EE"/>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55DEA"/>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3C4E89"/>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327DA"/>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015F"/>
    <w:rsid w:val="7FDE6D84"/>
    <w:rsid w:val="7FDF0F57"/>
    <w:rsid w:val="7FDF8A26"/>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EF9ED"/>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spacing w:before="260" w:after="260" w:line="416" w:lineRule="auto"/>
      <w:outlineLvl w:val="2"/>
    </w:pPr>
    <w:rPr>
      <w:bCs/>
      <w:szCs w:val="32"/>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rPr>
      <w:kern w:val="0"/>
      <w:sz w:val="20"/>
    </w:rPr>
  </w:style>
  <w:style w:type="paragraph" w:styleId="6">
    <w:name w:val="annotation text"/>
    <w:basedOn w:val="1"/>
    <w:link w:val="22"/>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9">
    <w:name w:val="Body Text Indent 2"/>
    <w:basedOn w:val="1"/>
    <w:next w:val="10"/>
    <w:qFormat/>
    <w:uiPriority w:val="99"/>
    <w:pPr>
      <w:adjustRightInd w:val="0"/>
      <w:snapToGrid w:val="0"/>
      <w:spacing w:before="31" w:beforeLines="10" w:line="460" w:lineRule="exact"/>
      <w:ind w:firstLine="520" w:firstLineChars="200"/>
    </w:pPr>
    <w:rPr>
      <w:rFonts w:ascii="Times New Roman" w:hAnsi="Times New Roman" w:eastAsia="宋体" w:cs="Times New Roman"/>
      <w:color w:val="000000"/>
      <w:kern w:val="0"/>
      <w:sz w:val="24"/>
      <w:szCs w:val="24"/>
    </w:rPr>
  </w:style>
  <w:style w:type="paragraph" w:styleId="10">
    <w:name w:val="Body Text First Indent 2"/>
    <w:basedOn w:val="8"/>
    <w:next w:val="1"/>
    <w:unhideWhenUsed/>
    <w:qFormat/>
    <w:uiPriority w:val="0"/>
    <w:pPr>
      <w:spacing w:after="120" w:line="240" w:lineRule="auto"/>
      <w:ind w:left="420" w:leftChars="200" w:firstLine="420"/>
    </w:p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annotation subject"/>
    <w:basedOn w:val="6"/>
    <w:next w:val="6"/>
    <w:link w:val="23"/>
    <w:qFormat/>
    <w:uiPriority w:val="0"/>
    <w:rPr>
      <w:b/>
      <w:bCs/>
    </w:rPr>
  </w:style>
  <w:style w:type="paragraph" w:styleId="15">
    <w:name w:val="Body Text First Indent"/>
    <w:basedOn w:val="7"/>
    <w:next w:val="1"/>
    <w:unhideWhenUsed/>
    <w:qFormat/>
    <w:uiPriority w:val="99"/>
    <w:pPr>
      <w:spacing w:after="120"/>
      <w:ind w:firstLine="420" w:firstLineChars="100"/>
    </w:pPr>
    <w:rPr>
      <w:rFonts w:ascii="Calibri" w:hAnsi="Calibri" w:eastAsia="宋体" w:cs="Times New Roman"/>
      <w:szCs w:val="22"/>
    </w:rPr>
  </w:style>
  <w:style w:type="character" w:styleId="18">
    <w:name w:val="annotation reference"/>
    <w:basedOn w:val="17"/>
    <w:qFormat/>
    <w:uiPriority w:val="0"/>
    <w:rPr>
      <w:sz w:val="21"/>
      <w:szCs w:val="21"/>
    </w:rPr>
  </w:style>
  <w:style w:type="paragraph" w:customStyle="1" w:styleId="19">
    <w:name w:val="样式 标题 2"/>
    <w:basedOn w:val="3"/>
    <w:next w:val="20"/>
    <w:qFormat/>
    <w:uiPriority w:val="0"/>
    <w:pPr>
      <w:spacing w:before="50" w:after="50"/>
    </w:pPr>
    <w:rPr>
      <w:szCs w:val="28"/>
    </w:rPr>
  </w:style>
  <w:style w:type="paragraph" w:customStyle="1" w:styleId="20">
    <w:name w:val="Default1"/>
    <w:basedOn w:val="2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1">
    <w:name w:val="Normal_14_0"/>
    <w:qFormat/>
    <w:uiPriority w:val="0"/>
    <w:pPr>
      <w:spacing w:before="120" w:after="240"/>
      <w:jc w:val="both"/>
    </w:pPr>
    <w:rPr>
      <w:rFonts w:ascii="Calibri" w:hAnsi="Calibri" w:eastAsia="Calibri" w:cs="Times New Roman"/>
      <w:sz w:val="22"/>
      <w:szCs w:val="22"/>
      <w:lang w:val="ru-RU" w:eastAsia="en-US" w:bidi="ar-SA"/>
    </w:rPr>
  </w:style>
  <w:style w:type="character" w:customStyle="1" w:styleId="22">
    <w:name w:val="批注文字 Char"/>
    <w:basedOn w:val="17"/>
    <w:link w:val="6"/>
    <w:qFormat/>
    <w:uiPriority w:val="0"/>
    <w:rPr>
      <w:kern w:val="2"/>
      <w:sz w:val="21"/>
      <w:szCs w:val="24"/>
    </w:rPr>
  </w:style>
  <w:style w:type="character" w:customStyle="1" w:styleId="23">
    <w:name w:val="批注主题 Char"/>
    <w:basedOn w:val="22"/>
    <w:link w:val="14"/>
    <w:qFormat/>
    <w:uiPriority w:val="0"/>
    <w:rPr>
      <w:b/>
      <w:bCs/>
      <w:kern w:val="2"/>
      <w:sz w:val="21"/>
      <w:szCs w:val="24"/>
    </w:rPr>
  </w:style>
  <w:style w:type="character" w:customStyle="1" w:styleId="24">
    <w:name w:val="批注框文本 Char"/>
    <w:basedOn w:val="17"/>
    <w:link w:val="11"/>
    <w:qFormat/>
    <w:uiPriority w:val="0"/>
    <w:rPr>
      <w:kern w:val="2"/>
      <w:sz w:val="18"/>
      <w:szCs w:val="18"/>
    </w:rPr>
  </w:style>
  <w:style w:type="paragraph" w:customStyle="1" w:styleId="25">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6">
    <w:name w:val="List Paragraph"/>
    <w:basedOn w:val="1"/>
    <w:unhideWhenUsed/>
    <w:qFormat/>
    <w:uiPriority w:val="99"/>
    <w:pPr>
      <w:ind w:firstLine="420" w:firstLineChars="200"/>
    </w:pPr>
  </w:style>
  <w:style w:type="paragraph" w:customStyle="1" w:styleId="27">
    <w:name w:val="Default"/>
    <w:basedOn w:val="28"/>
    <w:next w:val="10"/>
    <w:qFormat/>
    <w:uiPriority w:val="0"/>
    <w:pPr>
      <w:autoSpaceDE w:val="0"/>
      <w:autoSpaceDN w:val="0"/>
      <w:adjustRightInd w:val="0"/>
    </w:pPr>
    <w:rPr>
      <w:rFonts w:ascii="仿宋_GB2312" w:eastAsia="仿宋_GB2312" w:cs="仿宋_GB2312"/>
      <w:sz w:val="24"/>
    </w:rPr>
  </w:style>
  <w:style w:type="paragraph" w:customStyle="1" w:styleId="2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3925</Words>
  <Characters>4092</Characters>
  <Lines>26</Lines>
  <Paragraphs>7</Paragraphs>
  <TotalTime>2</TotalTime>
  <ScaleCrop>false</ScaleCrop>
  <LinksUpToDate>false</LinksUpToDate>
  <CharactersWithSpaces>4319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2022-02-28T17:25:00Z</dcterms:created>
  <dc:creator>Administrator</dc:creator>
  <cp:lastModifiedBy>admin123</cp:lastModifiedBy>
  <cp:lastPrinted>2023-07-07T15:44:43Z</cp:lastPrinted>
  <dcterms:modified xsi:type="dcterms:W3CDTF">2023-07-07T15:45:33Z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5D808EABE8958B149DC2A7644E565D44</vt:lpwstr>
  </property>
</Properties>
</file>