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w:t>
      </w:r>
      <w:r>
        <w:rPr>
          <w:rFonts w:hint="default"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69</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520" w:lineRule="exact"/>
        <w:jc w:val="center"/>
        <w:rPr>
          <w:rFonts w:ascii="方正小标宋简体" w:hAnsi="宋体" w:eastAsia="方正小标宋简体"/>
          <w:w w:val="95"/>
          <w:sz w:val="44"/>
          <w:szCs w:val="44"/>
        </w:rPr>
      </w:pPr>
      <w:r>
        <w:rPr>
          <w:rFonts w:hint="eastAsia" w:ascii="方正小标宋简体" w:hAnsi="方正小标宋简体" w:eastAsia="方正小标宋简体" w:cs="方正小标宋简体"/>
          <w:bCs/>
          <w:color w:val="000000"/>
          <w:sz w:val="44"/>
          <w:szCs w:val="44"/>
          <w:lang w:val="en-US" w:eastAsia="zh-CN"/>
        </w:rPr>
        <w:t>关</w:t>
      </w:r>
      <w:r>
        <w:rPr>
          <w:rFonts w:hint="eastAsia" w:ascii="方正小标宋简体" w:hAnsi="宋体" w:eastAsia="方正小标宋简体"/>
          <w:w w:val="95"/>
          <w:sz w:val="44"/>
          <w:szCs w:val="44"/>
          <w:lang w:val="en-US" w:eastAsia="zh-CN"/>
        </w:rPr>
        <w:t>于江西宜辉锂业有限公司年产16万吨含锂卤水建设项目（一期）</w:t>
      </w:r>
      <w:r>
        <w:rPr>
          <w:rFonts w:hint="eastAsia" w:ascii="方正小标宋简体" w:hAnsi="宋体" w:eastAsia="方正小标宋简体"/>
          <w:w w:val="95"/>
          <w:sz w:val="44"/>
          <w:szCs w:val="44"/>
        </w:rPr>
        <w:t>环境影响报告书的批复</w:t>
      </w:r>
    </w:p>
    <w:p>
      <w:pPr>
        <w:keepNext w:val="0"/>
        <w:keepLines w:val="0"/>
        <w:pageBreakBefore w:val="0"/>
        <w:widowControl w:val="0"/>
        <w:kinsoku/>
        <w:wordWrap/>
        <w:overflowPunct/>
        <w:topLinePunct w:val="0"/>
        <w:autoSpaceDE w:val="0"/>
        <w:autoSpaceDN/>
        <w:bidi w:val="0"/>
        <w:spacing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bidi w:val="0"/>
        <w:spacing w:line="500" w:lineRule="exac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江西宜辉锂业有限公司：</w:t>
      </w:r>
    </w:p>
    <w:p>
      <w:pPr>
        <w:keepNext w:val="0"/>
        <w:keepLines w:val="0"/>
        <w:pageBreakBefore w:val="0"/>
        <w:widowControl w:val="0"/>
        <w:kinsoku/>
        <w:wordWrap/>
        <w:overflowPunct/>
        <w:topLinePunct w:val="0"/>
        <w:autoSpaceDE w:val="0"/>
        <w:autoSpaceDN/>
        <w:bidi w:val="0"/>
        <w:spacing w:line="5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你公司</w:t>
      </w:r>
      <w:r>
        <w:rPr>
          <w:rFonts w:hint="eastAsia" w:ascii="仿宋_GB2312" w:hAnsi="仿宋" w:eastAsia="仿宋_GB2312" w:cs="仿宋"/>
          <w:sz w:val="32"/>
          <w:szCs w:val="32"/>
          <w:lang w:eastAsia="zh-CN"/>
        </w:rPr>
        <w:t>《关于请求审批</w:t>
      </w:r>
      <w:r>
        <w:rPr>
          <w:rFonts w:hint="eastAsia" w:ascii="仿宋_GB2312" w:hAnsi="仿宋" w:eastAsia="仿宋_GB2312" w:cs="仿宋"/>
          <w:sz w:val="32"/>
          <w:szCs w:val="32"/>
          <w:lang w:val="en-US" w:eastAsia="zh-CN"/>
        </w:rPr>
        <w:t>〈江西宜辉锂业有限公司年产16万吨含锂卤水建设项目（一期）</w:t>
      </w:r>
      <w:r>
        <w:rPr>
          <w:rFonts w:hint="eastAsia" w:ascii="仿宋_GB2312" w:hAnsi="仿宋" w:eastAsia="仿宋_GB2312" w:cs="仿宋"/>
          <w:sz w:val="32"/>
          <w:szCs w:val="32"/>
          <w:lang w:eastAsia="zh-CN"/>
        </w:rPr>
        <w:t>环境影响报告书〉的</w:t>
      </w:r>
      <w:r>
        <w:rPr>
          <w:rFonts w:hint="eastAsia" w:ascii="仿宋_GB2312" w:hAnsi="仿宋" w:eastAsia="仿宋_GB2312" w:cs="仿宋"/>
          <w:sz w:val="32"/>
          <w:szCs w:val="32"/>
        </w:rPr>
        <w:t>请示》以及相关资料收悉，经研究，批复如下：</w:t>
      </w:r>
    </w:p>
    <w:p>
      <w:pPr>
        <w:keepNext w:val="0"/>
        <w:keepLines w:val="0"/>
        <w:pageBreakBefore w:val="0"/>
        <w:widowControl w:val="0"/>
        <w:kinsoku/>
        <w:wordWrap/>
        <w:overflowPunct/>
        <w:topLinePunct w:val="0"/>
        <w:autoSpaceDN/>
        <w:bidi w:val="0"/>
        <w:spacing w:line="500" w:lineRule="exact"/>
        <w:ind w:firstLine="640" w:firstLineChars="200"/>
        <w:jc w:val="left"/>
        <w:textAlignment w:val="auto"/>
        <w:rPr>
          <w:rFonts w:hint="eastAsia" w:ascii="仿宋_GB2312" w:hAnsi="仿宋_GB2312" w:eastAsia="仿宋_GB2312" w:cs="仿宋_GB2312"/>
          <w:bCs/>
          <w:color w:val="auto"/>
          <w:sz w:val="32"/>
          <w:szCs w:val="32"/>
        </w:rPr>
      </w:pPr>
      <w:r>
        <w:rPr>
          <w:rFonts w:hint="eastAsia" w:ascii="黑体" w:hAnsi="黑体" w:eastAsia="黑体"/>
          <w:kern w:val="0"/>
          <w:sz w:val="32"/>
          <w:szCs w:val="32"/>
        </w:rPr>
        <w:t>一、项目建设内容及批复意见</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 w:eastAsia="仿宋_GB2312" w:cs="仿宋"/>
          <w:sz w:val="32"/>
          <w:szCs w:val="32"/>
          <w:lang w:val="en-US" w:eastAsia="zh-CN"/>
        </w:rPr>
        <w:t>江西宜辉锂业有限公司年产16万吨含锂卤水建设项目（一期）</w:t>
      </w:r>
      <w:r>
        <w:rPr>
          <w:rFonts w:hint="eastAsia" w:ascii="仿宋_GB2312" w:hAnsi="仿宋_GB2312" w:eastAsia="仿宋_GB2312" w:cs="仿宋_GB2312"/>
          <w:bCs/>
          <w:color w:val="auto"/>
          <w:sz w:val="32"/>
          <w:szCs w:val="32"/>
        </w:rPr>
        <w:t>拟建于江西省宜春市宜丰县工业园长新大道，</w:t>
      </w:r>
      <w:r>
        <w:rPr>
          <w:rFonts w:hint="eastAsia" w:ascii="仿宋_GB2312" w:hAnsi="仿宋_GB2312" w:eastAsia="仿宋_GB2312" w:cs="仿宋_GB2312"/>
          <w:bCs/>
          <w:color w:val="auto"/>
          <w:sz w:val="32"/>
          <w:szCs w:val="32"/>
          <w:lang w:val="en-US" w:eastAsia="zh-CN"/>
        </w:rPr>
        <w:t>项目地理坐标为东经114°50′1.295″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北纬28°20′14.084″，</w:t>
      </w:r>
      <w:r>
        <w:rPr>
          <w:rFonts w:hint="eastAsia" w:ascii="仿宋_GB2312" w:hAnsi="仿宋_GB2312" w:eastAsia="仿宋_GB2312" w:cs="仿宋_GB2312"/>
          <w:bCs/>
          <w:color w:val="auto"/>
          <w:sz w:val="32"/>
          <w:szCs w:val="32"/>
        </w:rPr>
        <w:t>全厂</w:t>
      </w:r>
      <w:r>
        <w:rPr>
          <w:rFonts w:hint="eastAsia" w:ascii="仿宋_GB2312" w:hAnsi="仿宋_GB2312" w:eastAsia="仿宋_GB2312" w:cs="仿宋_GB2312"/>
          <w:bCs/>
          <w:color w:val="auto"/>
          <w:sz w:val="32"/>
          <w:szCs w:val="32"/>
          <w:lang w:eastAsia="zh-CN"/>
        </w:rPr>
        <w:t>总</w:t>
      </w:r>
      <w:r>
        <w:rPr>
          <w:rFonts w:hint="eastAsia" w:ascii="仿宋_GB2312" w:eastAsia="仿宋_GB2312"/>
          <w:color w:val="auto"/>
          <w:sz w:val="32"/>
          <w:szCs w:val="32"/>
        </w:rPr>
        <w:t>占地面积</w:t>
      </w:r>
      <w:r>
        <w:rPr>
          <w:rFonts w:hint="eastAsia" w:ascii="仿宋_GB2312" w:eastAsia="仿宋_GB2312"/>
          <w:color w:val="auto"/>
          <w:sz w:val="32"/>
          <w:szCs w:val="32"/>
          <w:lang w:val="en-US" w:eastAsia="zh-CN"/>
        </w:rPr>
        <w:t>33333.33</w:t>
      </w:r>
      <w:r>
        <w:rPr>
          <w:rFonts w:hint="eastAsia" w:ascii="仿宋_GB2312" w:eastAsia="仿宋_GB2312"/>
          <w:color w:val="auto"/>
          <w:sz w:val="32"/>
          <w:szCs w:val="32"/>
        </w:rPr>
        <w:t>m</w:t>
      </w:r>
      <w:r>
        <w:rPr>
          <w:rFonts w:hint="eastAsia" w:ascii="仿宋_GB2312" w:eastAsia="仿宋_GB2312"/>
          <w:color w:val="auto"/>
          <w:sz w:val="32"/>
          <w:szCs w:val="32"/>
          <w:vertAlign w:val="superscript"/>
        </w:rPr>
        <w:t>2</w:t>
      </w:r>
      <w:r>
        <w:rPr>
          <w:rFonts w:hint="eastAsia" w:ascii="仿宋_GB2312" w:hAnsi="仿宋_GB2312" w:eastAsia="仿宋_GB2312" w:cs="仿宋_GB2312"/>
          <w:bCs/>
          <w:color w:val="auto"/>
          <w:sz w:val="32"/>
          <w:szCs w:val="32"/>
          <w:lang w:eastAsia="zh-CN"/>
        </w:rPr>
        <w:t>。</w:t>
      </w:r>
      <w:bookmarkStart w:id="0" w:name="_Hlk56869999"/>
    </w:p>
    <w:bookmarkEnd w:id="0"/>
    <w:p>
      <w:pPr>
        <w:pStyle w:val="36"/>
        <w:keepNext w:val="0"/>
        <w:keepLines w:val="0"/>
        <w:pageBreakBefore w:val="0"/>
        <w:widowControl w:val="0"/>
        <w:kinsoku/>
        <w:wordWrap/>
        <w:overflowPunct/>
        <w:topLinePunct w:val="0"/>
        <w:autoSpaceDE/>
        <w:autoSpaceDN/>
        <w:bidi w:val="0"/>
        <w:spacing w:line="540" w:lineRule="exact"/>
        <w:ind w:firstLine="64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本</w:t>
      </w:r>
      <w:r>
        <w:rPr>
          <w:rFonts w:hint="eastAsia" w:ascii="仿宋_GB2312" w:hAnsi="仿宋_GB2312" w:eastAsia="仿宋_GB2312" w:cs="仿宋_GB2312"/>
          <w:bCs/>
          <w:color w:val="auto"/>
          <w:sz w:val="32"/>
          <w:szCs w:val="32"/>
        </w:rPr>
        <w:t>项目为新建工程</w:t>
      </w:r>
      <w:r>
        <w:rPr>
          <w:rFonts w:hint="eastAsia" w:ascii="仿宋_GB2312" w:hAnsi="仿宋_GB2312" w:eastAsia="仿宋_GB2312" w:cs="仿宋_GB2312"/>
          <w:bCs/>
          <w:color w:val="auto"/>
          <w:sz w:val="32"/>
          <w:szCs w:val="32"/>
          <w:lang w:eastAsia="zh-CN"/>
        </w:rPr>
        <w:t>，建设单位拟分两期建设，其中一期生产规模为年产</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lang w:eastAsia="zh-CN"/>
        </w:rPr>
        <w:t>万吨含锂卤水，本次只针对一期工程建设内容进行</w:t>
      </w:r>
      <w:r>
        <w:rPr>
          <w:rFonts w:hint="eastAsia" w:ascii="仿宋_GB2312" w:hAnsi="仿宋_GB2312" w:eastAsia="仿宋_GB2312" w:cs="仿宋_GB2312"/>
          <w:bCs/>
          <w:color w:val="auto"/>
          <w:sz w:val="32"/>
          <w:szCs w:val="32"/>
          <w:lang w:val="en-US" w:eastAsia="zh-CN"/>
        </w:rPr>
        <w:t>批复</w:t>
      </w:r>
      <w:r>
        <w:rPr>
          <w:rFonts w:hint="eastAsia" w:ascii="仿宋_GB2312" w:hAnsi="仿宋_GB2312" w:eastAsia="仿宋_GB2312" w:cs="仿宋_GB2312"/>
          <w:bCs/>
          <w:color w:val="auto"/>
          <w:sz w:val="32"/>
          <w:szCs w:val="32"/>
          <w:lang w:eastAsia="zh-CN"/>
        </w:rPr>
        <w:t>。项目主要</w:t>
      </w:r>
      <w:r>
        <w:rPr>
          <w:rFonts w:hint="eastAsia" w:ascii="仿宋_GB2312" w:hAnsi="仿宋_GB2312" w:eastAsia="仿宋_GB2312" w:cs="仿宋_GB2312"/>
          <w:bCs/>
          <w:color w:val="auto"/>
          <w:sz w:val="32"/>
          <w:szCs w:val="32"/>
        </w:rPr>
        <w:t>以锂云母</w:t>
      </w:r>
      <w:r>
        <w:rPr>
          <w:rFonts w:hint="eastAsia" w:ascii="仿宋_GB2312" w:hAnsi="仿宋_GB2312" w:eastAsia="仿宋_GB2312" w:cs="仿宋_GB2312"/>
          <w:bCs/>
          <w:color w:val="auto"/>
          <w:sz w:val="32"/>
          <w:szCs w:val="32"/>
          <w:lang w:eastAsia="zh-CN"/>
        </w:rPr>
        <w:t>、硫酸钠、硫酸钙、碳酸钙、石灰、硫酸钾、</w:t>
      </w:r>
      <w:r>
        <w:rPr>
          <w:rFonts w:hint="eastAsia" w:ascii="仿宋_GB2312" w:hAnsi="仿宋_GB2312" w:eastAsia="仿宋_GB2312" w:cs="仿宋_GB2312"/>
          <w:bCs/>
          <w:color w:val="auto"/>
          <w:sz w:val="32"/>
          <w:szCs w:val="32"/>
        </w:rPr>
        <w:t>水等为原辅料</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经过</w:t>
      </w:r>
      <w:r>
        <w:rPr>
          <w:rFonts w:hint="eastAsia" w:ascii="仿宋_GB2312" w:hAnsi="仿宋_GB2312" w:eastAsia="仿宋_GB2312" w:cs="仿宋_GB2312"/>
          <w:bCs/>
          <w:color w:val="auto"/>
          <w:sz w:val="32"/>
          <w:szCs w:val="32"/>
          <w:lang w:eastAsia="zh-CN"/>
        </w:rPr>
        <w:t>烘干、配料</w:t>
      </w:r>
      <w:r>
        <w:rPr>
          <w:rFonts w:hint="eastAsia" w:ascii="仿宋_GB2312" w:hAnsi="仿宋_GB2312" w:eastAsia="仿宋_GB2312" w:cs="仿宋_GB2312"/>
          <w:bCs/>
          <w:color w:val="auto"/>
          <w:sz w:val="32"/>
          <w:szCs w:val="32"/>
        </w:rPr>
        <w:t>混料、</w:t>
      </w:r>
      <w:r>
        <w:rPr>
          <w:rFonts w:hint="eastAsia" w:ascii="仿宋_GB2312" w:hAnsi="仿宋_GB2312" w:eastAsia="仿宋_GB2312" w:cs="仿宋_GB2312"/>
          <w:bCs/>
          <w:color w:val="auto"/>
          <w:sz w:val="32"/>
          <w:szCs w:val="32"/>
          <w:lang w:eastAsia="zh-CN"/>
        </w:rPr>
        <w:t>压制成型</w:t>
      </w:r>
      <w:r>
        <w:rPr>
          <w:rFonts w:hint="eastAsia" w:ascii="仿宋_GB2312" w:hAnsi="仿宋_GB2312" w:eastAsia="仿宋_GB2312" w:cs="仿宋_GB2312"/>
          <w:bCs/>
          <w:color w:val="auto"/>
          <w:sz w:val="32"/>
          <w:szCs w:val="32"/>
        </w:rPr>
        <w:t>、焙烧、</w:t>
      </w:r>
      <w:r>
        <w:rPr>
          <w:rFonts w:hint="eastAsia" w:ascii="仿宋_GB2312" w:hAnsi="仿宋_GB2312" w:eastAsia="仿宋_GB2312" w:cs="仿宋_GB2312"/>
          <w:bCs/>
          <w:color w:val="auto"/>
          <w:sz w:val="32"/>
          <w:szCs w:val="32"/>
          <w:lang w:eastAsia="zh-CN"/>
        </w:rPr>
        <w:t>冷却、破碎磨粉</w:t>
      </w:r>
      <w:r>
        <w:rPr>
          <w:rFonts w:hint="eastAsia" w:ascii="仿宋_GB2312" w:hAnsi="仿宋_GB2312" w:eastAsia="仿宋_GB2312" w:cs="仿宋_GB2312"/>
          <w:bCs/>
          <w:color w:val="auto"/>
          <w:sz w:val="32"/>
          <w:szCs w:val="32"/>
        </w:rPr>
        <w:t>、浸出、过滤等工序生产</w:t>
      </w:r>
      <w:r>
        <w:rPr>
          <w:rFonts w:hint="eastAsia" w:ascii="仿宋_GB2312" w:hAnsi="仿宋_GB2312" w:eastAsia="仿宋_GB2312" w:cs="仿宋_GB2312"/>
          <w:bCs/>
          <w:color w:val="auto"/>
          <w:sz w:val="32"/>
          <w:szCs w:val="32"/>
          <w:lang w:eastAsia="zh-CN"/>
        </w:rPr>
        <w:t>含锂卤水</w:t>
      </w:r>
      <w:r>
        <w:rPr>
          <w:rFonts w:hint="eastAsia" w:ascii="仿宋_GB2312" w:hAnsi="仿宋_GB2312" w:eastAsia="仿宋_GB2312" w:cs="仿宋_GB2312"/>
          <w:bCs/>
          <w:color w:val="auto"/>
          <w:sz w:val="32"/>
          <w:szCs w:val="32"/>
        </w:rPr>
        <w:t>。</w:t>
      </w:r>
    </w:p>
    <w:p>
      <w:pPr>
        <w:pStyle w:val="28"/>
        <w:keepNext w:val="0"/>
        <w:keepLines w:val="0"/>
        <w:pageBreakBefore w:val="0"/>
        <w:kinsoku/>
        <w:wordWrap/>
        <w:overflowPunct/>
        <w:topLinePunct w:val="0"/>
        <w:bidi w:val="0"/>
        <w:snapToGrid/>
        <w:spacing w:line="500" w:lineRule="exact"/>
        <w:ind w:firstLine="640"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项目产品方案：</w:t>
      </w:r>
      <w:r>
        <w:rPr>
          <w:rFonts w:hint="eastAsia" w:ascii="仿宋_GB2312" w:hAnsi="仿宋_GB2312" w:eastAsia="仿宋_GB2312" w:cs="仿宋_GB2312"/>
          <w:bCs/>
          <w:color w:val="auto"/>
          <w:sz w:val="32"/>
          <w:szCs w:val="32"/>
          <w:lang w:eastAsia="zh-CN"/>
        </w:rPr>
        <w:t>含锂卤水</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lang w:eastAsia="zh-CN"/>
        </w:rPr>
        <w:t>万</w:t>
      </w:r>
      <w:r>
        <w:rPr>
          <w:rFonts w:hint="eastAsia"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rPr>
        <w:t>Li</w:t>
      </w:r>
      <w:r>
        <w:rPr>
          <w:rFonts w:hint="eastAsia" w:ascii="仿宋_GB2312" w:hAnsi="仿宋_GB2312" w:eastAsia="仿宋_GB2312" w:cs="仿宋_GB2312"/>
          <w:color w:val="auto"/>
          <w:sz w:val="32"/>
          <w:szCs w:val="32"/>
          <w:vertAlign w:val="superscript"/>
        </w:rPr>
        <w:t>+</w:t>
      </w:r>
      <w:r>
        <w:rPr>
          <w:rFonts w:hint="eastAsia" w:ascii="仿宋_GB2312" w:hAnsi="仿宋_GB2312" w:eastAsia="仿宋_GB2312" w:cs="仿宋_GB2312"/>
          <w:color w:val="auto"/>
          <w:sz w:val="32"/>
          <w:szCs w:val="32"/>
        </w:rPr>
        <w:t>≥15g/L</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w:t>
      </w:r>
    </w:p>
    <w:p>
      <w:pPr>
        <w:keepNext w:val="0"/>
        <w:keepLines w:val="0"/>
        <w:pageBreakBefore w:val="0"/>
        <w:kinsoku/>
        <w:wordWrap/>
        <w:overflowPunct/>
        <w:topLinePunct w:val="0"/>
        <w:bidi w:val="0"/>
        <w:adjustRightInd w:val="0"/>
        <w:snapToGrid w:val="0"/>
        <w:spacing w:line="540" w:lineRule="exact"/>
        <w:ind w:firstLine="640" w:firstLineChars="200"/>
        <w:rPr>
          <w:rFonts w:hint="eastAsia" w:ascii="仿宋_GB2312" w:hAnsi="仿宋_GB2312" w:eastAsia="仿宋_GB2312" w:cs="仿宋_GB2312"/>
          <w:bCs/>
          <w:snapToGrid w:val="0"/>
          <w:color w:val="auto"/>
          <w:sz w:val="32"/>
          <w:szCs w:val="32"/>
        </w:rPr>
      </w:pPr>
      <w:r>
        <w:rPr>
          <w:rFonts w:hint="eastAsia" w:ascii="仿宋_GB2312" w:hAnsi="仿宋_GB2312" w:eastAsia="仿宋_GB2312" w:cs="仿宋_GB2312"/>
          <w:bCs/>
          <w:snapToGrid w:val="0"/>
          <w:color w:val="auto"/>
          <w:sz w:val="32"/>
          <w:szCs w:val="32"/>
          <w:lang w:eastAsia="zh-CN"/>
        </w:rPr>
        <w:t>本</w:t>
      </w:r>
      <w:r>
        <w:rPr>
          <w:rFonts w:hint="eastAsia" w:ascii="仿宋_GB2312" w:hAnsi="仿宋_GB2312" w:eastAsia="仿宋_GB2312" w:cs="仿宋_GB2312"/>
          <w:bCs/>
          <w:snapToGrid w:val="0"/>
          <w:color w:val="auto"/>
          <w:sz w:val="32"/>
          <w:szCs w:val="32"/>
        </w:rPr>
        <w:t>项目</w:t>
      </w:r>
      <w:r>
        <w:rPr>
          <w:rFonts w:hint="eastAsia" w:ascii="仿宋_GB2312" w:hAnsi="宋体" w:eastAsia="仿宋_GB2312"/>
          <w:snapToGrid w:val="0"/>
          <w:color w:val="auto"/>
          <w:sz w:val="32"/>
          <w:szCs w:val="32"/>
        </w:rPr>
        <w:t>总投资</w:t>
      </w:r>
      <w:r>
        <w:rPr>
          <w:rFonts w:hint="eastAsia" w:ascii="仿宋_GB2312" w:hAnsi="宋体" w:eastAsia="仿宋_GB2312"/>
          <w:snapToGrid w:val="0"/>
          <w:color w:val="auto"/>
          <w:sz w:val="32"/>
          <w:szCs w:val="32"/>
          <w:lang w:val="en-US" w:eastAsia="zh-CN"/>
        </w:rPr>
        <w:t>25000</w:t>
      </w:r>
      <w:r>
        <w:rPr>
          <w:rFonts w:hint="eastAsia" w:ascii="仿宋_GB2312" w:hAnsi="宋体" w:eastAsia="仿宋_GB2312"/>
          <w:snapToGrid w:val="0"/>
          <w:color w:val="auto"/>
          <w:sz w:val="32"/>
          <w:szCs w:val="32"/>
        </w:rPr>
        <w:t>万元，其中环保投资</w:t>
      </w:r>
      <w:r>
        <w:rPr>
          <w:rFonts w:hint="eastAsia" w:ascii="仿宋_GB2312" w:hAnsi="宋体" w:eastAsia="仿宋_GB2312"/>
          <w:snapToGrid w:val="0"/>
          <w:color w:val="auto"/>
          <w:sz w:val="32"/>
          <w:szCs w:val="32"/>
          <w:lang w:val="en-US" w:eastAsia="zh-CN"/>
        </w:rPr>
        <w:t>434</w:t>
      </w:r>
      <w:r>
        <w:rPr>
          <w:rFonts w:hint="eastAsia" w:ascii="仿宋_GB2312" w:hAnsi="宋体" w:eastAsia="仿宋_GB2312"/>
          <w:snapToGrid w:val="0"/>
          <w:color w:val="auto"/>
          <w:sz w:val="32"/>
          <w:szCs w:val="32"/>
        </w:rPr>
        <w:t>万元，占总投资</w:t>
      </w:r>
      <w:r>
        <w:rPr>
          <w:rFonts w:hint="eastAsia" w:ascii="仿宋_GB2312" w:hAnsi="宋体" w:eastAsia="仿宋_GB2312"/>
          <w:snapToGrid w:val="0"/>
          <w:color w:val="auto"/>
          <w:sz w:val="32"/>
          <w:szCs w:val="32"/>
          <w:lang w:eastAsia="zh-CN"/>
        </w:rPr>
        <w:t>的</w:t>
      </w:r>
      <w:r>
        <w:rPr>
          <w:rFonts w:hint="eastAsia" w:ascii="仿宋_GB2312" w:hAnsi="宋体" w:eastAsia="仿宋_GB2312"/>
          <w:snapToGrid w:val="0"/>
          <w:color w:val="auto"/>
          <w:sz w:val="32"/>
          <w:szCs w:val="32"/>
          <w:lang w:val="en-US" w:eastAsia="zh-CN"/>
        </w:rPr>
        <w:t>1.74</w:t>
      </w:r>
      <w:r>
        <w:rPr>
          <w:rFonts w:hint="eastAsia" w:ascii="仿宋_GB2312" w:hAnsi="宋体" w:eastAsia="仿宋_GB2312"/>
          <w:snapToGrid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jc w:val="left"/>
        <w:textAlignment w:val="auto"/>
        <w:rPr>
          <w:color w:val="000000"/>
        </w:rPr>
      </w:pPr>
      <w:r>
        <w:rPr>
          <w:rFonts w:hint="eastAsia" w:ascii="仿宋_GB2312" w:hAnsi="仿宋_GB2312" w:eastAsia="仿宋_GB2312" w:cs="仿宋_GB2312"/>
          <w:color w:val="000000"/>
          <w:sz w:val="32"/>
          <w:szCs w:val="32"/>
        </w:rPr>
        <w:t>你公司应全面落实《</w:t>
      </w:r>
      <w:r>
        <w:rPr>
          <w:rFonts w:hint="eastAsia" w:ascii="仿宋_GB2312" w:hAnsi="仿宋_GB2312" w:eastAsia="仿宋_GB2312" w:cs="仿宋_GB2312"/>
          <w:bCs/>
          <w:color w:val="000000"/>
          <w:sz w:val="32"/>
          <w:szCs w:val="32"/>
        </w:rPr>
        <w:t>江西宜辉锂业有限公司年产16万吨含锂卤水建设项目（一期）环境影响报告书</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以下简称《报告书》）、《</w:t>
      </w:r>
      <w:r>
        <w:rPr>
          <w:rFonts w:hint="eastAsia" w:ascii="仿宋_GB2312" w:hAnsi="仿宋_GB2312" w:eastAsia="仿宋_GB2312" w:cs="仿宋_GB2312"/>
          <w:bCs/>
          <w:color w:val="000000"/>
          <w:sz w:val="32"/>
          <w:szCs w:val="32"/>
        </w:rPr>
        <w:t>江西宜辉锂业有限公司年产16万吨含锂卤水建设项目（一期）环境影响报告书</w:t>
      </w:r>
      <w:r>
        <w:rPr>
          <w:rFonts w:hint="eastAsia" w:ascii="仿宋_GB2312" w:eastAsia="仿宋_GB2312"/>
          <w:color w:val="000000"/>
          <w:sz w:val="32"/>
          <w:szCs w:val="32"/>
        </w:rPr>
        <w:t>评估意见》（以下简称《评估意见》）</w:t>
      </w:r>
      <w:r>
        <w:rPr>
          <w:rFonts w:hint="eastAsia" w:ascii="仿宋_GB2312" w:hAnsi="仿宋_GB2312" w:eastAsia="仿宋_GB2312" w:cs="仿宋_GB2312"/>
          <w:color w:val="000000"/>
          <w:sz w:val="32"/>
          <w:szCs w:val="32"/>
        </w:rPr>
        <w:t>提出的各项污染防治措施</w:t>
      </w:r>
      <w:r>
        <w:rPr>
          <w:rFonts w:hint="eastAsia" w:ascii="仿宋_GB2312" w:hAnsi="仿宋_GB2312" w:eastAsia="仿宋_GB2312" w:cs="仿宋_GB2312"/>
          <w:color w:val="000000"/>
          <w:sz w:val="32"/>
          <w:szCs w:val="32"/>
          <w:lang w:val="en-US" w:eastAsia="zh-CN"/>
        </w:rPr>
        <w:t>以及</w:t>
      </w:r>
      <w:r>
        <w:rPr>
          <w:rFonts w:hint="eastAsia" w:ascii="仿宋_GB2312" w:hAnsi="仿宋_GB2312" w:eastAsia="仿宋_GB2312" w:cs="仿宋_GB2312"/>
          <w:color w:val="000000"/>
          <w:sz w:val="32"/>
          <w:szCs w:val="32"/>
        </w:rPr>
        <w:t>环境风险防范措施</w:t>
      </w:r>
      <w:r>
        <w:rPr>
          <w:rFonts w:hint="eastAsia" w:ascii="仿宋_GB2312" w:hAnsi="仿宋_GB2312" w:eastAsia="仿宋_GB2312" w:cs="仿宋_GB2312"/>
          <w:color w:val="000000"/>
          <w:sz w:val="32"/>
          <w:szCs w:val="32"/>
          <w:lang w:val="en-US" w:eastAsia="zh-CN"/>
        </w:rPr>
        <w:t>和有关承诺要求</w:t>
      </w:r>
      <w:r>
        <w:rPr>
          <w:rFonts w:hint="eastAsia" w:ascii="仿宋_GB2312" w:hAnsi="仿宋_GB2312" w:eastAsia="仿宋_GB2312" w:cs="仿宋_GB2312"/>
          <w:color w:val="000000"/>
          <w:sz w:val="32"/>
          <w:szCs w:val="32"/>
        </w:rPr>
        <w:t>，缓解和控制不利环境影响。从环境保护角度我局原则同意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报告书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中所列工程性质、地点、规模、生产工艺和环境保护对策措施</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N/>
        <w:bidi w:val="0"/>
        <w:spacing w:line="500" w:lineRule="exact"/>
        <w:ind w:firstLine="640" w:firstLineChars="200"/>
        <w:textAlignment w:val="auto"/>
        <w:rPr>
          <w:rFonts w:hint="eastAsia" w:ascii="黑体" w:hAnsi="黑体" w:eastAsia="黑体" w:cs="仿宋_GB2312"/>
          <w:bCs/>
          <w:kern w:val="0"/>
          <w:sz w:val="32"/>
          <w:szCs w:val="32"/>
          <w:lang w:eastAsia="zh-CN"/>
        </w:rPr>
      </w:pPr>
      <w:r>
        <w:rPr>
          <w:rFonts w:hint="eastAsia" w:ascii="黑体" w:hAnsi="黑体" w:eastAsia="黑体" w:cs="仿宋_GB2312"/>
          <w:bCs/>
          <w:kern w:val="0"/>
          <w:sz w:val="32"/>
          <w:szCs w:val="32"/>
        </w:rPr>
        <w:t>二、</w:t>
      </w:r>
      <w:r>
        <w:rPr>
          <w:rFonts w:hint="eastAsia" w:ascii="黑体" w:hAnsi="黑体" w:eastAsia="黑体" w:cs="仿宋_GB2312"/>
          <w:bCs/>
          <w:kern w:val="0"/>
          <w:sz w:val="32"/>
          <w:szCs w:val="32"/>
          <w:lang w:eastAsia="zh-CN"/>
        </w:rPr>
        <w:t>污染防治措施及要求</w:t>
      </w:r>
    </w:p>
    <w:p>
      <w:pPr>
        <w:keepNext w:val="0"/>
        <w:keepLines w:val="0"/>
        <w:pageBreakBefore w:val="0"/>
        <w:widowControl w:val="0"/>
        <w:kinsoku/>
        <w:wordWrap/>
        <w:overflowPunct/>
        <w:topLinePunct w:val="0"/>
        <w:autoSpaceDE w:val="0"/>
        <w:autoSpaceDN/>
        <w:bidi w:val="0"/>
        <w:spacing w:line="5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报告书</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提出的各项环保要求</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严格执行市环委会办公室下发的《宜春市涉锂电主要行业生态环境监管标准（试行）》要求进行建设</w:t>
      </w:r>
      <w:r>
        <w:rPr>
          <w:rFonts w:hint="eastAsia" w:ascii="仿宋_GB2312" w:hAnsi="仿宋" w:eastAsia="仿宋_GB2312" w:cs="仿宋"/>
          <w:sz w:val="32"/>
          <w:szCs w:val="32"/>
        </w:rPr>
        <w:t>，重点做好以下几项工作：</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_GB2312" w:hAnsi="仿宋" w:eastAsia="仿宋_GB2312" w:cs="仿宋"/>
          <w:sz w:val="32"/>
          <w:szCs w:val="32"/>
          <w:lang w:val="en-US" w:eastAsia="zh-CN"/>
        </w:rPr>
      </w:pPr>
      <w:r>
        <w:rPr>
          <w:rFonts w:hint="eastAsia" w:ascii="楷体" w:hAnsi="楷体" w:eastAsia="楷体" w:cs="楷体"/>
          <w:color w:val="000000"/>
          <w:sz w:val="32"/>
          <w:szCs w:val="32"/>
          <w:lang w:val="en-US" w:eastAsia="zh-CN"/>
        </w:rPr>
        <w:t>（一）严格落实水污染防治措施。</w:t>
      </w:r>
      <w:r>
        <w:rPr>
          <w:rFonts w:hint="eastAsia" w:ascii="仿宋_GB2312" w:hAnsi="仿宋" w:eastAsia="仿宋_GB2312" w:cs="仿宋"/>
          <w:sz w:val="32"/>
          <w:szCs w:val="32"/>
          <w:lang w:val="en-US" w:eastAsia="zh-CN"/>
        </w:rPr>
        <w:t>按“清污分流、雨污分流、分质处理、一水多用”原则，合理制定废水收集、处理方案。</w:t>
      </w:r>
      <w:r>
        <w:rPr>
          <w:rFonts w:hint="eastAsia" w:ascii="仿宋_GB2312" w:hAnsi="仿宋_GB2312" w:eastAsia="仿宋_GB2312" w:cs="仿宋_GB2312"/>
          <w:bCs/>
          <w:color w:val="auto"/>
          <w:sz w:val="32"/>
          <w:szCs w:val="32"/>
        </w:rPr>
        <w:t>本项目废水主要为</w:t>
      </w:r>
      <w:r>
        <w:rPr>
          <w:rFonts w:hint="eastAsia" w:ascii="仿宋_GB2312" w:hAnsi="仿宋_GB2312" w:eastAsia="仿宋_GB2312" w:cs="仿宋_GB2312"/>
          <w:bCs/>
          <w:color w:val="auto"/>
          <w:sz w:val="32"/>
          <w:szCs w:val="32"/>
          <w:lang w:eastAsia="zh-CN"/>
        </w:rPr>
        <w:t>渗滤液、滤布清洗废水、车辆清洗废水</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i w:val="0"/>
          <w:color w:val="auto"/>
          <w:kern w:val="0"/>
          <w:sz w:val="32"/>
          <w:szCs w:val="32"/>
          <w:highlight w:val="none"/>
          <w:u w:val="none"/>
          <w:lang w:val="en-US" w:eastAsia="zh-CN" w:bidi="ar"/>
        </w:rPr>
        <w:t>浸出渣洗涤废水</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初期雨水</w:t>
      </w:r>
      <w:r>
        <w:rPr>
          <w:rFonts w:hint="eastAsia" w:ascii="仿宋_GB2312" w:hAnsi="仿宋_GB2312" w:eastAsia="仿宋_GB2312" w:cs="仿宋_GB2312"/>
          <w:bCs/>
          <w:color w:val="auto"/>
          <w:sz w:val="32"/>
          <w:szCs w:val="32"/>
          <w:lang w:eastAsia="zh-CN"/>
        </w:rPr>
        <w:t>、废气处理废水</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生活污水等</w:t>
      </w:r>
      <w:r>
        <w:rPr>
          <w:rFonts w:hint="eastAsia" w:ascii="仿宋_GB2312" w:hAnsi="仿宋_GB2312" w:eastAsia="仿宋_GB2312" w:cs="仿宋_GB2312"/>
          <w:color w:val="auto"/>
          <w:sz w:val="32"/>
          <w:szCs w:val="32"/>
        </w:rPr>
        <w:t>。</w:t>
      </w:r>
    </w:p>
    <w:p>
      <w:pPr>
        <w:pStyle w:val="5"/>
        <w:keepNext w:val="0"/>
        <w:keepLines w:val="0"/>
        <w:pageBreakBefore w:val="0"/>
        <w:tabs>
          <w:tab w:val="left" w:pos="3420"/>
        </w:tabs>
        <w:kinsoku/>
        <w:wordWrap/>
        <w:overflowPunct/>
        <w:topLinePunct w:val="0"/>
        <w:bidi w:val="0"/>
        <w:spacing w:line="540" w:lineRule="exact"/>
        <w:ind w:left="0"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highlight w:val="none"/>
          <w:lang w:val="en-US" w:eastAsia="zh-CN"/>
        </w:rPr>
        <w:t>尾渣堆场设置导流沟，渗滤液直接泵至产品卤水中；</w:t>
      </w:r>
      <w:r>
        <w:rPr>
          <w:rFonts w:hint="eastAsia" w:ascii="仿宋_GB2312" w:hAnsi="仿宋_GB2312" w:eastAsia="仿宋_GB2312" w:cs="仿宋_GB2312"/>
          <w:color w:val="auto"/>
          <w:sz w:val="32"/>
          <w:szCs w:val="32"/>
        </w:rPr>
        <w:t>滤布清洗废水</w:t>
      </w:r>
      <w:r>
        <w:rPr>
          <w:rFonts w:hint="eastAsia" w:ascii="仿宋_GB2312" w:hAnsi="仿宋_GB2312" w:eastAsia="仿宋_GB2312" w:cs="仿宋_GB2312"/>
          <w:color w:val="auto"/>
          <w:sz w:val="32"/>
          <w:szCs w:val="32"/>
          <w:lang w:eastAsia="zh-CN"/>
        </w:rPr>
        <w:t>直接回用于浸出工序；</w:t>
      </w:r>
      <w:r>
        <w:rPr>
          <w:rFonts w:hint="eastAsia" w:ascii="仿宋_GB2312" w:hAnsi="仿宋_GB2312" w:eastAsia="仿宋_GB2312" w:cs="仿宋_GB2312"/>
          <w:bCs/>
          <w:color w:val="auto"/>
          <w:sz w:val="32"/>
          <w:szCs w:val="32"/>
          <w:lang w:eastAsia="zh-CN"/>
        </w:rPr>
        <w:t>车辆清洗废水经沉淀池处理后回用于车辆清洗；浸出渣</w:t>
      </w:r>
      <w:r>
        <w:rPr>
          <w:rFonts w:hint="eastAsia" w:ascii="仿宋_GB2312" w:hAnsi="仿宋_GB2312" w:eastAsia="仿宋_GB2312" w:cs="仿宋_GB2312"/>
          <w:color w:val="auto"/>
          <w:sz w:val="32"/>
          <w:szCs w:val="32"/>
        </w:rPr>
        <w:t>洗涤废水直接回用于浸出工序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初期雨水</w:t>
      </w:r>
      <w:r>
        <w:rPr>
          <w:rFonts w:hint="eastAsia" w:ascii="仿宋_GB2312" w:hAnsi="仿宋_GB2312" w:eastAsia="仿宋_GB2312" w:cs="仿宋_GB2312"/>
          <w:color w:val="auto"/>
          <w:sz w:val="32"/>
          <w:szCs w:val="32"/>
          <w:highlight w:val="none"/>
          <w:lang w:eastAsia="zh-CN"/>
        </w:rPr>
        <w:t>收集后进入初期雨水收集池，再分批次进入</w:t>
      </w:r>
      <w:r>
        <w:rPr>
          <w:rFonts w:hint="eastAsia" w:ascii="仿宋_GB2312" w:hAnsi="仿宋_GB2312" w:eastAsia="仿宋_GB2312" w:cs="仿宋_GB2312"/>
          <w:color w:val="auto"/>
          <w:sz w:val="32"/>
          <w:szCs w:val="32"/>
          <w:highlight w:val="none"/>
        </w:rPr>
        <w:t>厂区污水处理</w:t>
      </w:r>
      <w:r>
        <w:rPr>
          <w:rFonts w:hint="eastAsia" w:ascii="仿宋_GB2312" w:hAnsi="仿宋_GB2312" w:eastAsia="仿宋_GB2312" w:cs="仿宋_GB2312"/>
          <w:color w:val="auto"/>
          <w:sz w:val="32"/>
          <w:szCs w:val="32"/>
          <w:highlight w:val="none"/>
          <w:lang w:eastAsia="zh-CN"/>
        </w:rPr>
        <w:t>站</w:t>
      </w:r>
      <w:r>
        <w:rPr>
          <w:rFonts w:hint="eastAsia" w:ascii="仿宋_GB2312" w:hAnsi="仿宋_GB2312" w:eastAsia="仿宋_GB2312" w:cs="仿宋_GB2312"/>
          <w:color w:val="auto"/>
          <w:sz w:val="32"/>
          <w:szCs w:val="32"/>
          <w:highlight w:val="none"/>
          <w:lang w:val="en-US" w:eastAsia="zh-CN"/>
        </w:rPr>
        <w:t>采用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调节PH+除铊+纳米制剂+絮凝沉淀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或其他更为成熟稳定工艺</w:t>
      </w:r>
      <w:r>
        <w:rPr>
          <w:rFonts w:hint="eastAsia" w:ascii="仿宋_GB2312" w:hAnsi="仿宋_GB2312" w:eastAsia="仿宋_GB2312" w:cs="仿宋_GB2312"/>
          <w:color w:val="auto"/>
          <w:sz w:val="32"/>
          <w:szCs w:val="32"/>
          <w:highlight w:val="none"/>
          <w:lang w:eastAsia="zh-CN"/>
        </w:rPr>
        <w:t>处理后回用于浸出工序；</w:t>
      </w:r>
      <w:r>
        <w:rPr>
          <w:rFonts w:hint="eastAsia" w:ascii="仿宋_GB2312" w:hAnsi="仿宋_GB2312" w:eastAsia="仿宋_GB2312" w:cs="仿宋_GB2312"/>
          <w:bCs/>
          <w:color w:val="auto"/>
          <w:sz w:val="32"/>
          <w:szCs w:val="32"/>
        </w:rPr>
        <w:t>废气处理废水</w:t>
      </w:r>
      <w:r>
        <w:rPr>
          <w:rFonts w:hint="eastAsia" w:ascii="仿宋_GB2312" w:hAnsi="仿宋_GB2312" w:eastAsia="仿宋_GB2312" w:cs="仿宋_GB2312"/>
          <w:bCs/>
          <w:color w:val="auto"/>
          <w:sz w:val="32"/>
          <w:szCs w:val="32"/>
          <w:lang w:eastAsia="zh-CN"/>
        </w:rPr>
        <w:t>收集后</w:t>
      </w:r>
      <w:r>
        <w:rPr>
          <w:rFonts w:hint="eastAsia" w:ascii="仿宋_GB2312" w:hAnsi="仿宋_GB2312" w:eastAsia="仿宋_GB2312" w:cs="仿宋_GB2312"/>
          <w:bCs/>
          <w:color w:val="auto"/>
          <w:sz w:val="32"/>
          <w:szCs w:val="32"/>
        </w:rPr>
        <w:t>经厂区污水处理</w:t>
      </w:r>
      <w:r>
        <w:rPr>
          <w:rFonts w:hint="eastAsia" w:ascii="仿宋_GB2312" w:hAnsi="仿宋_GB2312" w:eastAsia="仿宋_GB2312" w:cs="仿宋_GB2312"/>
          <w:bCs/>
          <w:color w:val="auto"/>
          <w:sz w:val="32"/>
          <w:szCs w:val="32"/>
          <w:lang w:eastAsia="zh-CN"/>
        </w:rPr>
        <w:t>站处理后70%回用至废气处理，30%</w:t>
      </w:r>
      <w:r>
        <w:rPr>
          <w:rFonts w:hint="eastAsia" w:ascii="仿宋_GB2312" w:hAnsi="仿宋_GB2312" w:eastAsia="仿宋_GB2312" w:cs="仿宋_GB2312"/>
          <w:bCs/>
          <w:color w:val="auto"/>
          <w:sz w:val="32"/>
          <w:szCs w:val="32"/>
          <w:lang w:val="en-US" w:eastAsia="zh-CN"/>
        </w:rPr>
        <w:t>外排</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生活污水经</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隔油池+化粪池</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处理</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bidi w:val="0"/>
        <w:adjustRightInd w:val="0"/>
        <w:snapToGrid w:val="0"/>
        <w:spacing w:line="54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kern w:val="2"/>
          <w:sz w:val="32"/>
          <w:szCs w:val="32"/>
          <w:lang w:eastAsia="zh-CN"/>
        </w:rPr>
        <w:t>以上废水经分别处理后，</w:t>
      </w:r>
      <w:r>
        <w:rPr>
          <w:rFonts w:hint="eastAsia" w:ascii="仿宋_GB2312" w:hAnsi="仿宋_GB2312" w:eastAsia="仿宋_GB2312" w:cs="仿宋_GB2312"/>
          <w:color w:val="auto"/>
          <w:kern w:val="2"/>
          <w:sz w:val="32"/>
          <w:szCs w:val="32"/>
        </w:rPr>
        <w:t>车间或生产设施废水排放口</w:t>
      </w:r>
      <w:r>
        <w:rPr>
          <w:rFonts w:hint="eastAsia" w:ascii="仿宋_GB2312" w:hAnsi="仿宋_GB2312" w:eastAsia="仿宋_GB2312" w:cs="仿宋_GB2312"/>
          <w:color w:val="auto"/>
          <w:kern w:val="2"/>
          <w:sz w:val="32"/>
          <w:szCs w:val="32"/>
          <w:lang w:eastAsia="zh-CN"/>
        </w:rPr>
        <w:t>及厂区污水总排口中</w:t>
      </w:r>
      <w:r>
        <w:rPr>
          <w:rFonts w:hint="eastAsia" w:ascii="仿宋_GB2312" w:hAnsi="仿宋_GB2312" w:eastAsia="仿宋_GB2312" w:cs="仿宋_GB2312"/>
          <w:bCs/>
          <w:snapToGrid w:val="0"/>
          <w:color w:val="auto"/>
          <w:sz w:val="32"/>
          <w:szCs w:val="32"/>
          <w:lang w:val="en-US" w:eastAsia="zh-CN"/>
        </w:rPr>
        <w:t>铊执行江西省地标《工业废水铊污染物排放标准》（DB36/1149-2019）中有关要求，</w:t>
      </w:r>
      <w:r>
        <w:rPr>
          <w:rFonts w:hint="eastAsia" w:ascii="仿宋_GB2312" w:hAnsi="仿宋_GB2312" w:eastAsia="仿宋_GB2312" w:cs="仿宋_GB2312"/>
          <w:color w:val="auto"/>
          <w:kern w:val="2"/>
          <w:sz w:val="32"/>
          <w:szCs w:val="32"/>
        </w:rPr>
        <w:t>车间或生产设施废水排放口</w:t>
      </w:r>
      <w:r>
        <w:rPr>
          <w:rFonts w:hint="eastAsia" w:ascii="仿宋_GB2312" w:hAnsi="仿宋_GB2312" w:eastAsia="仿宋_GB2312" w:cs="仿宋_GB2312"/>
          <w:color w:val="auto"/>
          <w:kern w:val="2"/>
          <w:sz w:val="32"/>
          <w:szCs w:val="32"/>
          <w:lang w:eastAsia="zh-CN"/>
        </w:rPr>
        <w:t>中砷、汞</w:t>
      </w:r>
      <w:r>
        <w:rPr>
          <w:rFonts w:hint="eastAsia" w:ascii="仿宋_GB2312" w:hAnsi="仿宋_GB2312" w:eastAsia="仿宋_GB2312" w:cs="仿宋_GB2312"/>
          <w:color w:val="auto"/>
          <w:kern w:val="2"/>
          <w:sz w:val="32"/>
          <w:szCs w:val="32"/>
          <w:lang w:val="en-US" w:eastAsia="zh-CN"/>
        </w:rPr>
        <w:t>执行</w:t>
      </w:r>
      <w:r>
        <w:rPr>
          <w:rFonts w:hint="eastAsia" w:ascii="仿宋_GB2312" w:hAnsi="仿宋_GB2312" w:eastAsia="仿宋_GB2312" w:cs="仿宋_GB2312"/>
          <w:bCs/>
          <w:color w:val="auto"/>
          <w:sz w:val="32"/>
          <w:szCs w:val="32"/>
        </w:rPr>
        <w:t>《无机化学工业污染物排放标准》（GB31573-2015）表1</w:t>
      </w:r>
      <w:r>
        <w:rPr>
          <w:rFonts w:hint="eastAsia" w:ascii="仿宋_GB2312" w:hAnsi="仿宋_GB2312" w:eastAsia="仿宋_GB2312" w:cs="仿宋_GB2312"/>
          <w:bCs/>
          <w:color w:val="auto"/>
          <w:sz w:val="32"/>
          <w:szCs w:val="32"/>
          <w:lang w:eastAsia="zh-CN"/>
        </w:rPr>
        <w:t>中</w:t>
      </w:r>
      <w:r>
        <w:rPr>
          <w:rFonts w:hint="eastAsia" w:ascii="仿宋_GB2312" w:hAnsi="仿宋_GB2312" w:eastAsia="仿宋_GB2312" w:cs="仿宋_GB2312"/>
          <w:color w:val="auto"/>
          <w:kern w:val="2"/>
          <w:sz w:val="32"/>
          <w:szCs w:val="32"/>
        </w:rPr>
        <w:t>车间或生产设施废水排放口</w:t>
      </w:r>
      <w:r>
        <w:rPr>
          <w:rFonts w:hint="eastAsia" w:ascii="仿宋_GB2312" w:hAnsi="仿宋_GB2312" w:eastAsia="仿宋_GB2312" w:cs="仿宋_GB2312"/>
          <w:color w:val="auto"/>
          <w:kern w:val="2"/>
          <w:sz w:val="32"/>
          <w:szCs w:val="32"/>
          <w:lang w:eastAsia="zh-CN"/>
        </w:rPr>
        <w:t>限值要求，</w:t>
      </w:r>
      <w:r>
        <w:rPr>
          <w:rFonts w:hint="eastAsia" w:ascii="仿宋_GB2312" w:hAnsi="仿宋_GB2312" w:eastAsia="仿宋_GB2312" w:cs="仿宋_GB2312"/>
          <w:bCs/>
          <w:color w:val="auto"/>
          <w:sz w:val="32"/>
          <w:szCs w:val="32"/>
          <w:lang w:eastAsia="zh-CN"/>
        </w:rPr>
        <w:t>其他</w:t>
      </w:r>
      <w:r>
        <w:rPr>
          <w:rFonts w:hint="eastAsia" w:ascii="仿宋_GB2312" w:hAnsi="仿宋_GB2312" w:eastAsia="仿宋_GB2312" w:cs="仿宋_GB2312"/>
          <w:bCs/>
          <w:color w:val="auto"/>
          <w:sz w:val="32"/>
          <w:szCs w:val="32"/>
        </w:rPr>
        <w:t>污染物</w:t>
      </w:r>
      <w:r>
        <w:rPr>
          <w:rFonts w:hint="eastAsia" w:ascii="仿宋_GB2312" w:hAnsi="仿宋_GB2312" w:eastAsia="仿宋_GB2312" w:cs="仿宋_GB2312"/>
          <w:bCs/>
          <w:color w:val="auto"/>
          <w:sz w:val="32"/>
          <w:szCs w:val="32"/>
          <w:lang w:val="en-US" w:eastAsia="zh-CN"/>
        </w:rPr>
        <w:t>执行</w:t>
      </w:r>
      <w:r>
        <w:rPr>
          <w:rFonts w:hint="eastAsia" w:ascii="仿宋_GB2312" w:hAnsi="仿宋_GB2312" w:eastAsia="仿宋_GB2312" w:cs="仿宋_GB2312"/>
          <w:bCs/>
          <w:color w:val="auto"/>
          <w:sz w:val="32"/>
          <w:szCs w:val="32"/>
        </w:rPr>
        <w:t>《无机化学工业污染物排放标准》（GB31573-2015）表1</w:t>
      </w:r>
      <w:r>
        <w:rPr>
          <w:rFonts w:hint="eastAsia" w:ascii="仿宋_GB2312" w:hAnsi="仿宋_GB2312" w:eastAsia="仿宋_GB2312" w:cs="仿宋_GB2312"/>
          <w:bCs/>
          <w:color w:val="auto"/>
          <w:sz w:val="32"/>
          <w:szCs w:val="32"/>
          <w:lang w:eastAsia="zh-CN"/>
        </w:rPr>
        <w:t>间</w:t>
      </w:r>
      <w:r>
        <w:rPr>
          <w:rFonts w:hint="eastAsia" w:ascii="仿宋_GB2312" w:hAnsi="仿宋_GB2312" w:eastAsia="仿宋_GB2312" w:cs="仿宋_GB2312"/>
          <w:bCs/>
          <w:color w:val="auto"/>
          <w:sz w:val="32"/>
          <w:szCs w:val="32"/>
        </w:rPr>
        <w:t>接排放标准限值</w:t>
      </w:r>
      <w:r>
        <w:rPr>
          <w:rFonts w:hint="eastAsia" w:ascii="仿宋_GB2312" w:hAnsi="仿宋_GB2312" w:eastAsia="仿宋_GB2312" w:cs="仿宋_GB2312"/>
          <w:bCs/>
          <w:color w:val="auto"/>
          <w:sz w:val="32"/>
          <w:szCs w:val="32"/>
          <w:lang w:eastAsia="zh-CN"/>
        </w:rPr>
        <w:t>及园区</w:t>
      </w:r>
      <w:r>
        <w:rPr>
          <w:rFonts w:hint="eastAsia" w:ascii="仿宋_GB2312" w:hAnsi="仿宋_GB2312" w:eastAsia="仿宋_GB2312" w:cs="仿宋_GB2312"/>
          <w:bCs/>
          <w:color w:val="auto"/>
          <w:sz w:val="32"/>
          <w:szCs w:val="32"/>
        </w:rPr>
        <w:t>污水处理厂接管标准</w:t>
      </w:r>
      <w:r>
        <w:rPr>
          <w:rFonts w:hint="eastAsia" w:ascii="仿宋_GB2312" w:hAnsi="仿宋_GB2312" w:eastAsia="仿宋_GB2312" w:cs="仿宋_GB2312"/>
          <w:bCs/>
          <w:color w:val="auto"/>
          <w:sz w:val="32"/>
          <w:szCs w:val="32"/>
          <w:lang w:eastAsia="zh-CN"/>
        </w:rPr>
        <w:t>中最严值后，再</w:t>
      </w:r>
      <w:r>
        <w:rPr>
          <w:rFonts w:hint="eastAsia" w:ascii="仿宋_GB2312" w:hAnsi="仿宋_GB2312" w:eastAsia="仿宋_GB2312" w:cs="仿宋_GB2312"/>
          <w:bCs/>
          <w:color w:val="auto"/>
          <w:sz w:val="32"/>
          <w:szCs w:val="32"/>
        </w:rPr>
        <w:t>经</w:t>
      </w:r>
      <w:r>
        <w:rPr>
          <w:rFonts w:hint="eastAsia" w:ascii="仿宋_GB2312" w:hAnsi="仿宋_GB2312" w:eastAsia="仿宋_GB2312" w:cs="仿宋_GB2312"/>
          <w:bCs/>
          <w:color w:val="auto"/>
          <w:sz w:val="32"/>
          <w:szCs w:val="32"/>
          <w:lang w:eastAsia="zh-CN"/>
        </w:rPr>
        <w:t>园区污水管网排入宜丰县工业园区</w:t>
      </w:r>
      <w:r>
        <w:rPr>
          <w:rFonts w:hint="eastAsia" w:ascii="仿宋_GB2312" w:hAnsi="仿宋_GB2312" w:eastAsia="仿宋_GB2312" w:cs="仿宋_GB2312"/>
          <w:bCs/>
          <w:color w:val="auto"/>
          <w:sz w:val="32"/>
          <w:szCs w:val="32"/>
        </w:rPr>
        <w:t>污水处理厂</w:t>
      </w:r>
      <w:r>
        <w:rPr>
          <w:rFonts w:hint="eastAsia" w:ascii="仿宋_GB2312" w:hAnsi="仿宋_GB2312" w:eastAsia="仿宋_GB2312" w:cs="仿宋_GB2312"/>
          <w:bCs/>
          <w:color w:val="auto"/>
          <w:sz w:val="32"/>
          <w:szCs w:val="32"/>
          <w:lang w:eastAsia="zh-CN"/>
        </w:rPr>
        <w:t>进一步处</w:t>
      </w:r>
      <w:r>
        <w:rPr>
          <w:rFonts w:hint="eastAsia" w:ascii="仿宋_GB2312" w:hAnsi="仿宋_GB2312" w:eastAsia="仿宋_GB2312" w:cs="仿宋_GB2312"/>
          <w:bCs/>
          <w:color w:val="auto"/>
          <w:sz w:val="32"/>
          <w:szCs w:val="32"/>
        </w:rPr>
        <w:t>理</w:t>
      </w:r>
      <w:r>
        <w:rPr>
          <w:rFonts w:hint="eastAsia" w:ascii="仿宋_GB2312" w:hAnsi="仿宋_GB2312" w:eastAsia="仿宋_GB2312" w:cs="仿宋_GB2312"/>
          <w:bCs/>
          <w:color w:val="auto"/>
          <w:sz w:val="32"/>
          <w:szCs w:val="32"/>
          <w:lang w:eastAsia="zh-CN"/>
        </w:rPr>
        <w:t>，园区</w:t>
      </w:r>
      <w:r>
        <w:rPr>
          <w:rFonts w:hint="eastAsia" w:ascii="仿宋_GB2312" w:hAnsi="仿宋_GB2312" w:eastAsia="仿宋_GB2312" w:cs="仿宋_GB2312"/>
          <w:bCs/>
          <w:color w:val="auto"/>
          <w:sz w:val="32"/>
          <w:szCs w:val="32"/>
        </w:rPr>
        <w:t>污水处理厂尾水排放</w:t>
      </w:r>
      <w:r>
        <w:rPr>
          <w:rFonts w:hint="eastAsia" w:ascii="仿宋_GB2312" w:hAnsi="仿宋_GB2312" w:eastAsia="仿宋_GB2312" w:cs="仿宋_GB2312"/>
          <w:bCs/>
          <w:color w:val="auto"/>
          <w:sz w:val="32"/>
          <w:szCs w:val="32"/>
          <w:lang w:val="en-US" w:eastAsia="zh-CN"/>
        </w:rPr>
        <w:t>执行</w:t>
      </w:r>
      <w:r>
        <w:rPr>
          <w:rFonts w:hint="eastAsia" w:ascii="仿宋_GB2312" w:hAnsi="仿宋_GB2312" w:eastAsia="仿宋_GB2312" w:cs="仿宋_GB2312"/>
          <w:bCs/>
          <w:color w:val="auto"/>
          <w:sz w:val="32"/>
          <w:szCs w:val="32"/>
        </w:rPr>
        <w:t>《城镇污水处理厂污染物排放标准》（GB18918—2002）中一级A标准</w:t>
      </w:r>
      <w:r>
        <w:rPr>
          <w:rFonts w:hint="eastAsia" w:ascii="仿宋_GB2312" w:hAnsi="仿宋_GB2312" w:eastAsia="仿宋_GB2312" w:cs="仿宋_GB2312"/>
          <w:bCs/>
          <w:color w:val="auto"/>
          <w:sz w:val="32"/>
          <w:szCs w:val="32"/>
          <w:lang w:eastAsia="zh-CN"/>
        </w:rPr>
        <w:t>后</w:t>
      </w:r>
      <w:r>
        <w:rPr>
          <w:rFonts w:hint="eastAsia" w:ascii="仿宋_GB2312" w:hAnsi="仿宋_GB2312" w:eastAsia="仿宋_GB2312" w:cs="仿宋_GB2312"/>
          <w:bCs/>
          <w:color w:val="auto"/>
          <w:sz w:val="32"/>
          <w:szCs w:val="32"/>
        </w:rPr>
        <w:t>排入</w:t>
      </w:r>
      <w:r>
        <w:rPr>
          <w:rFonts w:hint="eastAsia" w:ascii="仿宋_GB2312" w:hAnsi="仿宋_GB2312" w:eastAsia="仿宋_GB2312" w:cs="仿宋_GB2312"/>
          <w:bCs/>
          <w:color w:val="auto"/>
          <w:sz w:val="32"/>
          <w:szCs w:val="32"/>
          <w:lang w:eastAsia="zh-CN"/>
        </w:rPr>
        <w:t>锦江</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default"/>
          <w:lang w:val="en-US" w:eastAsia="zh-CN"/>
        </w:rPr>
      </w:pPr>
      <w:r>
        <w:rPr>
          <w:rFonts w:hint="eastAsia" w:ascii="仿宋_GB2312" w:hAnsi="仿宋_GB2312" w:eastAsia="仿宋_GB2312" w:cs="仿宋_GB2312"/>
          <w:bCs/>
          <w:color w:val="auto"/>
          <w:sz w:val="32"/>
          <w:szCs w:val="32"/>
          <w:lang w:val="en-US" w:eastAsia="zh-CN"/>
        </w:rPr>
        <w:t>本项目厂区排放口排放量：COD≤0.285t/a,氨氮≤0.034t/a，宜丰工业园污水处理厂排放量：COD≤0.119t/a,氨氮≤0.012t/a。</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楷体" w:hAnsi="楷体" w:eastAsia="楷体" w:cs="楷体"/>
          <w:color w:val="000000"/>
          <w:sz w:val="32"/>
          <w:szCs w:val="32"/>
          <w:lang w:val="en-US" w:eastAsia="zh-CN"/>
        </w:rPr>
        <w:t>严格落实大气污染防治措施。</w:t>
      </w:r>
      <w:r>
        <w:rPr>
          <w:rFonts w:ascii="Times New Roman" w:hAnsi="Times New Roman" w:eastAsia="仿宋_GB2312"/>
          <w:bCs/>
          <w:color w:val="auto"/>
          <w:sz w:val="32"/>
          <w:szCs w:val="32"/>
          <w:shd w:val="clear" w:color="auto" w:fill="auto"/>
        </w:rPr>
        <w:t>项目</w:t>
      </w:r>
      <w:r>
        <w:rPr>
          <w:rFonts w:hint="eastAsia" w:ascii="仿宋_GB2312" w:hAnsi="宋体" w:eastAsia="仿宋_GB2312" w:cs="Times New Roman"/>
          <w:color w:val="auto"/>
          <w:kern w:val="2"/>
          <w:sz w:val="32"/>
          <w:szCs w:val="24"/>
          <w:shd w:val="clear" w:color="auto" w:fill="auto"/>
          <w:lang w:val="en-US" w:eastAsia="zh-CN" w:bidi="ar-SA"/>
        </w:rPr>
        <w:t>废气主要为</w:t>
      </w:r>
      <w:r>
        <w:rPr>
          <w:rFonts w:hint="eastAsia" w:ascii="仿宋_GB2312" w:eastAsia="仿宋_GB2312"/>
          <w:color w:val="auto"/>
          <w:sz w:val="32"/>
          <w:szCs w:val="32"/>
          <w:lang w:eastAsia="zh-CN"/>
        </w:rPr>
        <w:t>焙烧废气、烘干废气、配料混料粉尘、压制成型废气、破碎磨粉粉尘、储料仓及中转仓废气、原辅料输送及装卸产生的粉尘</w:t>
      </w:r>
      <w:r>
        <w:rPr>
          <w:rFonts w:hint="default"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焙烧废气</w:t>
      </w:r>
      <w:r>
        <w:rPr>
          <w:rFonts w:hint="eastAsia" w:ascii="仿宋_GB2312" w:hAnsi="仿宋_GB2312" w:eastAsia="仿宋_GB2312" w:cs="仿宋_GB2312"/>
          <w:color w:val="auto"/>
          <w:sz w:val="32"/>
          <w:szCs w:val="32"/>
          <w:vertAlign w:val="baseline"/>
          <w:lang w:val="en-US" w:eastAsia="zh-CN"/>
        </w:rPr>
        <w:t>通过在辊道窑内高温段喷尿素进行“SNCR脱硝”处理后，</w:t>
      </w:r>
      <w:r>
        <w:rPr>
          <w:rFonts w:hint="eastAsia" w:ascii="仿宋_GB2312" w:hAnsi="仿宋_GB2312" w:eastAsia="仿宋_GB2312" w:cs="仿宋_GB2312"/>
          <w:color w:val="auto"/>
          <w:sz w:val="32"/>
          <w:szCs w:val="32"/>
          <w:lang w:eastAsia="zh-CN"/>
        </w:rPr>
        <w:t>一部分引至辊道窑的干燥段、一部分引至烘干机用于烘干锂云母原料，焙烧废气及烘干废气一起经“旋风除尘+布袋除尘+石灰石脱硫脱氟喷淋塔+动力波管束喷淋塔”</w:t>
      </w:r>
      <w:r>
        <w:rPr>
          <w:rFonts w:hint="eastAsia" w:ascii="仿宋_GB2312" w:hAnsi="仿宋_GB2312" w:eastAsia="仿宋_GB2312" w:cs="仿宋_GB2312"/>
          <w:color w:val="auto"/>
          <w:sz w:val="32"/>
          <w:szCs w:val="32"/>
          <w:lang w:val="en-US" w:eastAsia="zh-CN"/>
        </w:rPr>
        <w:t>或其他更为成熟稳定工艺</w:t>
      </w:r>
      <w:r>
        <w:rPr>
          <w:rFonts w:hint="eastAsia" w:ascii="仿宋_GB2312" w:hAnsi="仿宋_GB2312" w:eastAsia="仿宋_GB2312" w:cs="仿宋_GB2312"/>
          <w:color w:val="auto"/>
          <w:sz w:val="32"/>
          <w:szCs w:val="32"/>
          <w:lang w:eastAsia="zh-CN"/>
        </w:rPr>
        <w:t>处理；</w:t>
      </w:r>
      <w:r>
        <w:rPr>
          <w:rFonts w:hint="eastAsia" w:ascii="仿宋_GB2312" w:hAnsi="宋体" w:eastAsia="仿宋_GB2312"/>
          <w:color w:val="auto"/>
          <w:sz w:val="32"/>
          <w:szCs w:val="32"/>
          <w:lang w:eastAsia="zh-CN"/>
        </w:rPr>
        <w:t>废气经处理后</w:t>
      </w:r>
      <w:r>
        <w:rPr>
          <w:rFonts w:hint="eastAsia" w:ascii="仿宋_GB2312" w:hAnsi="仿宋_GB2312" w:eastAsia="仿宋_GB2312" w:cs="仿宋_GB2312"/>
          <w:color w:val="auto"/>
          <w:sz w:val="32"/>
          <w:szCs w:val="32"/>
          <w:lang w:eastAsia="zh-CN"/>
        </w:rPr>
        <w:t>颗粒物</w:t>
      </w:r>
      <w:r>
        <w:rPr>
          <w:rFonts w:hint="eastAsia" w:ascii="仿宋_GB2312" w:hAnsi="仿宋_GB2312" w:eastAsia="仿宋_GB2312" w:cs="仿宋_GB2312"/>
          <w:color w:val="auto"/>
          <w:sz w:val="32"/>
          <w:szCs w:val="32"/>
        </w:rPr>
        <w:t>、SO</w:t>
      </w:r>
      <w:r>
        <w:rPr>
          <w:rFonts w:hint="eastAsia" w:ascii="仿宋_GB2312" w:hAnsi="仿宋_GB2312" w:eastAsia="仿宋_GB2312" w:cs="仿宋_GB2312"/>
          <w:color w:val="auto"/>
          <w:sz w:val="32"/>
          <w:szCs w:val="32"/>
          <w:vertAlign w:val="subscript"/>
        </w:rPr>
        <w:t>2</w:t>
      </w:r>
      <w:r>
        <w:rPr>
          <w:rFonts w:hint="eastAsia" w:ascii="仿宋_GB2312" w:hAnsi="仿宋_GB2312" w:eastAsia="仿宋_GB2312" w:cs="仿宋_GB2312"/>
          <w:color w:val="auto"/>
          <w:sz w:val="32"/>
          <w:szCs w:val="32"/>
        </w:rPr>
        <w:t>、NO</w:t>
      </w:r>
      <w:r>
        <w:rPr>
          <w:rFonts w:hint="eastAsia" w:ascii="仿宋_GB2312" w:hAnsi="仿宋_GB2312" w:eastAsia="仿宋_GB2312" w:cs="仿宋_GB2312"/>
          <w:color w:val="auto"/>
          <w:sz w:val="32"/>
          <w:szCs w:val="32"/>
          <w:vertAlign w:val="subscript"/>
        </w:rPr>
        <w:t>X</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氟化物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砷及其化合物、汞及其化合物、</w:t>
      </w:r>
      <w:r>
        <w:rPr>
          <w:rFonts w:hint="eastAsia" w:ascii="仿宋_GB2312" w:hAnsi="仿宋_GB2312" w:eastAsia="仿宋_GB2312" w:cs="仿宋_GB2312"/>
          <w:color w:val="auto"/>
          <w:sz w:val="32"/>
          <w:szCs w:val="32"/>
        </w:rPr>
        <w:t>铊及其化合物</w:t>
      </w:r>
      <w:r>
        <w:rPr>
          <w:rFonts w:hint="eastAsia" w:ascii="仿宋_GB2312" w:hAnsi="仿宋_GB2312" w:eastAsia="仿宋_GB2312" w:cs="仿宋_GB2312"/>
          <w:color w:val="auto"/>
          <w:sz w:val="32"/>
          <w:szCs w:val="32"/>
          <w:lang w:eastAsia="zh-CN"/>
        </w:rPr>
        <w:t>等</w:t>
      </w:r>
      <w:r>
        <w:rPr>
          <w:rFonts w:hint="eastAsia" w:ascii="仿宋_GB2312" w:hAnsi="宋体" w:eastAsia="仿宋_GB2312"/>
          <w:color w:val="auto"/>
          <w:sz w:val="32"/>
          <w:szCs w:val="32"/>
          <w:lang w:val="en-US" w:eastAsia="zh-CN"/>
        </w:rPr>
        <w:t>执行</w:t>
      </w:r>
      <w:r>
        <w:rPr>
          <w:rFonts w:hint="eastAsia" w:ascii="仿宋_GB2312" w:eastAsia="仿宋_GB2312"/>
          <w:color w:val="auto"/>
          <w:sz w:val="32"/>
          <w:szCs w:val="32"/>
        </w:rPr>
        <w:t>《无机化学工业污染物排放标准》（</w:t>
      </w:r>
      <w:r>
        <w:rPr>
          <w:rFonts w:ascii="仿宋_GB2312" w:eastAsia="仿宋_GB2312"/>
          <w:color w:val="auto"/>
          <w:sz w:val="32"/>
          <w:szCs w:val="32"/>
        </w:rPr>
        <w:t>GB31573-2015</w:t>
      </w:r>
      <w:r>
        <w:rPr>
          <w:rFonts w:hint="eastAsia" w:ascii="仿宋_GB2312" w:eastAsia="仿宋_GB2312"/>
          <w:color w:val="auto"/>
          <w:sz w:val="32"/>
          <w:szCs w:val="32"/>
        </w:rPr>
        <w:t>）表3标准</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氨参照执行的《火电厂脱硝工程技术规范选择性非催化还原法》（HJ563-2010）要求</w:t>
      </w:r>
      <w:r>
        <w:rPr>
          <w:rFonts w:hint="eastAsia" w:ascii="仿宋_GB2312" w:hAnsi="仿宋_GB2312" w:eastAsia="仿宋_GB2312" w:cs="仿宋_GB2312"/>
          <w:color w:val="auto"/>
          <w:sz w:val="32"/>
          <w:szCs w:val="32"/>
          <w:lang w:eastAsia="zh-CN"/>
        </w:rPr>
        <w:t>。</w:t>
      </w:r>
      <w:r>
        <w:rPr>
          <w:rFonts w:hint="eastAsia" w:ascii="仿宋_GB2312" w:hAnsi="Times New Roman" w:eastAsia="仿宋_GB2312" w:cs="Times New Roman"/>
          <w:color w:val="auto"/>
          <w:sz w:val="32"/>
          <w:szCs w:val="32"/>
          <w:lang w:eastAsia="zh-CN"/>
        </w:rPr>
        <w:t>配料混料、</w:t>
      </w:r>
      <w:r>
        <w:rPr>
          <w:rFonts w:hint="eastAsia" w:ascii="仿宋_GB2312" w:hAnsi="Times New Roman" w:eastAsia="仿宋_GB2312" w:cs="Times New Roman"/>
          <w:color w:val="auto"/>
          <w:sz w:val="32"/>
          <w:szCs w:val="32"/>
          <w:lang w:val="en-US" w:eastAsia="zh-CN"/>
        </w:rPr>
        <w:t>破碎磨粉</w:t>
      </w:r>
      <w:r>
        <w:rPr>
          <w:rFonts w:hint="eastAsia" w:ascii="仿宋_GB2312" w:hAnsi="Times New Roman" w:eastAsia="仿宋_GB2312" w:cs="Times New Roman"/>
          <w:color w:val="auto"/>
          <w:sz w:val="32"/>
          <w:szCs w:val="32"/>
          <w:lang w:eastAsia="zh-CN"/>
        </w:rPr>
        <w:t>粉尘</w:t>
      </w:r>
      <w:r>
        <w:rPr>
          <w:rFonts w:hint="eastAsia" w:ascii="仿宋_GB2312" w:hAnsi="Times New Roman" w:eastAsia="仿宋_GB2312" w:cs="Times New Roman"/>
          <w:color w:val="auto"/>
          <w:sz w:val="32"/>
          <w:szCs w:val="32"/>
        </w:rPr>
        <w:t>主要污染物为颗粒物</w:t>
      </w:r>
      <w:r>
        <w:rPr>
          <w:rFonts w:hint="eastAsia" w:ascii="仿宋_GB2312" w:hAnsi="Times New Roman" w:eastAsia="仿宋_GB2312" w:cs="Times New Roman"/>
          <w:color w:val="auto"/>
          <w:sz w:val="32"/>
          <w:szCs w:val="32"/>
          <w:lang w:eastAsia="zh-CN"/>
        </w:rPr>
        <w:t>，在</w:t>
      </w:r>
      <w:r>
        <w:rPr>
          <w:rFonts w:hint="default" w:ascii="仿宋_GB2312" w:hAnsi="Times New Roman" w:eastAsia="仿宋_GB2312" w:cs="Times New Roman"/>
          <w:color w:val="auto"/>
          <w:sz w:val="32"/>
          <w:szCs w:val="32"/>
          <w:lang w:eastAsia="zh-CN"/>
        </w:rPr>
        <w:t>投料口、出料口采取设置集气罩收集，</w:t>
      </w:r>
      <w:r>
        <w:rPr>
          <w:rFonts w:hint="eastAsia" w:ascii="仿宋_GB2312" w:hAnsi="Times New Roman" w:eastAsia="仿宋_GB2312" w:cs="Times New Roman"/>
          <w:color w:val="auto"/>
          <w:sz w:val="32"/>
          <w:szCs w:val="32"/>
          <w:lang w:eastAsia="zh-CN"/>
        </w:rPr>
        <w:t>经</w:t>
      </w:r>
      <w:r>
        <w:rPr>
          <w:rFonts w:hint="default" w:ascii="仿宋_GB2312" w:hAnsi="Times New Roman" w:eastAsia="仿宋_GB2312" w:cs="Times New Roman"/>
          <w:color w:val="auto"/>
          <w:sz w:val="32"/>
          <w:szCs w:val="32"/>
        </w:rPr>
        <w:t>一套布袋除尘器处理</w:t>
      </w:r>
      <w:r>
        <w:rPr>
          <w:rFonts w:hint="eastAsia" w:ascii="仿宋_GB2312" w:hAnsi="Times New Roman" w:eastAsia="仿宋_GB2312" w:cs="Times New Roman"/>
          <w:color w:val="auto"/>
          <w:sz w:val="32"/>
          <w:szCs w:val="32"/>
          <w:lang w:eastAsia="zh-CN"/>
        </w:rPr>
        <w:t>，</w:t>
      </w:r>
      <w:r>
        <w:rPr>
          <w:rFonts w:hint="eastAsia" w:ascii="仿宋_GB2312" w:hAnsi="宋体" w:eastAsia="仿宋_GB2312"/>
          <w:color w:val="auto"/>
          <w:sz w:val="32"/>
          <w:szCs w:val="32"/>
          <w:lang w:eastAsia="zh-CN"/>
        </w:rPr>
        <w:t>废气经处理后</w:t>
      </w:r>
      <w:r>
        <w:rPr>
          <w:rFonts w:hint="eastAsia" w:ascii="仿宋_GB2312" w:hAnsi="Times New Roman" w:eastAsia="仿宋_GB2312" w:cs="Times New Roman"/>
          <w:color w:val="auto"/>
          <w:sz w:val="32"/>
          <w:szCs w:val="32"/>
        </w:rPr>
        <w:t>颗粒物</w:t>
      </w:r>
      <w:r>
        <w:rPr>
          <w:rFonts w:hint="eastAsia" w:ascii="仿宋_GB2312" w:hAnsi="Times New Roman" w:eastAsia="仿宋_GB2312" w:cs="Times New Roman"/>
          <w:color w:val="auto"/>
          <w:sz w:val="32"/>
          <w:szCs w:val="32"/>
          <w:lang w:val="en-US" w:eastAsia="zh-CN"/>
        </w:rPr>
        <w:t>执行</w:t>
      </w:r>
      <w:r>
        <w:rPr>
          <w:rFonts w:hint="eastAsia" w:ascii="仿宋_GB2312" w:eastAsia="仿宋_GB2312"/>
          <w:color w:val="auto"/>
          <w:sz w:val="32"/>
          <w:szCs w:val="32"/>
        </w:rPr>
        <w:t>《无机化学工业污染物排放标准》（</w:t>
      </w:r>
      <w:r>
        <w:rPr>
          <w:rFonts w:ascii="仿宋_GB2312" w:eastAsia="仿宋_GB2312"/>
          <w:color w:val="auto"/>
          <w:sz w:val="32"/>
          <w:szCs w:val="32"/>
        </w:rPr>
        <w:t>GB31573-2015</w:t>
      </w:r>
      <w:r>
        <w:rPr>
          <w:rFonts w:hint="eastAsia" w:ascii="仿宋_GB2312" w:eastAsia="仿宋_GB2312"/>
          <w:color w:val="auto"/>
          <w:sz w:val="32"/>
          <w:szCs w:val="32"/>
        </w:rPr>
        <w:t>）表3标准</w:t>
      </w:r>
      <w:r>
        <w:rPr>
          <w:rFonts w:hint="eastAsia" w:ascii="仿宋_GB2312" w:eastAsia="仿宋_GB2312"/>
          <w:color w:val="auto"/>
          <w:sz w:val="32"/>
          <w:szCs w:val="32"/>
          <w:lang w:eastAsia="zh-CN"/>
        </w:rPr>
        <w:t>。</w:t>
      </w:r>
    </w:p>
    <w:p>
      <w:pPr>
        <w:keepNext w:val="0"/>
        <w:keepLines w:val="0"/>
        <w:pageBreakBefore w:val="0"/>
        <w:kinsoku/>
        <w:wordWrap/>
        <w:overflowPunct/>
        <w:topLinePunct w:val="0"/>
        <w:bidi w:val="0"/>
        <w:spacing w:line="50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val="en-US" w:eastAsia="zh-CN"/>
        </w:rPr>
        <w:t>无组织废气包括</w:t>
      </w:r>
      <w:r>
        <w:rPr>
          <w:rFonts w:hint="eastAsia" w:ascii="仿宋_GB2312" w:hAnsi="Times New Roman" w:eastAsia="仿宋_GB2312" w:cs="Times New Roman"/>
          <w:color w:val="auto"/>
          <w:sz w:val="32"/>
          <w:szCs w:val="32"/>
        </w:rPr>
        <w:t>混料</w:t>
      </w:r>
      <w:r>
        <w:rPr>
          <w:rFonts w:hint="eastAsia" w:ascii="仿宋_GB2312" w:hAnsi="Times New Roman" w:eastAsia="仿宋_GB2312" w:cs="Times New Roman"/>
          <w:color w:val="auto"/>
          <w:sz w:val="32"/>
          <w:szCs w:val="32"/>
          <w:lang w:eastAsia="zh-CN"/>
        </w:rPr>
        <w:t>配料无组织废气、压制成型无组织废气、</w:t>
      </w:r>
      <w:r>
        <w:rPr>
          <w:rFonts w:hint="eastAsia" w:ascii="仿宋_GB2312" w:hAnsi="宋体" w:eastAsia="仿宋_GB2312" w:cs="Times New Roman"/>
          <w:color w:val="auto"/>
          <w:sz w:val="32"/>
          <w:szCs w:val="32"/>
          <w:lang w:eastAsia="zh-CN"/>
        </w:rPr>
        <w:t>破碎磨粉</w:t>
      </w:r>
      <w:r>
        <w:rPr>
          <w:rFonts w:hint="eastAsia" w:ascii="仿宋_GB2312" w:hAnsi="宋体" w:eastAsia="仿宋_GB2312"/>
          <w:bCs/>
          <w:color w:val="auto"/>
          <w:sz w:val="32"/>
          <w:szCs w:val="32"/>
          <w:lang w:val="en-GB"/>
        </w:rPr>
        <w:t>无组织废气</w:t>
      </w:r>
      <w:r>
        <w:rPr>
          <w:rFonts w:hint="eastAsia" w:ascii="仿宋_GB2312" w:hAnsi="宋体" w:eastAsia="仿宋_GB2312"/>
          <w:bCs/>
          <w:color w:val="auto"/>
          <w:sz w:val="32"/>
          <w:szCs w:val="32"/>
          <w:lang w:val="en-GB" w:eastAsia="zh-CN"/>
        </w:rPr>
        <w:t>、</w:t>
      </w:r>
      <w:r>
        <w:rPr>
          <w:rFonts w:hint="eastAsia" w:ascii="仿宋_GB2312" w:hAnsi="Times New Roman" w:eastAsia="仿宋_GB2312" w:cs="Times New Roman"/>
          <w:color w:val="auto"/>
          <w:sz w:val="32"/>
          <w:szCs w:val="32"/>
          <w:lang w:eastAsia="zh-CN"/>
        </w:rPr>
        <w:t>储料仓及中转仓废气、</w:t>
      </w:r>
      <w:r>
        <w:rPr>
          <w:rFonts w:hint="default" w:ascii="仿宋_GB2312" w:hAnsi="Times New Roman" w:eastAsia="仿宋_GB2312" w:cs="Times New Roman"/>
          <w:color w:val="auto"/>
          <w:sz w:val="32"/>
          <w:szCs w:val="32"/>
          <w:lang w:eastAsia="zh-CN"/>
        </w:rPr>
        <w:t>原辅料输送</w:t>
      </w:r>
      <w:r>
        <w:rPr>
          <w:rFonts w:hint="eastAsia" w:ascii="仿宋_GB2312" w:hAnsi="Times New Roman" w:eastAsia="仿宋_GB2312" w:cs="Times New Roman"/>
          <w:color w:val="auto"/>
          <w:sz w:val="32"/>
          <w:szCs w:val="32"/>
          <w:lang w:eastAsia="zh-CN"/>
        </w:rPr>
        <w:t>和</w:t>
      </w:r>
      <w:r>
        <w:rPr>
          <w:rFonts w:hint="default" w:ascii="仿宋_GB2312" w:hAnsi="Times New Roman" w:eastAsia="仿宋_GB2312" w:cs="Times New Roman"/>
          <w:color w:val="auto"/>
          <w:sz w:val="32"/>
          <w:szCs w:val="32"/>
          <w:lang w:eastAsia="zh-CN"/>
        </w:rPr>
        <w:t>装卸产生的粉尘</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bCs/>
          <w:color w:val="auto"/>
          <w:sz w:val="32"/>
          <w:szCs w:val="32"/>
          <w:lang w:val="en-GB"/>
        </w:rPr>
        <w:t>主要污染物为颗粒物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加强生产管理，规范操作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采用先进生产工艺</w:t>
      </w:r>
      <w:r>
        <w:rPr>
          <w:rFonts w:hint="eastAsia" w:ascii="仿宋_GB2312" w:hAnsi="仿宋_GB2312" w:eastAsia="仿宋_GB2312" w:cs="仿宋_GB2312"/>
          <w:color w:val="auto"/>
          <w:sz w:val="32"/>
          <w:szCs w:val="32"/>
          <w:lang w:val="en-US" w:eastAsia="zh-CN"/>
        </w:rPr>
        <w:t>和污染防治措施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尽可能</w:t>
      </w:r>
      <w:r>
        <w:rPr>
          <w:rFonts w:hint="eastAsia" w:ascii="仿宋_GB2312" w:hAnsi="仿宋_GB2312" w:eastAsia="仿宋_GB2312" w:cs="仿宋_GB2312"/>
          <w:bCs/>
          <w:color w:val="auto"/>
          <w:sz w:val="32"/>
          <w:szCs w:val="32"/>
        </w:rPr>
        <w:t>减少无组织废气排放。厂界颗粒物</w:t>
      </w:r>
      <w:r>
        <w:rPr>
          <w:rFonts w:hint="eastAsia" w:ascii="仿宋_GB2312" w:hAnsi="仿宋_GB2312" w:eastAsia="仿宋_GB2312" w:cs="仿宋_GB2312"/>
          <w:bCs/>
          <w:color w:val="auto"/>
          <w:sz w:val="32"/>
          <w:szCs w:val="32"/>
          <w:lang w:val="en-US" w:eastAsia="zh-CN"/>
        </w:rPr>
        <w:t>执行</w:t>
      </w:r>
      <w:r>
        <w:rPr>
          <w:rFonts w:hint="eastAsia" w:ascii="仿宋_GB2312" w:hAnsi="仿宋_GB2312" w:eastAsia="仿宋_GB2312" w:cs="仿宋_GB2312"/>
          <w:bCs/>
          <w:color w:val="auto"/>
          <w:sz w:val="32"/>
          <w:szCs w:val="32"/>
        </w:rPr>
        <w:t>《大气污染物综合排放标准》（GB16297-1996）无组织排放监控浓度要求</w:t>
      </w:r>
      <w:r>
        <w:rPr>
          <w:rFonts w:hint="eastAsia" w:ascii="仿宋_GB2312" w:hAnsi="仿宋_GB2312" w:eastAsia="仿宋_GB2312" w:cs="仿宋_GB2312"/>
          <w:bCs/>
          <w:color w:val="auto"/>
          <w:sz w:val="32"/>
          <w:szCs w:val="32"/>
          <w:lang w:eastAsia="zh-CN"/>
        </w:rPr>
        <w:t>。</w:t>
      </w:r>
    </w:p>
    <w:p>
      <w:pPr>
        <w:pStyle w:val="10"/>
        <w:rPr>
          <w:rFonts w:hint="eastAsia"/>
        </w:rPr>
      </w:pPr>
      <w:r>
        <w:rPr>
          <w:rFonts w:hint="eastAsia" w:ascii="仿宋_GB2312" w:hAnsi="仿宋_GB2312" w:eastAsia="仿宋_GB2312" w:cs="仿宋_GB2312"/>
          <w:bCs/>
          <w:color w:val="auto"/>
          <w:sz w:val="32"/>
          <w:szCs w:val="32"/>
          <w:lang w:val="en-US" w:eastAsia="zh-CN"/>
        </w:rPr>
        <w:t>本项目大气总量控制指标：NO</w:t>
      </w:r>
      <w:r>
        <w:rPr>
          <w:rFonts w:hint="eastAsia" w:ascii="仿宋_GB2312" w:hAnsi="仿宋_GB2312" w:eastAsia="仿宋_GB2312" w:cs="仿宋_GB2312"/>
          <w:bCs/>
          <w:color w:val="auto"/>
          <w:sz w:val="32"/>
          <w:szCs w:val="32"/>
          <w:vertAlign w:val="subscript"/>
          <w:lang w:val="en-US" w:eastAsia="zh-CN"/>
        </w:rPr>
        <w:t>x</w:t>
      </w:r>
      <w:r>
        <w:rPr>
          <w:rFonts w:hint="eastAsia" w:ascii="仿宋_GB2312" w:hAnsi="仿宋_GB2312" w:eastAsia="仿宋_GB2312" w:cs="仿宋_GB2312"/>
          <w:bCs/>
          <w:color w:val="auto"/>
          <w:sz w:val="32"/>
          <w:szCs w:val="32"/>
          <w:lang w:val="en-US" w:eastAsia="zh-CN"/>
        </w:rPr>
        <w:t>≤4.761t/a。</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楷体" w:hAnsi="楷体" w:eastAsia="楷体" w:cs="楷体"/>
          <w:color w:val="000000"/>
          <w:sz w:val="32"/>
          <w:szCs w:val="32"/>
          <w:lang w:val="en-US" w:eastAsia="zh-CN"/>
        </w:rPr>
        <w:t>（三）严格落实土壤和地下水污染防治措施。</w:t>
      </w:r>
      <w:r>
        <w:rPr>
          <w:rFonts w:hint="default" w:ascii="仿宋_GB2312" w:hAnsi="仿宋_GB2312" w:eastAsia="仿宋_GB2312" w:cs="仿宋_GB2312"/>
          <w:kern w:val="0"/>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pStyle w:val="13"/>
        <w:keepNext w:val="0"/>
        <w:keepLines w:val="0"/>
        <w:pageBreakBefore w:val="0"/>
        <w:widowControl w:val="0"/>
        <w:kinsoku/>
        <w:wordWrap/>
        <w:overflowPunct/>
        <w:topLinePunct w:val="0"/>
        <w:autoSpaceDN/>
        <w:bidi w:val="0"/>
        <w:spacing w:line="500" w:lineRule="exact"/>
        <w:ind w:firstLine="640" w:firstLineChars="200"/>
        <w:textAlignment w:val="auto"/>
        <w:rPr>
          <w:rFonts w:hint="eastAsia" w:ascii="仿宋_GB2312" w:hAnsi="仿宋" w:eastAsia="仿宋_GB2312" w:cs="Times New Roman"/>
          <w:color w:val="000000"/>
          <w:kern w:val="0"/>
          <w:sz w:val="32"/>
          <w:szCs w:val="32"/>
          <w:lang w:val="en-US" w:eastAsia="zh-CN" w:bidi="ar-SA"/>
        </w:rPr>
      </w:pPr>
      <w:r>
        <w:rPr>
          <w:rFonts w:hint="eastAsia" w:ascii="楷体" w:hAnsi="楷体" w:eastAsia="楷体" w:cs="楷体"/>
          <w:color w:val="000000"/>
          <w:kern w:val="2"/>
          <w:sz w:val="32"/>
          <w:szCs w:val="32"/>
          <w:lang w:val="en-US" w:eastAsia="zh-CN" w:bidi="ar-SA"/>
        </w:rPr>
        <w:t>（四）严格落实固体废物分类处置和综合利用措施</w:t>
      </w:r>
      <w:r>
        <w:rPr>
          <w:rFonts w:hint="eastAsia" w:ascii="仿宋_GB2312" w:hAnsi="仿宋" w:eastAsia="仿宋_GB2312" w:cs="Times New Roman"/>
          <w:color w:val="000000"/>
          <w:kern w:val="0"/>
          <w:sz w:val="32"/>
          <w:szCs w:val="32"/>
          <w:lang w:val="en-US" w:eastAsia="zh-CN" w:bidi="ar-SA"/>
        </w:rPr>
        <w:t>。应按“资源化、减量化、无害化”处置原则，认真落实固废分类收集、处置和综合利用措施。危险废物应及时委托有资质单位进行综合利用或处置，转移应办理相关环保手续。厂区内应设置足够容积的一般工业固体废物暂存库和危险废物暂存库。危险废物暂存库设计、建设和运行必须满足《危险废物贮存污染控制标准》（GB18597-2023）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val="0"/>
        <w:kinsoku/>
        <w:wordWrap/>
        <w:overflowPunct/>
        <w:topLinePunct w:val="0"/>
        <w:autoSpaceDE w:val="0"/>
        <w:autoSpaceDN/>
        <w:bidi w:val="0"/>
        <w:adjustRightInd w:val="0"/>
        <w:snapToGrid w:val="0"/>
        <w:spacing w:line="500" w:lineRule="exact"/>
        <w:ind w:firstLine="640" w:firstLineChars="200"/>
        <w:textAlignment w:val="auto"/>
        <w:rPr>
          <w:rFonts w:hint="eastAsia" w:ascii="仿宋_GB2312" w:hAnsi="仿宋" w:eastAsia="仿宋_GB2312" w:cs="仿宋"/>
          <w:b w:val="0"/>
          <w:color w:val="000000"/>
          <w:kern w:val="2"/>
          <w:sz w:val="32"/>
          <w:szCs w:val="32"/>
          <w:lang w:val="en-US" w:eastAsia="zh-CN" w:bidi="ar-SA"/>
        </w:rPr>
      </w:pPr>
      <w:r>
        <w:rPr>
          <w:rFonts w:hint="eastAsia" w:ascii="楷体" w:hAnsi="楷体" w:eastAsia="楷体" w:cs="楷体"/>
          <w:color w:val="000000"/>
          <w:sz w:val="32"/>
          <w:szCs w:val="32"/>
          <w:lang w:val="en-US" w:eastAsia="zh-CN"/>
        </w:rPr>
        <w:t>（五）严格落实噪声污染防治措施。</w:t>
      </w:r>
      <w:r>
        <w:rPr>
          <w:rFonts w:hint="eastAsia" w:ascii="仿宋_GB2312" w:hAnsi="仿宋_GB2312" w:eastAsia="仿宋_GB2312" w:cs="仿宋_GB2312"/>
          <w:sz w:val="32"/>
          <w:szCs w:val="32"/>
        </w:rPr>
        <w:t>应选用低噪声设备，采用减震、隔声、吸声、消声措施，同时加强设备的维护和管理，合理规划平面布置，加强厂区绿化，</w:t>
      </w:r>
      <w:r>
        <w:rPr>
          <w:rFonts w:hint="eastAsia" w:ascii="仿宋_GB2312" w:hAnsi="宋体" w:eastAsia="仿宋_GB2312"/>
          <w:color w:val="auto"/>
          <w:sz w:val="32"/>
          <w:szCs w:val="32"/>
          <w:lang w:eastAsia="zh-CN"/>
        </w:rPr>
        <w:t>东</w:t>
      </w:r>
      <w:r>
        <w:rPr>
          <w:rFonts w:hint="eastAsia" w:ascii="仿宋_GB2312" w:hAnsi="宋体" w:eastAsia="仿宋_GB2312"/>
          <w:color w:val="auto"/>
          <w:sz w:val="32"/>
          <w:szCs w:val="32"/>
        </w:rPr>
        <w:t>厂界噪声</w:t>
      </w:r>
      <w:r>
        <w:rPr>
          <w:rFonts w:hint="eastAsia" w:ascii="仿宋_GB2312" w:hAnsi="宋体" w:eastAsia="仿宋_GB2312"/>
          <w:color w:val="auto"/>
          <w:sz w:val="32"/>
          <w:szCs w:val="32"/>
          <w:lang w:eastAsia="zh-CN"/>
        </w:rPr>
        <w:t>执行</w:t>
      </w:r>
      <w:r>
        <w:rPr>
          <w:rFonts w:hint="eastAsia" w:ascii="仿宋_GB2312" w:hAnsi="宋体" w:eastAsia="仿宋_GB2312"/>
          <w:color w:val="auto"/>
          <w:sz w:val="32"/>
          <w:szCs w:val="32"/>
        </w:rPr>
        <w:t>《工业企业厂界环</w:t>
      </w:r>
      <w:r>
        <w:rPr>
          <w:rFonts w:hint="eastAsia" w:ascii="仿宋_GB2312" w:hAnsi="宋体" w:eastAsia="仿宋_GB2312" w:cs="宋体"/>
          <w:color w:val="auto"/>
          <w:kern w:val="0"/>
          <w:sz w:val="32"/>
          <w:szCs w:val="32"/>
        </w:rPr>
        <w:t>境噪声排放标准》（GB12348-2008）中</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类标准</w:t>
      </w:r>
      <w:r>
        <w:rPr>
          <w:rFonts w:hint="eastAsia" w:ascii="仿宋_GB2312" w:hAnsi="宋体" w:eastAsia="仿宋_GB2312" w:cs="宋体"/>
          <w:color w:val="auto"/>
          <w:kern w:val="0"/>
          <w:sz w:val="32"/>
          <w:szCs w:val="32"/>
          <w:lang w:eastAsia="zh-CN"/>
        </w:rPr>
        <w:t>，</w:t>
      </w:r>
      <w:r>
        <w:rPr>
          <w:rFonts w:hint="eastAsia" w:ascii="仿宋_GB2312" w:hAnsi="宋体" w:eastAsia="仿宋_GB2312"/>
          <w:color w:val="auto"/>
          <w:sz w:val="32"/>
          <w:szCs w:val="32"/>
          <w:lang w:eastAsia="zh-CN"/>
        </w:rPr>
        <w:t>其他</w:t>
      </w:r>
      <w:r>
        <w:rPr>
          <w:rFonts w:hint="eastAsia" w:ascii="仿宋_GB2312" w:hAnsi="宋体" w:eastAsia="仿宋_GB2312"/>
          <w:color w:val="auto"/>
          <w:sz w:val="32"/>
          <w:szCs w:val="32"/>
        </w:rPr>
        <w:t>厂界噪声</w:t>
      </w:r>
      <w:r>
        <w:rPr>
          <w:rFonts w:hint="eastAsia" w:ascii="仿宋_GB2312" w:hAnsi="宋体" w:eastAsia="仿宋_GB2312"/>
          <w:color w:val="auto"/>
          <w:sz w:val="32"/>
          <w:szCs w:val="32"/>
          <w:lang w:eastAsia="zh-CN"/>
        </w:rPr>
        <w:t>执行</w:t>
      </w:r>
      <w:r>
        <w:rPr>
          <w:rFonts w:hint="eastAsia" w:ascii="仿宋_GB2312" w:hAnsi="宋体" w:eastAsia="仿宋_GB2312"/>
          <w:color w:val="auto"/>
          <w:sz w:val="32"/>
          <w:szCs w:val="32"/>
        </w:rPr>
        <w:t>《工业企业厂界环</w:t>
      </w:r>
      <w:r>
        <w:rPr>
          <w:rFonts w:hint="eastAsia" w:ascii="仿宋_GB2312" w:hAnsi="宋体" w:eastAsia="仿宋_GB2312" w:cs="宋体"/>
          <w:color w:val="auto"/>
          <w:kern w:val="0"/>
          <w:sz w:val="32"/>
          <w:szCs w:val="32"/>
        </w:rPr>
        <w:t>境噪声排放标准》（GB12348-2008）中</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类标准。</w:t>
      </w:r>
    </w:p>
    <w:p>
      <w:pPr>
        <w:keepNext w:val="0"/>
        <w:keepLines w:val="0"/>
        <w:pageBreakBefore w:val="0"/>
        <w:widowControl w:val="0"/>
        <w:numPr>
          <w:ilvl w:val="0"/>
          <w:numId w:val="0"/>
        </w:numPr>
        <w:kinsoku/>
        <w:wordWrap/>
        <w:overflowPunct/>
        <w:topLinePunct w:val="0"/>
        <w:autoSpaceDE w:val="0"/>
        <w:autoSpaceDN/>
        <w:bidi w:val="0"/>
        <w:adjustRightInd/>
        <w:snapToGrid/>
        <w:spacing w:line="500" w:lineRule="exact"/>
        <w:ind w:firstLine="640" w:firstLineChars="200"/>
        <w:jc w:val="left"/>
        <w:textAlignment w:val="auto"/>
        <w:rPr>
          <w:rFonts w:ascii="仿宋_GB2312" w:hAnsi="仿宋" w:eastAsia="仿宋_GB2312" w:cs="仿宋"/>
          <w:sz w:val="32"/>
          <w:szCs w:val="32"/>
        </w:rPr>
      </w:pPr>
      <w:r>
        <w:rPr>
          <w:rFonts w:hint="eastAsia" w:ascii="楷体" w:hAnsi="楷体" w:eastAsia="楷体" w:cs="楷体"/>
          <w:color w:val="000000"/>
          <w:sz w:val="32"/>
          <w:szCs w:val="32"/>
          <w:lang w:val="en-US" w:eastAsia="zh-CN"/>
        </w:rPr>
        <w:t>（六）严格落实环境风险防范措施。</w:t>
      </w:r>
      <w:r>
        <w:rPr>
          <w:rFonts w:hint="eastAsia" w:ascii="仿宋_GB2312" w:hAnsi="仿宋_GB2312" w:eastAsia="仿宋_GB2312" w:cs="仿宋_GB2312"/>
          <w:color w:val="000000"/>
          <w:sz w:val="32"/>
          <w:szCs w:val="32"/>
          <w:lang w:eastAsia="zh-CN"/>
        </w:rPr>
        <w:t>严格落实《报告书》和《评估意见》提出的各项环境风险防控措施。按环评要求规范保障足够容积的事故应急</w:t>
      </w:r>
      <w:r>
        <w:rPr>
          <w:rFonts w:hint="eastAsia" w:ascii="仿宋_GB2312" w:hAnsi="仿宋_GB2312" w:eastAsia="仿宋_GB2312" w:cs="仿宋_GB2312"/>
          <w:color w:val="000000"/>
          <w:sz w:val="32"/>
          <w:szCs w:val="32"/>
          <w:lang w:val="en-US" w:eastAsia="zh-CN"/>
        </w:rPr>
        <w:t>池</w:t>
      </w:r>
      <w:r>
        <w:rPr>
          <w:rFonts w:hint="eastAsia" w:ascii="仿宋_GB2312" w:hAnsi="仿宋_GB2312" w:eastAsia="仿宋_GB2312" w:cs="仿宋_GB2312"/>
          <w:color w:val="000000"/>
          <w:sz w:val="32"/>
          <w:szCs w:val="32"/>
          <w:lang w:eastAsia="zh-CN"/>
        </w:rPr>
        <w:t>，事故</w:t>
      </w:r>
      <w:r>
        <w:rPr>
          <w:rFonts w:hint="eastAsia" w:ascii="仿宋_GB2312" w:hAnsi="仿宋_GB2312" w:eastAsia="仿宋_GB2312" w:cs="仿宋_GB2312"/>
          <w:color w:val="000000"/>
          <w:sz w:val="32"/>
          <w:szCs w:val="32"/>
          <w:lang w:val="en-US" w:eastAsia="zh-CN"/>
        </w:rPr>
        <w:t>应急池</w:t>
      </w:r>
      <w:r>
        <w:rPr>
          <w:rFonts w:hint="eastAsia" w:ascii="仿宋_GB2312" w:hAnsi="仿宋_GB2312" w:eastAsia="仿宋_GB2312" w:cs="仿宋_GB2312"/>
          <w:color w:val="000000"/>
          <w:sz w:val="32"/>
          <w:szCs w:val="32"/>
          <w:lang w:eastAsia="zh-CN"/>
        </w:rPr>
        <w:t>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当地生态环境部门备案）应与相邻企业、当地政府进行有效衔接，定期协同有关部门开展应急演练。</w:t>
      </w:r>
    </w:p>
    <w:p>
      <w:pPr>
        <w:keepNext w:val="0"/>
        <w:keepLines w:val="0"/>
        <w:pageBreakBefore w:val="0"/>
        <w:widowControl w:val="0"/>
        <w:kinsoku/>
        <w:wordWrap/>
        <w:overflowPunct/>
        <w:topLinePunct w:val="0"/>
        <w:autoSpaceDE w:val="0"/>
        <w:autoSpaceDN/>
        <w:bidi w:val="0"/>
        <w:spacing w:line="500" w:lineRule="exact"/>
        <w:ind w:firstLine="640" w:firstLineChars="200"/>
        <w:textAlignment w:val="auto"/>
        <w:rPr>
          <w:rFonts w:ascii="仿宋_GB2312" w:hAnsi="宋体" w:eastAsia="仿宋_GB2312" w:cs="宋体"/>
          <w:kern w:val="0"/>
          <w:sz w:val="32"/>
          <w:szCs w:val="32"/>
          <w:lang w:val="en-US" w:eastAsia="zh-CN" w:bidi="ar-SA"/>
        </w:rPr>
      </w:pPr>
      <w:r>
        <w:rPr>
          <w:rFonts w:hint="eastAsia" w:ascii="楷体" w:hAnsi="楷体" w:eastAsia="楷体" w:cs="楷体"/>
          <w:color w:val="000000"/>
          <w:sz w:val="32"/>
          <w:szCs w:val="32"/>
          <w:lang w:val="en-US" w:eastAsia="zh-CN"/>
        </w:rPr>
        <w:t>（七）落实规范排污口和环境监测要求。</w:t>
      </w:r>
      <w:r>
        <w:rPr>
          <w:rFonts w:hint="eastAsia" w:ascii="仿宋_GB2312" w:hAnsi="宋体" w:eastAsia="仿宋_GB2312" w:cs="宋体"/>
          <w:kern w:val="0"/>
          <w:sz w:val="32"/>
          <w:szCs w:val="32"/>
          <w:lang w:val="en-US" w:eastAsia="zh-CN" w:bidi="ar-SA"/>
        </w:rPr>
        <w:t>按国家和省、市排污口规范化要求设置各类排污口和标识并建档。你公司应按要求在厂区内安装废水、废气在线监控设施。</w:t>
      </w:r>
    </w:p>
    <w:p>
      <w:pPr>
        <w:keepNext w:val="0"/>
        <w:keepLines w:val="0"/>
        <w:pageBreakBefore w:val="0"/>
        <w:widowControl w:val="0"/>
        <w:kinsoku/>
        <w:wordWrap/>
        <w:overflowPunct/>
        <w:topLinePunct w:val="0"/>
        <w:autoSpaceDN/>
        <w:bidi w:val="0"/>
        <w:adjustRightInd w:val="0"/>
        <w:snapToGrid w:val="0"/>
        <w:spacing w:line="500" w:lineRule="exact"/>
        <w:ind w:firstLine="640" w:firstLineChars="200"/>
        <w:textAlignment w:val="auto"/>
        <w:rPr>
          <w:rFonts w:hint="eastAsia" w:ascii="Times New Roman" w:hAnsi="Times New Roman" w:eastAsia="仿宋_GB2312"/>
          <w:color w:val="auto"/>
          <w:sz w:val="32"/>
          <w:szCs w:val="32"/>
          <w:shd w:val="clear" w:color="auto" w:fill="auto"/>
          <w:lang w:eastAsia="zh-CN"/>
        </w:rPr>
      </w:pPr>
      <w:r>
        <w:rPr>
          <w:rFonts w:hint="eastAsia" w:ascii="楷体" w:hAnsi="楷体" w:eastAsia="楷体" w:cs="楷体"/>
          <w:color w:val="000000"/>
          <w:sz w:val="32"/>
          <w:szCs w:val="32"/>
          <w:lang w:val="en-US" w:eastAsia="zh-CN"/>
        </w:rPr>
        <w:t>（八）项目周围规划控制要求。</w:t>
      </w:r>
      <w:r>
        <w:rPr>
          <w:rFonts w:hint="eastAsia" w:ascii="仿宋_GB2312" w:hAnsi="宋体" w:eastAsia="仿宋_GB2312" w:cs="宋体"/>
          <w:kern w:val="0"/>
          <w:sz w:val="32"/>
          <w:szCs w:val="32"/>
          <w:lang w:val="en-US" w:eastAsia="zh-CN" w:bidi="ar-SA"/>
        </w:rPr>
        <w:t>根据《报告书》和《评估意见》结论</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auto"/>
          <w:sz w:val="32"/>
          <w:szCs w:val="32"/>
          <w:lang w:eastAsia="zh-CN"/>
        </w:rPr>
        <w:t>确定本项目的</w:t>
      </w:r>
      <w:r>
        <w:rPr>
          <w:rFonts w:hint="eastAsia" w:ascii="仿宋_GB2312" w:hAnsi="仿宋_GB2312" w:eastAsia="仿宋_GB2312" w:cs="仿宋_GB2312"/>
          <w:bCs/>
          <w:color w:val="auto"/>
          <w:sz w:val="32"/>
          <w:szCs w:val="32"/>
          <w:lang w:val="en-US" w:eastAsia="zh-CN"/>
        </w:rPr>
        <w:t>1号综合生产车间</w:t>
      </w:r>
      <w:r>
        <w:rPr>
          <w:rFonts w:hint="eastAsia" w:ascii="仿宋_GB2312" w:hAnsi="仿宋_GB2312" w:eastAsia="仿宋_GB2312" w:cs="仿宋_GB2312"/>
          <w:bCs/>
          <w:color w:val="auto"/>
          <w:sz w:val="32"/>
          <w:szCs w:val="32"/>
        </w:rPr>
        <w:t>设置</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0m的卫生防护距离。</w:t>
      </w:r>
      <w:r>
        <w:rPr>
          <w:rFonts w:ascii="Times New Roman" w:hAnsi="Times New Roman" w:eastAsia="仿宋_GB2312" w:cs="Times New Roman"/>
          <w:color w:val="auto"/>
          <w:sz w:val="32"/>
          <w:szCs w:val="32"/>
          <w:shd w:val="clear" w:color="auto" w:fill="auto"/>
        </w:rPr>
        <w:t>你公司应配合</w:t>
      </w:r>
      <w:r>
        <w:rPr>
          <w:rFonts w:ascii="Times New Roman" w:hAnsi="Times New Roman" w:eastAsia="仿宋_GB2312"/>
          <w:color w:val="auto"/>
          <w:sz w:val="32"/>
          <w:szCs w:val="32"/>
          <w:shd w:val="clear" w:color="auto" w:fill="auto"/>
        </w:rPr>
        <w:t>规划部门，严格控制好本项目周边规划，项目卫生防护距离范围内不得新建居民住宅、学校及医院等环境敏感建筑</w:t>
      </w:r>
      <w:r>
        <w:rPr>
          <w:rFonts w:hint="eastAsia" w:ascii="Times New Roman" w:hAnsi="Times New Roman" w:eastAsia="仿宋_GB2312"/>
          <w:color w:val="auto"/>
          <w:sz w:val="32"/>
          <w:szCs w:val="32"/>
          <w:shd w:val="clear" w:color="auto" w:fill="auto"/>
          <w:lang w:eastAsia="zh-CN"/>
        </w:rPr>
        <w:t>。</w:t>
      </w:r>
    </w:p>
    <w:p>
      <w:pPr>
        <w:keepNext w:val="0"/>
        <w:keepLines w:val="0"/>
        <w:pageBreakBefore w:val="0"/>
        <w:widowControl w:val="0"/>
        <w:kinsoku/>
        <w:wordWrap/>
        <w:overflowPunct/>
        <w:topLinePunct w:val="0"/>
        <w:autoSpaceDN/>
        <w:bidi w:val="0"/>
        <w:adjustRightInd w:val="0"/>
        <w:snapToGrid w:val="0"/>
        <w:spacing w:line="50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九</w:t>
      </w:r>
      <w:r>
        <w:rPr>
          <w:rFonts w:hint="eastAsia" w:ascii="楷体" w:hAnsi="楷体" w:eastAsia="楷体" w:cs="楷体"/>
          <w:color w:val="000000"/>
          <w:sz w:val="32"/>
          <w:szCs w:val="32"/>
          <w:lang w:eastAsia="zh-CN"/>
        </w:rPr>
        <w:t>）信息公开要求。</w:t>
      </w:r>
      <w:r>
        <w:rPr>
          <w:rFonts w:hint="eastAsia" w:ascii="仿宋_GB2312" w:hAnsi="仿宋" w:eastAsia="仿宋_GB2312" w:cs="仿宋"/>
          <w:sz w:val="32"/>
          <w:szCs w:val="32"/>
        </w:rPr>
        <w:t>你公司应依法实施信息公开，接</w:t>
      </w:r>
      <w:r>
        <w:rPr>
          <w:rFonts w:hint="eastAsia" w:ascii="仿宋_GB2312" w:hAnsi="仿宋" w:eastAsia="仿宋_GB2312" w:cs="仿宋"/>
          <w:sz w:val="32"/>
          <w:szCs w:val="32"/>
          <w:lang w:eastAsia="zh-CN"/>
        </w:rPr>
        <w:t>受</w:t>
      </w:r>
      <w:r>
        <w:rPr>
          <w:rFonts w:hint="eastAsia" w:ascii="仿宋_GB2312" w:hAnsi="仿宋" w:eastAsia="仿宋_GB2312" w:cs="仿宋"/>
          <w:sz w:val="32"/>
          <w:szCs w:val="32"/>
        </w:rPr>
        <w:t>社会监督。项目</w:t>
      </w:r>
      <w:r>
        <w:rPr>
          <w:rFonts w:hint="eastAsia" w:ascii="仿宋_GB2312" w:hAnsi="仿宋" w:eastAsia="仿宋_GB2312" w:cs="仿宋"/>
          <w:sz w:val="32"/>
          <w:szCs w:val="32"/>
          <w:lang w:eastAsia="zh-CN"/>
        </w:rPr>
        <w:t>投产后</w:t>
      </w:r>
      <w:r>
        <w:rPr>
          <w:rFonts w:hint="eastAsia" w:ascii="仿宋_GB2312" w:hAnsi="仿宋" w:eastAsia="仿宋_GB2312" w:cs="仿宋"/>
          <w:sz w:val="32"/>
          <w:szCs w:val="32"/>
        </w:rPr>
        <w:t>应定期公示企业环境报告，公布污染物排放和环境管理情况。</w:t>
      </w:r>
    </w:p>
    <w:p>
      <w:pPr>
        <w:keepNext w:val="0"/>
        <w:keepLines w:val="0"/>
        <w:pageBreakBefore w:val="0"/>
        <w:widowControl w:val="0"/>
        <w:kinsoku/>
        <w:wordWrap/>
        <w:overflowPunct/>
        <w:topLinePunct w:val="0"/>
        <w:autoSpaceDN/>
        <w:bidi w:val="0"/>
        <w:spacing w:line="50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三、项目运行和竣工验收的环保要求</w:t>
      </w:r>
    </w:p>
    <w:p>
      <w:pPr>
        <w:keepNext w:val="0"/>
        <w:keepLines w:val="0"/>
        <w:pageBreakBefore w:val="0"/>
        <w:widowControl w:val="0"/>
        <w:kinsoku/>
        <w:wordWrap/>
        <w:overflowPunct/>
        <w:topLinePunct w:val="0"/>
        <w:autoSpaceDE w:val="0"/>
        <w:autoSpaceDN/>
        <w:bidi w:val="0"/>
        <w:spacing w:line="5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spacing w:line="50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四、其他环保要求</w:t>
      </w:r>
    </w:p>
    <w:p>
      <w:pPr>
        <w:keepNext w:val="0"/>
        <w:keepLines w:val="0"/>
        <w:pageBreakBefore w:val="0"/>
        <w:widowControl w:val="0"/>
        <w:kinsoku/>
        <w:wordWrap/>
        <w:overflowPunct/>
        <w:topLinePunct w:val="0"/>
        <w:autoSpaceDE w:val="0"/>
        <w:autoSpaceDN/>
        <w:bidi w:val="0"/>
        <w:adjustRightInd w:val="0"/>
        <w:snapToGrid w:val="0"/>
        <w:spacing w:line="50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0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val="en-US" w:eastAsia="zh-CN"/>
        </w:rPr>
        <w:t>宜丰</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val="en-US" w:eastAsia="zh-CN"/>
        </w:rPr>
        <w:t>宜丰</w:t>
      </w:r>
      <w:r>
        <w:rPr>
          <w:rFonts w:hint="eastAsia" w:ascii="仿宋_GB2312" w:eastAsia="仿宋_GB2312"/>
          <w:color w:val="000000"/>
          <w:sz w:val="32"/>
          <w:szCs w:val="32"/>
        </w:rPr>
        <w:t>生态环境局并按规定接受各级生态环境主管部门的监督检查。</w:t>
      </w:r>
    </w:p>
    <w:p>
      <w:pPr>
        <w:pageBreakBefore w:val="0"/>
        <w:widowControl w:val="0"/>
        <w:kinsoku/>
        <w:wordWrap/>
        <w:overflowPunct/>
        <w:topLinePunct w:val="0"/>
        <w:autoSpaceDN/>
        <w:bidi w:val="0"/>
        <w:spacing w:line="520" w:lineRule="exact"/>
        <w:ind w:right="1077"/>
        <w:jc w:val="right"/>
        <w:textAlignment w:val="auto"/>
        <w:rPr>
          <w:rFonts w:hint="eastAsia" w:ascii="仿宋_GB2312" w:hAnsi="华文仿宋" w:eastAsia="仿宋_GB2312"/>
          <w:sz w:val="32"/>
          <w:szCs w:val="32"/>
        </w:rPr>
      </w:pPr>
    </w:p>
    <w:p>
      <w:pPr>
        <w:pageBreakBefore w:val="0"/>
        <w:widowControl w:val="0"/>
        <w:kinsoku/>
        <w:wordWrap/>
        <w:overflowPunct/>
        <w:topLinePunct w:val="0"/>
        <w:autoSpaceDN/>
        <w:bidi w:val="0"/>
        <w:spacing w:line="520" w:lineRule="exact"/>
        <w:ind w:right="1077"/>
        <w:jc w:val="both"/>
        <w:textAlignment w:val="auto"/>
        <w:rPr>
          <w:rFonts w:hint="eastAsia" w:ascii="仿宋_GB2312" w:hAnsi="华文仿宋" w:eastAsia="仿宋_GB2312"/>
          <w:sz w:val="32"/>
          <w:szCs w:val="32"/>
        </w:rPr>
      </w:pPr>
    </w:p>
    <w:p>
      <w:pPr>
        <w:pStyle w:val="2"/>
        <w:rPr>
          <w:rFonts w:hint="eastAsia"/>
        </w:rPr>
      </w:pPr>
    </w:p>
    <w:p>
      <w:pPr>
        <w:pageBreakBefore w:val="0"/>
        <w:widowControl w:val="0"/>
        <w:kinsoku/>
        <w:wordWrap/>
        <w:overflowPunct/>
        <w:topLinePunct w:val="0"/>
        <w:autoSpaceDN/>
        <w:bidi w:val="0"/>
        <w:spacing w:line="520" w:lineRule="exact"/>
        <w:ind w:right="1077"/>
        <w:jc w:val="right"/>
        <w:textAlignment w:val="auto"/>
        <w:rPr>
          <w:rFonts w:hint="eastAsia" w:ascii="仿宋_GB2312" w:hAnsi="华文仿宋" w:eastAsia="仿宋_GB2312"/>
          <w:sz w:val="32"/>
          <w:szCs w:val="32"/>
        </w:rPr>
      </w:pPr>
      <w:r>
        <w:rPr>
          <w:rFonts w:hint="eastAsia" w:ascii="仿宋_GB2312" w:hAnsi="华文仿宋" w:eastAsia="仿宋_GB2312"/>
          <w:sz w:val="32"/>
          <w:szCs w:val="32"/>
          <w:lang w:val="en-US" w:eastAsia="zh-CN"/>
        </w:rPr>
        <w:t xml:space="preserve">   </w:t>
      </w:r>
      <w:r>
        <w:rPr>
          <w:rFonts w:hint="eastAsia" w:ascii="仿宋_GB2312" w:hAnsi="华文仿宋" w:eastAsia="仿宋_GB2312"/>
          <w:sz w:val="32"/>
          <w:szCs w:val="32"/>
        </w:rPr>
        <w:t>宜春市生态环境局</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hAnsi="华文仿宋" w:eastAsia="仿宋_GB2312"/>
          <w:sz w:val="32"/>
          <w:szCs w:val="32"/>
        </w:rPr>
        <w:t>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年</w:t>
      </w:r>
      <w:r>
        <w:rPr>
          <w:rFonts w:hint="eastAsia" w:ascii="仿宋_GB2312" w:hAnsi="华文仿宋" w:eastAsia="仿宋_GB2312"/>
          <w:sz w:val="32"/>
          <w:szCs w:val="32"/>
          <w:lang w:val="en-US" w:eastAsia="zh-CN"/>
        </w:rPr>
        <w:t>7</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日</w:t>
      </w:r>
    </w:p>
    <w:p>
      <w:pPr>
        <w:pStyle w:val="19"/>
        <w:widowControl/>
        <w:spacing w:line="560" w:lineRule="exact"/>
        <w:ind w:right="840" w:rightChars="400"/>
        <w:rPr>
          <w:rFonts w:hint="eastAsia" w:ascii="仿宋_GB2312" w:hAnsi="仿宋" w:eastAsia="仿宋_GB2312"/>
          <w:sz w:val="32"/>
        </w:rPr>
      </w:pPr>
      <w:r>
        <w:rPr>
          <w:rFonts w:hint="eastAsia" w:ascii="仿宋_GB2312" w:hAnsi="仿宋" w:eastAsia="仿宋_GB2312"/>
          <w:sz w:val="32"/>
        </w:rPr>
        <w:t>（此件</w:t>
      </w:r>
      <w:r>
        <w:rPr>
          <w:rFonts w:hint="eastAsia" w:ascii="仿宋_GB2312" w:hAnsi="仿宋" w:eastAsia="仿宋_GB2312"/>
          <w:sz w:val="32"/>
          <w:lang w:eastAsia="zh-CN"/>
        </w:rPr>
        <w:t>主动</w:t>
      </w:r>
      <w:r>
        <w:rPr>
          <w:rFonts w:hint="eastAsia" w:ascii="仿宋_GB2312" w:hAnsi="仿宋" w:eastAsia="仿宋_GB2312"/>
          <w:sz w:val="32"/>
        </w:rPr>
        <w:t>公开）</w:t>
      </w:r>
    </w:p>
    <w:p>
      <w:pPr>
        <w:pStyle w:val="19"/>
        <w:widowControl/>
        <w:spacing w:line="560" w:lineRule="exact"/>
        <w:ind w:right="840" w:rightChars="400" w:firstLine="640" w:firstLineChars="200"/>
        <w:rPr>
          <w:rFonts w:hint="eastAsia" w:ascii="仿宋_GB2312" w:hAnsi="仿宋" w:eastAsia="仿宋_GB2312"/>
          <w:sz w:val="32"/>
        </w:rPr>
      </w:pPr>
    </w:p>
    <w:p>
      <w:pPr>
        <w:pStyle w:val="19"/>
        <w:widowControl/>
        <w:spacing w:line="560" w:lineRule="exact"/>
        <w:ind w:right="840" w:rightChars="400" w:firstLine="640" w:firstLineChars="200"/>
        <w:rPr>
          <w:rFonts w:hint="eastAsia" w:ascii="仿宋_GB2312" w:hAnsi="仿宋" w:eastAsia="仿宋_GB2312"/>
          <w:sz w:val="32"/>
        </w:rPr>
      </w:pPr>
    </w:p>
    <w:p>
      <w:pPr>
        <w:pStyle w:val="19"/>
        <w:widowControl/>
        <w:spacing w:line="560" w:lineRule="exact"/>
        <w:ind w:right="840" w:rightChars="400" w:firstLine="640" w:firstLineChars="200"/>
        <w:rPr>
          <w:rFonts w:hint="eastAsia" w:ascii="仿宋_GB2312" w:hAnsi="仿宋" w:eastAsia="仿宋_GB2312"/>
          <w:sz w:val="32"/>
        </w:rPr>
      </w:pPr>
    </w:p>
    <w:p>
      <w:pPr>
        <w:pStyle w:val="19"/>
        <w:widowControl/>
        <w:spacing w:line="560" w:lineRule="exact"/>
        <w:ind w:right="840" w:rightChars="400" w:firstLine="640" w:firstLineChars="200"/>
        <w:rPr>
          <w:rFonts w:hint="eastAsia" w:ascii="仿宋_GB2312" w:hAnsi="仿宋" w:eastAsia="仿宋_GB2312"/>
          <w:sz w:val="32"/>
        </w:rPr>
      </w:pPr>
    </w:p>
    <w:p>
      <w:pPr>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ind w:left="0" w:leftChars="0" w:firstLine="0" w:firstLineChars="0"/>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pStyle w:val="2"/>
        <w:rPr>
          <w:rFonts w:hint="eastAsia" w:ascii="仿宋_GB2312" w:hAnsi="仿宋" w:eastAsia="仿宋_GB2312" w:cs="仿宋"/>
          <w:color w:val="000000"/>
          <w:sz w:val="30"/>
          <w:szCs w:val="30"/>
          <w:u w:val="single"/>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hint="eastAsia"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val="en-US" w:eastAsia="zh-CN"/>
        </w:rPr>
        <w:t>宜丰县人民政府</w:t>
      </w:r>
      <w:r>
        <w:rPr>
          <w:rFonts w:hint="eastAsia" w:ascii="仿宋_GB2312" w:hAnsi="宋体" w:eastAsia="仿宋_GB2312"/>
          <w:sz w:val="28"/>
          <w:szCs w:val="28"/>
          <w:lang w:eastAsia="zh-CN"/>
        </w:rPr>
        <w:t>、</w:t>
      </w:r>
      <w:r>
        <w:rPr>
          <w:rFonts w:hint="eastAsia" w:ascii="仿宋_GB2312" w:hAnsi="华文仿宋" w:eastAsia="仿宋_GB2312"/>
          <w:spacing w:val="-6"/>
          <w:sz w:val="28"/>
          <w:szCs w:val="32"/>
        </w:rPr>
        <w:t>宜春市</w:t>
      </w:r>
      <w:r>
        <w:rPr>
          <w:rFonts w:hint="eastAsia" w:ascii="仿宋_GB2312" w:hAnsi="华文仿宋" w:eastAsia="仿宋_GB2312"/>
          <w:spacing w:val="-6"/>
          <w:sz w:val="28"/>
          <w:szCs w:val="32"/>
          <w:lang w:val="en-US" w:eastAsia="zh-CN"/>
        </w:rPr>
        <w:t>宜丰</w:t>
      </w:r>
      <w:r>
        <w:rPr>
          <w:rFonts w:hint="eastAsia" w:ascii="仿宋_GB2312" w:hAnsi="华文仿宋" w:eastAsia="仿宋_GB2312"/>
          <w:spacing w:val="-6"/>
          <w:sz w:val="28"/>
          <w:szCs w:val="32"/>
        </w:rPr>
        <w:t>生态</w:t>
      </w:r>
      <w:r>
        <w:rPr>
          <w:rFonts w:hint="eastAsia" w:ascii="仿宋_GB2312" w:eastAsia="仿宋_GB2312"/>
          <w:sz w:val="28"/>
          <w:szCs w:val="32"/>
        </w:rPr>
        <w:t>环境局，局相关科室，局直属相关单位</w:t>
      </w:r>
      <w:r>
        <w:rPr>
          <w:rFonts w:hint="eastAsia" w:ascii="仿宋_GB2312" w:hAnsi="华文仿宋" w:eastAsia="仿宋_GB2312" w:cs="Times New Roman"/>
          <w:spacing w:val="-6"/>
          <w:sz w:val="28"/>
          <w:szCs w:val="32"/>
        </w:rPr>
        <w:t>，</w:t>
      </w:r>
      <w:r>
        <w:rPr>
          <w:rFonts w:hint="eastAsia" w:ascii="仿宋_GB2312" w:hAnsi="华文仿宋" w:eastAsia="仿宋_GB2312" w:cs="Times New Roman"/>
          <w:spacing w:val="-6"/>
          <w:sz w:val="28"/>
          <w:szCs w:val="32"/>
          <w:lang w:val="en-US" w:eastAsia="zh-CN"/>
        </w:rPr>
        <w:t>江西盛嘉技术咨询有限公司</w:t>
      </w:r>
      <w:bookmarkStart w:id="1" w:name="_GoBack"/>
      <w:bookmarkEnd w:id="1"/>
      <w:r>
        <w:rPr>
          <w:rFonts w:hint="eastAsia" w:ascii="仿宋_GB2312" w:hAnsi="华文仿宋" w:eastAsia="仿宋_GB2312" w:cs="Times New Roman"/>
          <w:spacing w:val="-6"/>
          <w:sz w:val="28"/>
          <w:szCs w:val="32"/>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w:t>
      </w:r>
      <w:r>
        <w:rPr>
          <w:rFonts w:hint="eastAsia" w:ascii="仿宋_GB2312" w:hAnsi="宋体" w:eastAsia="仿宋_GB2312"/>
          <w:bCs/>
          <w:color w:val="000000" w:themeColor="text1"/>
          <w:sz w:val="28"/>
          <w:szCs w:val="32"/>
          <w:lang w:val="en-US" w:eastAsia="zh-CN"/>
          <w14:textFill>
            <w14:solidFill>
              <w14:schemeClr w14:val="tx1"/>
            </w14:solidFill>
          </w14:textFill>
        </w:rPr>
        <w:t>023年7月3日印发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3"/>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新宋体">
    <w:panose1 w:val="02010609030101010101"/>
    <w:charset w:val="86"/>
    <w:family w:val="modern"/>
    <w:pitch w:val="default"/>
    <w:sig w:usb0="00000003" w:usb1="080E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9"/>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1">
    <w:nsid w:val="60D7347C"/>
    <w:multiLevelType w:val="singleLevel"/>
    <w:tmpl w:val="60D7347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OTYyOTY3ODQ2ODQ2NzUyOWYyZTIxZjA4ZDI2OGE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27C1C"/>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5A5F1B"/>
    <w:rsid w:val="1289397E"/>
    <w:rsid w:val="12AF571D"/>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80A08"/>
    <w:rsid w:val="156C2C6F"/>
    <w:rsid w:val="156F6C53"/>
    <w:rsid w:val="15736790"/>
    <w:rsid w:val="15C36061"/>
    <w:rsid w:val="15CA7971"/>
    <w:rsid w:val="15E026AC"/>
    <w:rsid w:val="15F6C230"/>
    <w:rsid w:val="15F8C384"/>
    <w:rsid w:val="169D6C0C"/>
    <w:rsid w:val="16A060B1"/>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7435FE"/>
    <w:rsid w:val="1B850928"/>
    <w:rsid w:val="1BA209B9"/>
    <w:rsid w:val="1BB147EF"/>
    <w:rsid w:val="1BB7CF60"/>
    <w:rsid w:val="1BBD4F55"/>
    <w:rsid w:val="1BD72B89"/>
    <w:rsid w:val="1BF569A8"/>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DF722E9"/>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9F32DA"/>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655F40"/>
    <w:rsid w:val="2C7F5562"/>
    <w:rsid w:val="2C9674ED"/>
    <w:rsid w:val="2CA752A7"/>
    <w:rsid w:val="2CC11962"/>
    <w:rsid w:val="2D1BB423"/>
    <w:rsid w:val="2D7F519A"/>
    <w:rsid w:val="2D95747A"/>
    <w:rsid w:val="2DA92295"/>
    <w:rsid w:val="2DC72E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CF901D"/>
    <w:rsid w:val="33DC2DCC"/>
    <w:rsid w:val="33E540A5"/>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EFB0B2"/>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090F6A"/>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09D9"/>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C57C74"/>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8D9691E"/>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BFD9DF"/>
    <w:rsid w:val="4BC1009B"/>
    <w:rsid w:val="4BC6194C"/>
    <w:rsid w:val="4BDEA82A"/>
    <w:rsid w:val="4BEB532E"/>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A91C91"/>
    <w:rsid w:val="4DB9F78C"/>
    <w:rsid w:val="4DCA17BE"/>
    <w:rsid w:val="4DE52F92"/>
    <w:rsid w:val="4DE777E6"/>
    <w:rsid w:val="4DED67BF"/>
    <w:rsid w:val="4E6DB298"/>
    <w:rsid w:val="4E7816D4"/>
    <w:rsid w:val="4E9E2993"/>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C111171"/>
    <w:rsid w:val="5C4B152E"/>
    <w:rsid w:val="5C6526D3"/>
    <w:rsid w:val="5C676E46"/>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7FCB74"/>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27751"/>
    <w:rsid w:val="613A0DE9"/>
    <w:rsid w:val="61417994"/>
    <w:rsid w:val="61557A49"/>
    <w:rsid w:val="6159583F"/>
    <w:rsid w:val="61810FC4"/>
    <w:rsid w:val="619341DA"/>
    <w:rsid w:val="61CB14FE"/>
    <w:rsid w:val="620C1111"/>
    <w:rsid w:val="62297121"/>
    <w:rsid w:val="622D0298"/>
    <w:rsid w:val="624E26A5"/>
    <w:rsid w:val="627259F3"/>
    <w:rsid w:val="62742135"/>
    <w:rsid w:val="628B5661"/>
    <w:rsid w:val="629B6D4B"/>
    <w:rsid w:val="62B76960"/>
    <w:rsid w:val="62E654A9"/>
    <w:rsid w:val="631B7965"/>
    <w:rsid w:val="633E09DF"/>
    <w:rsid w:val="63441EDC"/>
    <w:rsid w:val="634B7CDF"/>
    <w:rsid w:val="637B471D"/>
    <w:rsid w:val="63904125"/>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607C3E"/>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FD3A2"/>
    <w:rsid w:val="7E02029D"/>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8509E"/>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DA9F"/>
    <w:rsid w:val="7FFFEDA8"/>
    <w:rsid w:val="7FFFFFF5"/>
    <w:rsid w:val="80FFD23B"/>
    <w:rsid w:val="87647AF8"/>
    <w:rsid w:val="87FBEAE8"/>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743D77"/>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9FB11C"/>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AC06F5"/>
    <w:rsid w:val="DEAF3FB5"/>
    <w:rsid w:val="DEBE04B8"/>
    <w:rsid w:val="DEBFF87C"/>
    <w:rsid w:val="DECD45E5"/>
    <w:rsid w:val="DED7F2B4"/>
    <w:rsid w:val="DEDFDF58"/>
    <w:rsid w:val="DEE54E08"/>
    <w:rsid w:val="DEE670BC"/>
    <w:rsid w:val="DEFDB41D"/>
    <w:rsid w:val="DF37A205"/>
    <w:rsid w:val="DF3F1911"/>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74A128"/>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3F20A1"/>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BF2197"/>
    <w:rsid w:val="F5D6D416"/>
    <w:rsid w:val="F5EF5BA1"/>
    <w:rsid w:val="F5FFA048"/>
    <w:rsid w:val="F66E6811"/>
    <w:rsid w:val="F6F676D6"/>
    <w:rsid w:val="F6F715DC"/>
    <w:rsid w:val="F6FC548F"/>
    <w:rsid w:val="F6FF0645"/>
    <w:rsid w:val="F6FFF807"/>
    <w:rsid w:val="F70F4387"/>
    <w:rsid w:val="F737D671"/>
    <w:rsid w:val="F74CB9BB"/>
    <w:rsid w:val="F75DEE87"/>
    <w:rsid w:val="F76FC34E"/>
    <w:rsid w:val="F77EAFBC"/>
    <w:rsid w:val="F79BF327"/>
    <w:rsid w:val="F7B72CE9"/>
    <w:rsid w:val="F7BB0BC8"/>
    <w:rsid w:val="F7BB5C28"/>
    <w:rsid w:val="F7BB7DA5"/>
    <w:rsid w:val="F7BF4B69"/>
    <w:rsid w:val="F7BFDD02"/>
    <w:rsid w:val="F7C640FC"/>
    <w:rsid w:val="F7CB3D4A"/>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7">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8">
    <w:name w:val="heading 3"/>
    <w:basedOn w:val="1"/>
    <w:next w:val="1"/>
    <w:qFormat/>
    <w:uiPriority w:val="9"/>
    <w:pPr>
      <w:keepNext/>
      <w:keepLines/>
      <w:spacing w:before="260" w:after="260" w:line="416" w:lineRule="auto"/>
      <w:outlineLvl w:val="2"/>
    </w:pPr>
    <w:rPr>
      <w:bCs/>
      <w:szCs w:val="32"/>
    </w:rPr>
  </w:style>
  <w:style w:type="paragraph" w:styleId="9">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ascii="仿宋_GB2312" w:eastAsia="仿宋_GB2312" w:cs="仿宋_GB2312"/>
      <w:sz w:val="24"/>
    </w:rPr>
  </w:style>
  <w:style w:type="paragraph" w:customStyle="1" w:styleId="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styleId="4">
    <w:name w:val="Body Text First Indent 2"/>
    <w:basedOn w:val="5"/>
    <w:next w:val="1"/>
    <w:unhideWhenUsed/>
    <w:qFormat/>
    <w:uiPriority w:val="0"/>
    <w:pPr>
      <w:spacing w:after="120" w:line="240" w:lineRule="auto"/>
      <w:ind w:left="420" w:leftChars="200" w:firstLine="420"/>
    </w:pPr>
  </w:style>
  <w:style w:type="paragraph" w:styleId="5">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10">
    <w:name w:val="Normal Indent"/>
    <w:basedOn w:val="1"/>
    <w:unhideWhenUsed/>
    <w:qFormat/>
    <w:uiPriority w:val="0"/>
    <w:pPr>
      <w:ind w:firstLine="420" w:firstLineChars="200"/>
    </w:pPr>
    <w:rPr>
      <w:kern w:val="0"/>
      <w:sz w:val="20"/>
    </w:rPr>
  </w:style>
  <w:style w:type="paragraph" w:styleId="11">
    <w:name w:val="annotation text"/>
    <w:basedOn w:val="1"/>
    <w:link w:val="31"/>
    <w:qFormat/>
    <w:uiPriority w:val="0"/>
    <w:pPr>
      <w:jc w:val="left"/>
    </w:pPr>
  </w:style>
  <w:style w:type="paragraph" w:styleId="12">
    <w:name w:val="Body Text"/>
    <w:basedOn w:val="1"/>
    <w:next w:val="1"/>
    <w:qFormat/>
    <w:uiPriority w:val="0"/>
    <w:pPr>
      <w:spacing w:after="120"/>
    </w:pPr>
  </w:style>
  <w:style w:type="paragraph" w:styleId="13">
    <w:name w:val="Plain Text"/>
    <w:basedOn w:val="1"/>
    <w:unhideWhenUsed/>
    <w:qFormat/>
    <w:uiPriority w:val="99"/>
    <w:rPr>
      <w:rFonts w:ascii="宋体" w:hAnsi="Courier New" w:cs="Courier New"/>
    </w:rPr>
  </w:style>
  <w:style w:type="paragraph" w:styleId="14">
    <w:name w:val="Body Text Indent 2"/>
    <w:basedOn w:val="1"/>
    <w:next w:val="4"/>
    <w:qFormat/>
    <w:uiPriority w:val="0"/>
    <w:pPr>
      <w:spacing w:line="460" w:lineRule="exact"/>
      <w:ind w:firstLine="600" w:firstLineChars="200"/>
    </w:pPr>
    <w:rPr>
      <w:rFonts w:ascii="仿宋_GB2312" w:hAnsi="宋体" w:eastAsia="仿宋_GB2312"/>
      <w:sz w:val="30"/>
      <w:szCs w:val="28"/>
    </w:rPr>
  </w:style>
  <w:style w:type="paragraph" w:styleId="15">
    <w:name w:val="Balloon Text"/>
    <w:basedOn w:val="1"/>
    <w:link w:val="3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qFormat/>
    <w:uiPriority w:val="0"/>
    <w:pPr>
      <w:jc w:val="left"/>
    </w:pPr>
    <w:rPr>
      <w:rFonts w:cs="Times New Roman"/>
      <w:kern w:val="0"/>
      <w:sz w:val="24"/>
    </w:rPr>
  </w:style>
  <w:style w:type="paragraph" w:styleId="20">
    <w:name w:val="annotation subject"/>
    <w:basedOn w:val="11"/>
    <w:next w:val="11"/>
    <w:link w:val="32"/>
    <w:qFormat/>
    <w:uiPriority w:val="0"/>
    <w:rPr>
      <w:b/>
      <w:bCs/>
    </w:rPr>
  </w:style>
  <w:style w:type="paragraph" w:styleId="21">
    <w:name w:val="Body Text First Indent"/>
    <w:basedOn w:val="12"/>
    <w:next w:val="1"/>
    <w:unhideWhenUsed/>
    <w:qFormat/>
    <w:uiPriority w:val="99"/>
    <w:pPr>
      <w:spacing w:after="120"/>
      <w:ind w:firstLine="420" w:firstLineChars="100"/>
    </w:pPr>
    <w:rPr>
      <w:rFonts w:ascii="Calibri" w:hAnsi="Calibri" w:eastAsia="宋体" w:cs="Times New Roman"/>
      <w:szCs w:val="22"/>
    </w:rPr>
  </w:style>
  <w:style w:type="character" w:styleId="24">
    <w:name w:val="annotation reference"/>
    <w:basedOn w:val="23"/>
    <w:qFormat/>
    <w:uiPriority w:val="0"/>
    <w:rPr>
      <w:sz w:val="21"/>
      <w:szCs w:val="21"/>
    </w:rPr>
  </w:style>
  <w:style w:type="paragraph" w:customStyle="1" w:styleId="25">
    <w:name w:val="纯文本1"/>
    <w:basedOn w:val="1"/>
    <w:qFormat/>
    <w:uiPriority w:val="0"/>
    <w:pPr>
      <w:autoSpaceDE w:val="0"/>
      <w:autoSpaceDN w:val="0"/>
      <w:adjustRightInd w:val="0"/>
      <w:snapToGrid w:val="0"/>
      <w:ind w:firstLine="476"/>
      <w:textAlignment w:val="baseline"/>
    </w:pPr>
    <w:rPr>
      <w:rFonts w:ascii="Courier New" w:hAnsi="Courier New"/>
      <w:snapToGrid w:val="0"/>
      <w:spacing w:val="4"/>
      <w:sz w:val="15"/>
      <w:szCs w:val="24"/>
    </w:rPr>
  </w:style>
  <w:style w:type="paragraph" w:customStyle="1" w:styleId="26">
    <w:name w:val="xl27"/>
    <w:basedOn w:val="1"/>
    <w:next w:val="27"/>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7">
    <w:name w:val="A正文"/>
    <w:basedOn w:val="1"/>
    <w:qFormat/>
    <w:uiPriority w:val="0"/>
    <w:pPr>
      <w:widowControl/>
      <w:overflowPunct w:val="0"/>
      <w:autoSpaceDE w:val="0"/>
      <w:autoSpaceDN w:val="0"/>
      <w:jc w:val="left"/>
      <w:textAlignment w:val="baseline"/>
    </w:pPr>
  </w:style>
  <w:style w:type="paragraph" w:customStyle="1" w:styleId="28">
    <w:name w:val="Default1"/>
    <w:basedOn w:val="29"/>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9">
    <w:name w:val="常用正文样式"/>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paragraph" w:customStyle="1" w:styleId="30">
    <w:name w:val="样式 标题 2"/>
    <w:basedOn w:val="7"/>
    <w:next w:val="28"/>
    <w:qFormat/>
    <w:uiPriority w:val="0"/>
    <w:pPr>
      <w:spacing w:before="50" w:after="50"/>
    </w:pPr>
    <w:rPr>
      <w:szCs w:val="28"/>
    </w:rPr>
  </w:style>
  <w:style w:type="character" w:customStyle="1" w:styleId="31">
    <w:name w:val="批注文字 Char"/>
    <w:basedOn w:val="23"/>
    <w:link w:val="11"/>
    <w:qFormat/>
    <w:uiPriority w:val="0"/>
    <w:rPr>
      <w:kern w:val="2"/>
      <w:sz w:val="21"/>
      <w:szCs w:val="24"/>
    </w:rPr>
  </w:style>
  <w:style w:type="character" w:customStyle="1" w:styleId="32">
    <w:name w:val="批注主题 Char"/>
    <w:basedOn w:val="31"/>
    <w:link w:val="20"/>
    <w:qFormat/>
    <w:uiPriority w:val="0"/>
    <w:rPr>
      <w:b/>
      <w:bCs/>
      <w:kern w:val="2"/>
      <w:sz w:val="21"/>
      <w:szCs w:val="24"/>
    </w:rPr>
  </w:style>
  <w:style w:type="character" w:customStyle="1" w:styleId="33">
    <w:name w:val="批注框文本 Char"/>
    <w:basedOn w:val="23"/>
    <w:link w:val="15"/>
    <w:qFormat/>
    <w:uiPriority w:val="0"/>
    <w:rPr>
      <w:kern w:val="2"/>
      <w:sz w:val="18"/>
      <w:szCs w:val="18"/>
    </w:rPr>
  </w:style>
  <w:style w:type="paragraph" w:customStyle="1" w:styleId="34">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5">
    <w:name w:val="List Paragraph"/>
    <w:basedOn w:val="1"/>
    <w:unhideWhenUsed/>
    <w:qFormat/>
    <w:uiPriority w:val="99"/>
    <w:pPr>
      <w:ind w:firstLine="420" w:firstLineChars="200"/>
    </w:pPr>
  </w:style>
  <w:style w:type="paragraph" w:customStyle="1" w:styleId="36">
    <w:name w:val="A0正文"/>
    <w:basedOn w:val="1"/>
    <w:qFormat/>
    <w:uiPriority w:val="0"/>
    <w:pPr>
      <w:spacing w:line="560" w:lineRule="exact"/>
      <w:ind w:firstLine="200" w:firstLineChars="200"/>
    </w:pPr>
    <w:rPr>
      <w:sz w:val="24"/>
      <w:szCs w:val="20"/>
      <w:lang w:val="zh-CN"/>
    </w:rPr>
  </w:style>
  <w:style w:type="paragraph" w:customStyle="1" w:styleId="37">
    <w:name w:val="小四+首行缩进"/>
    <w:basedOn w:val="1"/>
    <w:qFormat/>
    <w:uiPriority w:val="0"/>
    <w:pPr>
      <w:spacing w:line="360" w:lineRule="auto"/>
      <w:ind w:firstLine="482"/>
    </w:pPr>
    <w:rPr>
      <w:rFonts w:ascii="宋体" w:hAnsi="宋体"/>
      <w:kern w:val="0"/>
      <w:sz w:val="24"/>
    </w:rPr>
  </w:style>
  <w:style w:type="paragraph" w:customStyle="1" w:styleId="38">
    <w:name w:val="D正文"/>
    <w:basedOn w:val="1"/>
    <w:qFormat/>
    <w:uiPriority w:val="0"/>
    <w:pPr>
      <w:spacing w:line="360" w:lineRule="auto"/>
      <w:ind w:firstLine="480" w:firstLineChars="200"/>
    </w:pPr>
    <w:rPr>
      <w:sz w:val="24"/>
    </w:rPr>
  </w:style>
  <w:style w:type="paragraph" w:customStyle="1" w:styleId="39">
    <w:name w:val="【正文】"/>
    <w:basedOn w:val="1"/>
    <w:qFormat/>
    <w:uiPriority w:val="0"/>
    <w:pPr>
      <w:spacing w:line="440" w:lineRule="exact"/>
      <w:ind w:firstLine="544" w:firstLineChars="200"/>
    </w:pPr>
    <w:rPr>
      <w:color w:val="auto"/>
      <w:sz w:val="24"/>
      <w:szCs w:val="20"/>
    </w:rPr>
  </w:style>
  <w:style w:type="character" w:customStyle="1" w:styleId="40">
    <w:name w:val="font71"/>
    <w:basedOn w:val="23"/>
    <w:qFormat/>
    <w:uiPriority w:val="0"/>
    <w:rPr>
      <w:rFonts w:hint="eastAsia" w:ascii="宋体" w:hAnsi="宋体" w:eastAsia="宋体" w:cs="宋体"/>
      <w:color w:val="000000"/>
      <w:sz w:val="21"/>
      <w:szCs w:val="21"/>
      <w:u w:val="none"/>
    </w:rPr>
  </w:style>
  <w:style w:type="character" w:customStyle="1" w:styleId="41">
    <w:name w:val="font51"/>
    <w:basedOn w:val="23"/>
    <w:qFormat/>
    <w:uiPriority w:val="0"/>
    <w:rPr>
      <w:rFonts w:hint="default" w:ascii="Times New Roman" w:hAnsi="Times New Roman" w:cs="Times New Roman"/>
      <w:color w:val="000000"/>
      <w:sz w:val="21"/>
      <w:szCs w:val="21"/>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8</Pages>
  <Words>3995</Words>
  <Characters>4257</Characters>
  <Lines>26</Lines>
  <Paragraphs>7</Paragraphs>
  <TotalTime>8</TotalTime>
  <ScaleCrop>false</ScaleCrop>
  <LinksUpToDate>false</LinksUpToDate>
  <CharactersWithSpaces>4487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2022-03-15T09:25:00Z</dcterms:created>
  <dc:creator>Administrator</dc:creator>
  <cp:lastModifiedBy>admin123</cp:lastModifiedBy>
  <cp:lastPrinted>2023-07-04T01:42:00Z</cp:lastPrinted>
  <dcterms:modified xsi:type="dcterms:W3CDTF">2023-08-03T20:10:12Z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C13726516D5E4512B3807C0D7FADB647</vt:lpwstr>
  </property>
</Properties>
</file>