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w:t>
      </w:r>
      <w:r>
        <w:rPr>
          <w:rFonts w:hint="eastAsia" w:ascii="仿宋_GB2312" w:eastAsia="仿宋_GB2312"/>
          <w:sz w:val="32"/>
          <w:lang w:eastAsia="zh-CN"/>
        </w:rPr>
        <w:t>环</w:t>
      </w:r>
      <w:r>
        <w:rPr>
          <w:rFonts w:hint="eastAsia" w:ascii="仿宋_GB2312" w:eastAsia="仿宋_GB2312"/>
          <w:sz w:val="32"/>
        </w:rPr>
        <w:t>评〔20</w:t>
      </w:r>
      <w:r>
        <w:rPr>
          <w:rFonts w:hint="eastAsia" w:ascii="仿宋_GB2312" w:eastAsia="仿宋_GB2312"/>
          <w:sz w:val="32"/>
          <w:lang w:val="en-US" w:eastAsia="zh-CN"/>
        </w:rPr>
        <w:t>23</w:t>
      </w:r>
      <w:r>
        <w:rPr>
          <w:rFonts w:hint="eastAsia" w:ascii="仿宋_GB2312" w:eastAsia="仿宋_GB2312"/>
          <w:sz w:val="32"/>
        </w:rPr>
        <w:t>〕</w:t>
      </w:r>
      <w:r>
        <w:rPr>
          <w:rFonts w:hint="eastAsia" w:ascii="仿宋_GB2312" w:eastAsia="仿宋_GB2312"/>
          <w:sz w:val="32"/>
          <w:lang w:val="en-US" w:eastAsia="zh-CN"/>
        </w:rPr>
        <w:t>46</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uw7UY1QAAAAYBAAAPAAAAAAAAAAEAIAAAADgAAABkcnMvZG93bnJl&#10;di54bWxQSwECFAAUAAAACACHTuJALPboIuoBAACtAwAADgAAAAAAAAABACAAAAA6AQAAZHJzL2Uy&#10;b0RvYy54bWxQSwUGAAAAAAYABgBZAQAAlgUAAAAA&#10;">
                <v:fill on="f" focussize="0,0"/>
                <v:stroke weight="3pt" color="#FF0000" joinstyle="round"/>
                <v:imagedata o:title=""/>
                <o:lock v:ext="edit" aspectratio="f"/>
              </v:shape>
            </w:pict>
          </mc:Fallback>
        </mc:AlternateContent>
      </w:r>
    </w:p>
    <w:p>
      <w:pPr>
        <w:spacing w:line="6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关于</w:t>
      </w:r>
      <w:r>
        <w:rPr>
          <w:rFonts w:hint="eastAsia" w:ascii="方正小标宋简体" w:hAnsi="宋体" w:eastAsia="方正小标宋简体"/>
          <w:sz w:val="44"/>
          <w:szCs w:val="44"/>
          <w:lang w:val="en-US" w:eastAsia="zh-CN"/>
        </w:rPr>
        <w:t>江西旺达新材料有限公司年产20000吨有机玻璃原料生产项目</w:t>
      </w:r>
      <w:r>
        <w:rPr>
          <w:rFonts w:hint="eastAsia" w:ascii="方正小标宋简体" w:hAnsi="宋体" w:eastAsia="方正小标宋简体"/>
          <w:sz w:val="44"/>
          <w:szCs w:val="44"/>
        </w:rPr>
        <w:t>环境影响报告书的批复</w:t>
      </w:r>
    </w:p>
    <w:p>
      <w:pPr>
        <w:pStyle w:val="17"/>
      </w:pPr>
    </w:p>
    <w:p>
      <w:pPr>
        <w:pageBreakBefore w:val="0"/>
        <w:widowControl w:val="0"/>
        <w:kinsoku/>
        <w:wordWrap/>
        <w:overflowPunct/>
        <w:topLinePunct w:val="0"/>
        <w:autoSpaceDE w:val="0"/>
        <w:autoSpaceDN/>
        <w:bidi w:val="0"/>
        <w:adjustRightInd w:val="0"/>
        <w:snapToGrid w:val="0"/>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江西旺达新材料有限公司</w:t>
      </w:r>
      <w:r>
        <w:rPr>
          <w:rFonts w:hint="eastAsia" w:ascii="仿宋_GB2312" w:hAnsi="仿宋_GB2312" w:eastAsia="仿宋_GB2312" w:cs="仿宋_GB2312"/>
          <w:sz w:val="32"/>
          <w:szCs w:val="32"/>
        </w:rPr>
        <w:t>：</w:t>
      </w:r>
    </w:p>
    <w:p>
      <w:pPr>
        <w:pageBreakBefore w:val="0"/>
        <w:widowControl w:val="0"/>
        <w:kinsoku/>
        <w:wordWrap/>
        <w:overflowPunct/>
        <w:topLinePunct w:val="0"/>
        <w:autoSpaceDE w:val="0"/>
        <w:autoSpaceDN/>
        <w:bidi w:val="0"/>
        <w:adjustRightInd w:val="0"/>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你公司《关于请求审批&lt;关于</w:t>
      </w:r>
      <w:r>
        <w:rPr>
          <w:rFonts w:hint="eastAsia" w:ascii="仿宋_GB2312" w:hAnsi="仿宋_GB2312" w:eastAsia="仿宋_GB2312" w:cs="仿宋_GB2312"/>
          <w:sz w:val="32"/>
          <w:szCs w:val="32"/>
          <w:lang w:val="en-US" w:eastAsia="zh-CN"/>
        </w:rPr>
        <w:t>江西旺达新材料有限公司年产20000吨有机玻璃原料生产项目</w:t>
      </w:r>
      <w:r>
        <w:rPr>
          <w:rFonts w:hint="eastAsia" w:ascii="仿宋_GB2312" w:hAnsi="仿宋_GB2312" w:eastAsia="仿宋_GB2312" w:cs="仿宋_GB2312"/>
          <w:sz w:val="32"/>
          <w:szCs w:val="32"/>
        </w:rPr>
        <w:t>环境影响报告书&gt;的请示》以及相关资料收悉，经研究，批复如下：</w:t>
      </w:r>
    </w:p>
    <w:p>
      <w:pPr>
        <w:pStyle w:val="17"/>
        <w:pageBreakBefore w:val="0"/>
        <w:widowControl w:val="0"/>
        <w:numPr>
          <w:ilvl w:val="0"/>
          <w:numId w:val="1"/>
        </w:numPr>
        <w:kinsoku/>
        <w:wordWrap/>
        <w:overflowPunct/>
        <w:topLinePunct w:val="0"/>
        <w:autoSpaceDN/>
        <w:bidi w:val="0"/>
        <w:spacing w:before="0" w:after="0" w:line="520" w:lineRule="exact"/>
        <w:ind w:firstLine="640" w:firstLineChars="200"/>
        <w:textAlignment w:val="auto"/>
        <w:rPr>
          <w:rFonts w:ascii="黑体" w:hAnsi="黑体" w:eastAsia="黑体" w:cs="黑体"/>
          <w:b w:val="0"/>
          <w:bCs w:val="0"/>
          <w:szCs w:val="32"/>
        </w:rPr>
      </w:pPr>
      <w:r>
        <w:rPr>
          <w:rFonts w:hint="eastAsia" w:ascii="黑体" w:hAnsi="黑体" w:eastAsia="黑体" w:cs="黑体"/>
          <w:b w:val="0"/>
          <w:bCs w:val="0"/>
          <w:szCs w:val="32"/>
        </w:rPr>
        <w:t>项目建设内容及批复意见</w:t>
      </w:r>
    </w:p>
    <w:p>
      <w:pPr>
        <w:pageBreakBefore w:val="0"/>
        <w:widowControl w:val="0"/>
        <w:kinsoku/>
        <w:wordWrap/>
        <w:overflowPunct/>
        <w:topLinePunct w:val="0"/>
        <w:autoSpaceDN/>
        <w:bidi w:val="0"/>
        <w:spacing w:line="520" w:lineRule="exact"/>
        <w:ind w:firstLine="640" w:firstLineChars="200"/>
        <w:textAlignment w:val="auto"/>
      </w:pPr>
      <w:r>
        <w:rPr>
          <w:rFonts w:hint="eastAsia" w:ascii="仿宋_GB2312" w:eastAsia="仿宋_GB2312"/>
          <w:sz w:val="32"/>
          <w:szCs w:val="32"/>
          <w:lang w:val="en-US" w:eastAsia="zh-CN"/>
        </w:rPr>
        <w:t>江西旺达新材料有限公司年产20000吨有机玻璃原料生产项目拟建于江西省宜春市袁州区医药工业园、化工集中区</w:t>
      </w:r>
      <w:r>
        <w:rPr>
          <w:rFonts w:hint="eastAsia" w:ascii="仿宋_GB2312" w:hAnsi="仿宋_GB2312" w:eastAsia="仿宋_GB2312" w:cs="仿宋_GB2312"/>
          <w:sz w:val="32"/>
          <w:szCs w:val="32"/>
        </w:rPr>
        <w:t>，项目中心地理坐标为</w:t>
      </w:r>
      <w:r>
        <w:rPr>
          <w:rFonts w:hint="eastAsia" w:ascii="仿宋_GB2312" w:eastAsia="仿宋_GB2312"/>
          <w:sz w:val="32"/>
          <w:szCs w:val="32"/>
        </w:rPr>
        <w:t>东经11</w:t>
      </w: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38</w:t>
      </w:r>
      <w:r>
        <w:rPr>
          <w:rFonts w:hint="eastAsia" w:ascii="仿宋_GB2312" w:eastAsia="仿宋_GB2312"/>
          <w:sz w:val="32"/>
          <w:szCs w:val="32"/>
        </w:rPr>
        <w:t>.</w:t>
      </w:r>
      <w:r>
        <w:rPr>
          <w:rFonts w:hint="eastAsia" w:ascii="仿宋_GB2312" w:eastAsia="仿宋_GB2312"/>
          <w:sz w:val="32"/>
          <w:szCs w:val="32"/>
          <w:lang w:val="en-US" w:eastAsia="zh-CN"/>
        </w:rPr>
        <w:t>50</w:t>
      </w:r>
      <w:r>
        <w:rPr>
          <w:rFonts w:hint="eastAsia" w:ascii="仿宋_GB2312" w:eastAsia="仿宋_GB2312"/>
          <w:sz w:val="32"/>
          <w:szCs w:val="32"/>
        </w:rPr>
        <w:t>″、北纬2</w:t>
      </w: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val="en-US" w:eastAsia="zh-CN"/>
        </w:rPr>
        <w:t>53</w:t>
      </w:r>
      <w:r>
        <w:rPr>
          <w:rFonts w:hint="eastAsia" w:ascii="仿宋_GB2312" w:eastAsia="仿宋_GB2312"/>
          <w:sz w:val="32"/>
          <w:szCs w:val="32"/>
        </w:rPr>
        <w:t>′</w:t>
      </w:r>
      <w:r>
        <w:rPr>
          <w:rFonts w:hint="eastAsia" w:ascii="仿宋_GB2312" w:eastAsia="仿宋_GB2312"/>
          <w:sz w:val="32"/>
          <w:szCs w:val="32"/>
          <w:lang w:val="en-US" w:eastAsia="zh-CN"/>
        </w:rPr>
        <w:t>59</w:t>
      </w:r>
      <w:r>
        <w:rPr>
          <w:rFonts w:hint="eastAsia" w:ascii="仿宋_GB2312" w:eastAsia="仿宋_GB2312"/>
          <w:sz w:val="32"/>
          <w:szCs w:val="32"/>
        </w:rPr>
        <w:t>.</w:t>
      </w:r>
      <w:r>
        <w:rPr>
          <w:rFonts w:hint="eastAsia" w:ascii="仿宋_GB2312" w:eastAsia="仿宋_GB2312"/>
          <w:sz w:val="32"/>
          <w:szCs w:val="32"/>
          <w:lang w:val="en-US" w:eastAsia="zh-CN"/>
        </w:rPr>
        <w:t>59</w:t>
      </w:r>
      <w:r>
        <w:rPr>
          <w:rFonts w:hint="eastAsia" w:ascii="仿宋_GB2312" w:eastAsia="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总</w:t>
      </w:r>
      <w:r>
        <w:rPr>
          <w:rFonts w:hint="eastAsia" w:ascii="仿宋_GB2312" w:hAnsi="仿宋_GB2312" w:eastAsia="仿宋_GB2312" w:cs="仿宋_GB2312"/>
          <w:sz w:val="32"/>
          <w:szCs w:val="32"/>
        </w:rPr>
        <w:t>占地面积</w:t>
      </w:r>
      <w:r>
        <w:rPr>
          <w:rFonts w:hint="eastAsia" w:ascii="仿宋_GB2312" w:hAnsi="仿宋_GB2312" w:eastAsia="仿宋_GB2312" w:cs="仿宋_GB2312"/>
          <w:sz w:val="32"/>
          <w:szCs w:val="32"/>
          <w:lang w:val="en-US" w:eastAsia="zh-CN"/>
        </w:rPr>
        <w:t>28亩</w:t>
      </w:r>
      <w:r>
        <w:rPr>
          <w:rFonts w:hint="eastAsia" w:ascii="仿宋_GB2312" w:hAnsi="仿宋_GB2312" w:eastAsia="仿宋_GB2312" w:cs="仿宋_GB2312"/>
          <w:sz w:val="32"/>
          <w:szCs w:val="32"/>
        </w:rPr>
        <w:t>。</w:t>
      </w:r>
    </w:p>
    <w:p>
      <w:pPr>
        <w:pageBreakBefore w:val="0"/>
        <w:widowControl w:val="0"/>
        <w:kinsoku/>
        <w:wordWrap/>
        <w:overflowPunct/>
        <w:topLinePunct w:val="0"/>
        <w:autoSpaceDN/>
        <w:bidi w:val="0"/>
        <w:spacing w:line="520" w:lineRule="exact"/>
        <w:ind w:firstLine="640" w:firstLineChars="200"/>
        <w:textAlignment w:val="auto"/>
      </w:pPr>
      <w:r>
        <w:rPr>
          <w:rFonts w:hint="eastAsia" w:ascii="仿宋_GB2312" w:hAnsi="仿宋_GB2312" w:eastAsia="仿宋_GB2312" w:cs="仿宋_GB2312"/>
          <w:sz w:val="32"/>
          <w:szCs w:val="32"/>
        </w:rPr>
        <w:t>本项目属于</w:t>
      </w:r>
      <w:r>
        <w:rPr>
          <w:rFonts w:hint="eastAsia" w:ascii="仿宋_GB2312" w:hAnsi="仿宋_GB2312" w:eastAsia="仿宋_GB2312" w:cs="仿宋_GB2312"/>
          <w:sz w:val="32"/>
          <w:szCs w:val="32"/>
          <w:lang w:val="en-US" w:eastAsia="zh-CN"/>
        </w:rPr>
        <w:t>新建项目</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主要以亚克力废料（入厂要求：PMMA的纯度达到95以上，含水量≤2%，杂质≤3%；在原料采选时，严格控制质量，不选购有涂层、表面有油污、可能沾染危险废物等不合格原料）等为原辅材料，经人工分拣、破碎、裂解、冷凝、精馏等工序生产甲基丙烯酸甲酯（MMA）</w:t>
      </w:r>
      <w:r>
        <w:rPr>
          <w:rFonts w:hint="eastAsia" w:ascii="仿宋_GB2312" w:eastAsia="仿宋_GB2312"/>
          <w:sz w:val="32"/>
          <w:szCs w:val="32"/>
        </w:rPr>
        <w:t>。</w:t>
      </w:r>
    </w:p>
    <w:p>
      <w:pPr>
        <w:pageBreakBefore w:val="0"/>
        <w:widowControl w:val="0"/>
        <w:kinsoku/>
        <w:wordWrap/>
        <w:overflowPunct/>
        <w:topLinePunct w:val="0"/>
        <w:autoSpaceDN/>
        <w:bidi w:val="0"/>
        <w:spacing w:line="520" w:lineRule="exact"/>
        <w:ind w:firstLine="640" w:firstLineChars="200"/>
        <w:textAlignment w:val="auto"/>
      </w:pPr>
      <w:r>
        <w:rPr>
          <w:rFonts w:hint="eastAsia" w:ascii="仿宋_GB2312" w:eastAsia="仿宋_GB2312"/>
          <w:color w:val="000000"/>
          <w:sz w:val="32"/>
          <w:szCs w:val="32"/>
        </w:rPr>
        <w:t>本项目产品方案：</w:t>
      </w:r>
      <w:r>
        <w:rPr>
          <w:rFonts w:hint="eastAsia" w:ascii="仿宋_GB2312" w:eastAsia="仿宋_GB2312"/>
          <w:color w:val="000000"/>
          <w:sz w:val="32"/>
          <w:szCs w:val="32"/>
          <w:lang w:val="en-US" w:eastAsia="zh-CN"/>
        </w:rPr>
        <w:t>甲基丙烯酸甲酯（MMA）20000t</w:t>
      </w:r>
      <w:r>
        <w:rPr>
          <w:rFonts w:hint="eastAsia" w:ascii="仿宋_GB2312" w:eastAsia="仿宋_GB2312"/>
          <w:sz w:val="32"/>
          <w:szCs w:val="32"/>
        </w:rPr>
        <w:t>。</w:t>
      </w:r>
    </w:p>
    <w:p>
      <w:pPr>
        <w:pageBreakBefore w:val="0"/>
        <w:widowControl w:val="0"/>
        <w:kinsoku/>
        <w:wordWrap/>
        <w:overflowPunct/>
        <w:topLinePunct w:val="0"/>
        <w:autoSpaceDE w:val="0"/>
        <w:autoSpaceDN/>
        <w:bidi w:val="0"/>
        <w:adjustRightInd w:val="0"/>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项目总投资1</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rPr>
        <w:t>万元，其中环保投资</w:t>
      </w:r>
      <w:r>
        <w:rPr>
          <w:rFonts w:hint="eastAsia" w:ascii="仿宋_GB2312" w:hAnsi="仿宋_GB2312" w:eastAsia="仿宋_GB2312" w:cs="仿宋_GB2312"/>
          <w:sz w:val="32"/>
          <w:szCs w:val="32"/>
          <w:lang w:val="en-US" w:eastAsia="zh-CN"/>
        </w:rPr>
        <w:t>445</w:t>
      </w:r>
      <w:r>
        <w:rPr>
          <w:rFonts w:hint="eastAsia" w:ascii="仿宋_GB2312" w:hAnsi="仿宋_GB2312" w:eastAsia="仿宋_GB2312" w:cs="仿宋_GB2312"/>
          <w:sz w:val="32"/>
          <w:szCs w:val="32"/>
        </w:rPr>
        <w:t>万元，约占总投资的</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pageBreakBefore w:val="0"/>
        <w:widowControl w:val="0"/>
        <w:kinsoku/>
        <w:wordWrap/>
        <w:overflowPunct/>
        <w:topLinePunct w:val="0"/>
        <w:autoSpaceDN/>
        <w:bidi w:val="0"/>
        <w:spacing w:line="520" w:lineRule="exact"/>
        <w:ind w:firstLine="640" w:firstLineChars="200"/>
        <w:textAlignment w:val="auto"/>
      </w:pPr>
      <w:r>
        <w:rPr>
          <w:rFonts w:hint="eastAsia" w:ascii="仿宋_GB2312" w:hAnsi="仿宋_GB2312" w:eastAsia="仿宋_GB2312" w:cs="仿宋_GB2312"/>
          <w:sz w:val="32"/>
          <w:szCs w:val="32"/>
        </w:rPr>
        <w:t>你公司应全面落实</w:t>
      </w:r>
      <w:r>
        <w:rPr>
          <w:rFonts w:hint="eastAsia" w:ascii="仿宋_GB2312" w:eastAsia="仿宋_GB2312"/>
          <w:sz w:val="32"/>
          <w:szCs w:val="32"/>
        </w:rPr>
        <w:t>《</w:t>
      </w:r>
      <w:r>
        <w:rPr>
          <w:rFonts w:hint="eastAsia" w:ascii="仿宋_GB2312" w:hAnsi="仿宋_GB2312" w:eastAsia="仿宋_GB2312" w:cs="仿宋_GB2312"/>
          <w:sz w:val="32"/>
          <w:szCs w:val="32"/>
          <w:lang w:val="en-US" w:eastAsia="zh-CN"/>
        </w:rPr>
        <w:t>江西旺达新材料有限公司年产20000吨有机玻璃原料生产项目</w:t>
      </w:r>
      <w:r>
        <w:rPr>
          <w:rFonts w:hint="eastAsia" w:ascii="仿宋_GB2312" w:eastAsia="仿宋_GB2312"/>
          <w:sz w:val="32"/>
          <w:szCs w:val="32"/>
        </w:rPr>
        <w:t>环境影响报告书报告书》（以下简称《报告书》）、《</w:t>
      </w:r>
      <w:r>
        <w:rPr>
          <w:rFonts w:hint="eastAsia" w:ascii="仿宋_GB2312" w:hAnsi="仿宋_GB2312" w:eastAsia="仿宋_GB2312" w:cs="仿宋_GB2312"/>
          <w:sz w:val="32"/>
          <w:szCs w:val="32"/>
          <w:lang w:val="en-US" w:eastAsia="zh-CN"/>
        </w:rPr>
        <w:t>江西旺达新材料有限公司年产20000吨有机玻璃原料生产项目</w:t>
      </w:r>
      <w:r>
        <w:rPr>
          <w:rFonts w:hint="eastAsia" w:ascii="仿宋_GB2312" w:eastAsia="仿宋_GB2312"/>
          <w:sz w:val="32"/>
          <w:szCs w:val="32"/>
        </w:rPr>
        <w:t>环境影响报告书评估意见》（以下简称《评估意见》）</w:t>
      </w:r>
      <w:r>
        <w:rPr>
          <w:rFonts w:hint="eastAsia" w:ascii="仿宋_GB2312" w:hAnsi="仿宋_GB2312" w:eastAsia="仿宋_GB2312" w:cs="仿宋_GB2312"/>
          <w:sz w:val="32"/>
          <w:szCs w:val="32"/>
        </w:rPr>
        <w:t>提出的各项污染防治措施、“以新带老”环保措施和环境风险防范措施，缓解和控制不利环境影响。从环境保护角度我局原则同意环境影响报告书中所列工程性质、地点、规模、生产工艺和环境保护对策措施</w:t>
      </w:r>
      <w:r>
        <w:rPr>
          <w:rFonts w:hint="eastAsia" w:ascii="仿宋_GB2312" w:eastAsia="仿宋_GB2312"/>
          <w:sz w:val="32"/>
          <w:szCs w:val="32"/>
        </w:rPr>
        <w:t>。</w:t>
      </w:r>
    </w:p>
    <w:p>
      <w:pPr>
        <w:pStyle w:val="17"/>
        <w:pageBreakBefore w:val="0"/>
        <w:widowControl w:val="0"/>
        <w:numPr>
          <w:ilvl w:val="0"/>
          <w:numId w:val="1"/>
        </w:numPr>
        <w:kinsoku/>
        <w:wordWrap/>
        <w:overflowPunct/>
        <w:topLinePunct w:val="0"/>
        <w:autoSpaceDN/>
        <w:bidi w:val="0"/>
        <w:spacing w:before="0" w:after="0" w:line="520" w:lineRule="exact"/>
        <w:ind w:firstLine="640" w:firstLineChars="200"/>
        <w:textAlignment w:val="auto"/>
        <w:rPr>
          <w:rFonts w:ascii="黑体" w:hAnsi="黑体" w:eastAsia="黑体" w:cs="黑体"/>
          <w:b w:val="0"/>
          <w:bCs w:val="0"/>
          <w:szCs w:val="32"/>
        </w:rPr>
      </w:pPr>
      <w:r>
        <w:rPr>
          <w:rFonts w:hint="eastAsia" w:ascii="黑体" w:hAnsi="黑体" w:eastAsia="黑体" w:cs="黑体"/>
          <w:b w:val="0"/>
          <w:bCs w:val="0"/>
          <w:szCs w:val="32"/>
        </w:rPr>
        <w:t>污染防治措施及要求</w:t>
      </w:r>
    </w:p>
    <w:p>
      <w:pPr>
        <w:pageBreakBefore w:val="0"/>
        <w:widowControl w:val="0"/>
        <w:kinsoku/>
        <w:wordWrap/>
        <w:overflowPunct/>
        <w:topLinePunct w:val="0"/>
        <w:autoSpaceDE w:val="0"/>
        <w:autoSpaceDN/>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项目在工程设计、建设和生产过程中必须认真落实《报告书》、《评估意见》提出的各项环保要求，并重点做好以下几项工作：</w:t>
      </w:r>
    </w:p>
    <w:p>
      <w:pPr>
        <w:pageBreakBefore w:val="0"/>
        <w:widowControl w:val="0"/>
        <w:kinsoku/>
        <w:wordWrap/>
        <w:overflowPunct/>
        <w:topLinePunct w:val="0"/>
        <w:autoSpaceDE w:val="0"/>
        <w:autoSpaceDN/>
        <w:bidi w:val="0"/>
        <w:spacing w:line="52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）严格落实各项废水污染防治措施。</w:t>
      </w:r>
      <w:r>
        <w:rPr>
          <w:rFonts w:hint="eastAsia" w:ascii="仿宋_GB2312" w:eastAsia="仿宋_GB2312"/>
          <w:sz w:val="32"/>
          <w:szCs w:val="32"/>
        </w:rPr>
        <w:t>根据“雨污分流、清污分流、分质处理、一水多用”的原则建设给排水及污水处理系统，场内外污水管网应做好管网名称、污水种类、流向标识。进一步提高水的回用率，减少新鲜水用量和废水产生量。</w:t>
      </w:r>
    </w:p>
    <w:p>
      <w:pPr>
        <w:pageBreakBefore w:val="0"/>
        <w:widowControl w:val="0"/>
        <w:kinsoku/>
        <w:wordWrap/>
        <w:overflowPunct/>
        <w:topLinePunct w:val="0"/>
        <w:autoSpaceDE w:val="0"/>
        <w:autoSpaceDN/>
        <w:bidi w:val="0"/>
        <w:adjustRightInd w:val="0"/>
        <w:snapToGrid w:val="0"/>
        <w:spacing w:line="520" w:lineRule="exact"/>
        <w:ind w:firstLine="640" w:firstLineChars="200"/>
        <w:textAlignment w:val="auto"/>
        <w:rPr>
          <w:rFonts w:ascii="仿宋_GB2312" w:eastAsia="仿宋_GB2312"/>
          <w:color w:val="FF0000"/>
          <w:sz w:val="32"/>
          <w:szCs w:val="32"/>
        </w:rPr>
      </w:pPr>
      <w:r>
        <w:rPr>
          <w:rFonts w:hint="eastAsia" w:ascii="仿宋_GB2312" w:eastAsia="仿宋_GB2312"/>
          <w:color w:val="000000"/>
          <w:sz w:val="32"/>
          <w:szCs w:val="32"/>
        </w:rPr>
        <w:t>项目</w:t>
      </w:r>
      <w:r>
        <w:rPr>
          <w:rFonts w:hint="eastAsia" w:ascii="仿宋_GB2312" w:eastAsia="仿宋_GB2312"/>
          <w:color w:val="000000"/>
          <w:sz w:val="32"/>
          <w:szCs w:val="32"/>
          <w:lang w:val="en-US" w:eastAsia="zh-CN"/>
        </w:rPr>
        <w:t>冷凝水循环使用，不得外排，</w:t>
      </w:r>
      <w:r>
        <w:rPr>
          <w:rFonts w:hint="eastAsia" w:ascii="仿宋_GB2312" w:eastAsia="仿宋_GB2312"/>
          <w:sz w:val="32"/>
          <w:szCs w:val="32"/>
        </w:rPr>
        <w:t>生活污水</w:t>
      </w:r>
      <w:r>
        <w:rPr>
          <w:rFonts w:hint="eastAsia" w:ascii="仿宋_GB2312" w:eastAsia="仿宋_GB2312"/>
          <w:color w:val="000000"/>
          <w:sz w:val="32"/>
          <w:szCs w:val="32"/>
        </w:rPr>
        <w:t>经</w:t>
      </w:r>
      <w:r>
        <w:rPr>
          <w:rFonts w:hint="eastAsia" w:ascii="仿宋_GB2312" w:eastAsia="仿宋_GB2312"/>
          <w:sz w:val="32"/>
          <w:szCs w:val="32"/>
        </w:rPr>
        <w:t>化粪池处理</w:t>
      </w:r>
      <w:r>
        <w:rPr>
          <w:rFonts w:hint="eastAsia" w:ascii="仿宋_GB2312" w:eastAsia="仿宋_GB2312"/>
          <w:sz w:val="32"/>
          <w:szCs w:val="32"/>
          <w:lang w:val="en-US" w:eastAsia="zh-CN"/>
        </w:rPr>
        <w:t>执行经开区</w:t>
      </w:r>
      <w:r>
        <w:rPr>
          <w:rFonts w:hint="eastAsia" w:ascii="仿宋_GB2312" w:eastAsia="仿宋_GB2312"/>
          <w:sz w:val="32"/>
          <w:szCs w:val="32"/>
        </w:rPr>
        <w:t>污水处理厂接管标准经园区管网排至</w:t>
      </w:r>
      <w:r>
        <w:rPr>
          <w:rFonts w:hint="eastAsia" w:ascii="仿宋_GB2312" w:eastAsia="仿宋_GB2312"/>
          <w:sz w:val="32"/>
          <w:szCs w:val="32"/>
          <w:lang w:val="en-US" w:eastAsia="zh-CN"/>
        </w:rPr>
        <w:t>经开区</w:t>
      </w:r>
      <w:r>
        <w:rPr>
          <w:rFonts w:hint="eastAsia" w:ascii="仿宋_GB2312" w:eastAsia="仿宋_GB2312"/>
          <w:sz w:val="32"/>
          <w:szCs w:val="32"/>
        </w:rPr>
        <w:t>污水处理厂深度处理后，尾水排入</w:t>
      </w:r>
      <w:r>
        <w:rPr>
          <w:rFonts w:hint="eastAsia" w:ascii="仿宋_GB2312" w:eastAsia="仿宋_GB2312"/>
          <w:sz w:val="32"/>
          <w:szCs w:val="32"/>
          <w:lang w:val="en-US" w:eastAsia="zh-CN"/>
        </w:rPr>
        <w:t>袁河</w:t>
      </w:r>
      <w:r>
        <w:rPr>
          <w:rFonts w:hint="eastAsia" w:ascii="仿宋_GB2312" w:eastAsia="仿宋_GB2312"/>
          <w:sz w:val="32"/>
          <w:szCs w:val="32"/>
        </w:rPr>
        <w:t>。</w:t>
      </w:r>
    </w:p>
    <w:p>
      <w:pPr>
        <w:pageBreakBefore w:val="0"/>
        <w:widowControl w:val="0"/>
        <w:kinsoku/>
        <w:wordWrap/>
        <w:overflowPunct/>
        <w:topLinePunct w:val="0"/>
        <w:autoSpaceDN/>
        <w:bidi w:val="0"/>
        <w:spacing w:line="520" w:lineRule="exact"/>
        <w:ind w:firstLine="640" w:firstLineChars="200"/>
        <w:textAlignment w:val="auto"/>
        <w:rPr>
          <w:rFonts w:hint="eastAsia" w:eastAsia="仿宋_GB2312"/>
          <w:lang w:eastAsia="zh-CN"/>
        </w:rPr>
      </w:pPr>
      <w:r>
        <w:rPr>
          <w:rFonts w:hint="eastAsia" w:ascii="仿宋_GB2312" w:hAnsi="仿宋_GB2312" w:eastAsia="仿宋_GB2312" w:cs="仿宋_GB2312"/>
          <w:sz w:val="32"/>
          <w:szCs w:val="32"/>
        </w:rPr>
        <w:t>本项目厂区污水总排放口排放量</w:t>
      </w:r>
      <w:r>
        <w:rPr>
          <w:rFonts w:hint="eastAsia" w:ascii="仿宋_GB2312" w:hAnsi="仿宋_GB2312" w:eastAsia="仿宋_GB2312" w:cs="仿宋_GB2312"/>
          <w:color w:val="000000" w:themeColor="text1"/>
          <w:sz w:val="32"/>
          <w:szCs w:val="32"/>
          <w14:textFill>
            <w14:solidFill>
              <w14:schemeClr w14:val="tx1"/>
            </w14:solidFill>
          </w14:textFill>
        </w:rPr>
        <w:t>为：</w:t>
      </w:r>
      <w:bookmarkStart w:id="0" w:name="OLE_LINK3"/>
      <w:r>
        <w:rPr>
          <w:rFonts w:hint="eastAsia" w:ascii="仿宋_GB2312" w:hAnsi="仿宋_GB2312" w:eastAsia="仿宋_GB2312" w:cs="仿宋_GB2312"/>
          <w:color w:val="000000" w:themeColor="text1"/>
          <w:sz w:val="32"/>
          <w:szCs w:val="32"/>
          <w14:textFill>
            <w14:solidFill>
              <w14:schemeClr w14:val="tx1"/>
            </w14:solidFill>
          </w14:textFill>
        </w:rPr>
        <w:t>COD</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Cr</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0.19</w:t>
      </w:r>
      <w:r>
        <w:rPr>
          <w:rFonts w:hint="eastAsia" w:ascii="仿宋_GB2312" w:eastAsia="仿宋_GB2312"/>
          <w:color w:val="000000" w:themeColor="text1"/>
          <w:sz w:val="32"/>
          <w:szCs w:val="32"/>
          <w14:textFill>
            <w14:solidFill>
              <w14:schemeClr w14:val="tx1"/>
            </w14:solidFill>
          </w14:textFill>
        </w:rPr>
        <w:t>t/a</w:t>
      </w:r>
      <w:r>
        <w:rPr>
          <w:rFonts w:hint="eastAsia" w:ascii="仿宋_GB2312" w:hAnsi="仿宋_GB2312" w:eastAsia="仿宋_GB2312" w:cs="仿宋_GB2312"/>
          <w:color w:val="000000" w:themeColor="text1"/>
          <w:sz w:val="32"/>
          <w:szCs w:val="32"/>
          <w14:textFill>
            <w14:solidFill>
              <w14:schemeClr w14:val="tx1"/>
            </w14:solidFill>
          </w14:textFill>
        </w:rPr>
        <w:t>,NH</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-N≤</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0.017</w:t>
      </w:r>
      <w:r>
        <w:rPr>
          <w:rFonts w:hint="eastAsia" w:ascii="仿宋_GB2312" w:eastAsia="仿宋_GB2312"/>
          <w:color w:val="000000" w:themeColor="text1"/>
          <w:sz w:val="32"/>
          <w:szCs w:val="32"/>
          <w14:textFill>
            <w14:solidFill>
              <w14:schemeClr w14:val="tx1"/>
            </w14:solidFill>
          </w14:textFill>
        </w:rPr>
        <w:t>t/a</w:t>
      </w:r>
      <w:bookmarkEnd w:id="0"/>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园区污水处理厂排口排放量为：</w:t>
      </w:r>
      <w:r>
        <w:rPr>
          <w:rFonts w:hint="eastAsia" w:ascii="仿宋_GB2312" w:hAnsi="仿宋_GB2312" w:eastAsia="仿宋_GB2312" w:cs="仿宋_GB2312"/>
          <w:color w:val="000000" w:themeColor="text1"/>
          <w:sz w:val="32"/>
          <w:szCs w:val="32"/>
          <w14:textFill>
            <w14:solidFill>
              <w14:schemeClr w14:val="tx1"/>
            </w14:solidFill>
          </w14:textFill>
        </w:rPr>
        <w:t>COD</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Cr</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0.0</w:t>
      </w:r>
      <w:r>
        <w:rPr>
          <w:rFonts w:hint="eastAsia" w:ascii="仿宋_GB2312" w:eastAsia="仿宋_GB2312"/>
          <w:color w:val="000000" w:themeColor="text1"/>
          <w:sz w:val="32"/>
          <w:szCs w:val="32"/>
          <w:lang w:val="en-US" w:eastAsia="zh-CN"/>
          <w14:textFill>
            <w14:solidFill>
              <w14:schemeClr w14:val="tx1"/>
            </w14:solidFill>
          </w14:textFill>
        </w:rPr>
        <w:t>43</w:t>
      </w:r>
      <w:r>
        <w:rPr>
          <w:rFonts w:hint="eastAsia" w:ascii="仿宋_GB2312" w:eastAsia="仿宋_GB2312"/>
          <w:color w:val="000000" w:themeColor="text1"/>
          <w:sz w:val="32"/>
          <w:szCs w:val="32"/>
          <w14:textFill>
            <w14:solidFill>
              <w14:schemeClr w14:val="tx1"/>
            </w14:solidFill>
          </w14:textFill>
        </w:rPr>
        <w:t>t/a</w:t>
      </w:r>
      <w:r>
        <w:rPr>
          <w:rFonts w:hint="eastAsia" w:ascii="仿宋_GB2312" w:hAnsi="仿宋_GB2312" w:eastAsia="仿宋_GB2312" w:cs="仿宋_GB2312"/>
          <w:color w:val="000000" w:themeColor="text1"/>
          <w:sz w:val="32"/>
          <w:szCs w:val="32"/>
          <w14:textFill>
            <w14:solidFill>
              <w14:schemeClr w14:val="tx1"/>
            </w14:solidFill>
          </w14:textFill>
        </w:rPr>
        <w:t>,NH</w:t>
      </w:r>
      <w:r>
        <w:rPr>
          <w:rFonts w:hint="eastAsia" w:ascii="仿宋_GB2312" w:hAnsi="仿宋_GB2312" w:eastAsia="仿宋_GB2312" w:cs="仿宋_GB2312"/>
          <w:color w:val="000000" w:themeColor="text1"/>
          <w:sz w:val="32"/>
          <w:szCs w:val="32"/>
          <w:vertAlign w:val="subscript"/>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-N≤</w:t>
      </w:r>
      <w:r>
        <w:rPr>
          <w:rFonts w:hint="eastAsia" w:ascii="仿宋_GB2312" w:eastAsia="仿宋_GB2312"/>
          <w:color w:val="000000" w:themeColor="text1"/>
          <w:sz w:val="32"/>
          <w:szCs w:val="32"/>
          <w14:textFill>
            <w14:solidFill>
              <w14:schemeClr w14:val="tx1"/>
            </w14:solidFill>
          </w14:textFill>
        </w:rPr>
        <w:t>0.00</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t/a</w:t>
      </w:r>
      <w:r>
        <w:rPr>
          <w:rFonts w:hint="eastAsia" w:ascii="仿宋_GB2312" w:eastAsia="仿宋_GB2312"/>
          <w:color w:val="000000" w:themeColor="text1"/>
          <w:sz w:val="32"/>
          <w:szCs w:val="32"/>
          <w:lang w:eastAsia="zh-CN"/>
          <w14:textFill>
            <w14:solidFill>
              <w14:schemeClr w14:val="tx1"/>
            </w14:solidFill>
          </w14:textFill>
        </w:rPr>
        <w:t>。</w:t>
      </w:r>
    </w:p>
    <w:p>
      <w:pPr>
        <w:pageBreakBefore w:val="0"/>
        <w:widowControl w:val="0"/>
        <w:kinsoku/>
        <w:wordWrap/>
        <w:overflowPunct/>
        <w:topLinePunct w:val="0"/>
        <w:autoSpaceDN/>
        <w:bidi w:val="0"/>
        <w:spacing w:line="520" w:lineRule="exact"/>
        <w:ind w:firstLine="640" w:firstLineChars="200"/>
        <w:textAlignment w:val="auto"/>
      </w:pPr>
      <w:r>
        <w:rPr>
          <w:rFonts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ascii="楷体_GB2312" w:hAnsi="楷体_GB2312" w:eastAsia="楷体_GB2312" w:cs="楷体_GB2312"/>
          <w:sz w:val="32"/>
          <w:szCs w:val="32"/>
        </w:rPr>
        <w:t>）严格落实各项废气污染防治措施</w:t>
      </w:r>
      <w:r>
        <w:rPr>
          <w:rFonts w:ascii="仿宋_GB2312" w:eastAsia="仿宋_GB2312"/>
          <w:sz w:val="32"/>
          <w:szCs w:val="32"/>
        </w:rPr>
        <w:t>。</w:t>
      </w:r>
      <w:r>
        <w:rPr>
          <w:rFonts w:hint="eastAsia" w:ascii="仿宋_GB2312" w:hAnsi="仿宋" w:eastAsia="仿宋_GB2312" w:cs="仿宋"/>
          <w:color w:val="000000"/>
          <w:sz w:val="32"/>
          <w:szCs w:val="32"/>
        </w:rPr>
        <w:t>项目有组织废气主要为</w:t>
      </w:r>
      <w:r>
        <w:rPr>
          <w:rFonts w:hint="eastAsia" w:ascii="仿宋_GB2312" w:hAnsi="仿宋" w:eastAsia="仿宋_GB2312" w:cs="仿宋"/>
          <w:color w:val="000000"/>
          <w:sz w:val="32"/>
          <w:szCs w:val="32"/>
          <w:lang w:val="en-US" w:eastAsia="zh-CN"/>
        </w:rPr>
        <w:t>破碎废气、裂解废气、精馏废气、储罐大小呼吸废气、TO燃烧废气</w:t>
      </w:r>
      <w:r>
        <w:rPr>
          <w:rFonts w:hint="eastAsia" w:ascii="仿宋_GB2312" w:hAnsi="仿宋" w:eastAsia="仿宋_GB2312" w:cs="仿宋"/>
          <w:color w:val="000000"/>
          <w:sz w:val="32"/>
          <w:szCs w:val="32"/>
        </w:rPr>
        <w:t>等。应根据废气中污染物的类别和性质，采用相应的成熟可行工艺处理，处理设施的处理能力、处理效率、排气筒的高度应符合国家和地方相应的管理要求，确保废气污染物长期稳定达标排放。</w:t>
      </w:r>
    </w:p>
    <w:p>
      <w:pPr>
        <w:pageBreakBefore w:val="0"/>
        <w:widowControl w:val="0"/>
        <w:kinsoku/>
        <w:wordWrap/>
        <w:overflowPunct/>
        <w:topLinePunct w:val="0"/>
        <w:autoSpaceDN/>
        <w:bidi w:val="0"/>
        <w:spacing w:line="520" w:lineRule="exact"/>
        <w:ind w:firstLine="640" w:firstLineChars="200"/>
        <w:textAlignment w:val="auto"/>
        <w:rPr>
          <w:rFonts w:hint="default" w:eastAsia="仿宋_GB2312"/>
          <w:lang w:val="en-US" w:eastAsia="zh-CN"/>
        </w:rPr>
      </w:pPr>
      <w:r>
        <w:rPr>
          <w:rFonts w:hint="eastAsia" w:ascii="仿宋_GB2312" w:eastAsia="仿宋_GB2312"/>
          <w:color w:val="000000"/>
          <w:sz w:val="32"/>
          <w:szCs w:val="32"/>
          <w:lang w:val="en-US" w:eastAsia="zh-CN"/>
        </w:rPr>
        <w:t>破碎废气</w:t>
      </w:r>
      <w:r>
        <w:rPr>
          <w:rFonts w:hint="eastAsia" w:ascii="仿宋_GB2312" w:eastAsia="仿宋_GB2312"/>
          <w:color w:val="000000"/>
          <w:sz w:val="32"/>
          <w:szCs w:val="32"/>
        </w:rPr>
        <w:t>经</w:t>
      </w:r>
      <w:r>
        <w:rPr>
          <w:rFonts w:hint="eastAsia" w:ascii="仿宋_GB2312" w:eastAsia="仿宋_GB2312"/>
          <w:color w:val="000000"/>
          <w:sz w:val="32"/>
          <w:szCs w:val="32"/>
          <w:lang w:val="en-US" w:eastAsia="zh-CN"/>
        </w:rPr>
        <w:t>收集后经布袋除尘器</w:t>
      </w:r>
      <w:r>
        <w:rPr>
          <w:rFonts w:hint="eastAsia" w:ascii="仿宋_GB2312" w:eastAsia="仿宋_GB2312"/>
          <w:color w:val="000000"/>
          <w:sz w:val="32"/>
          <w:szCs w:val="32"/>
        </w:rPr>
        <w:t>或其他更为成熟可靠工艺处理后</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颗粒物执行</w:t>
      </w:r>
      <w:r>
        <w:rPr>
          <w:rFonts w:hint="eastAsia" w:ascii="仿宋_GB2312" w:eastAsia="仿宋_GB2312"/>
          <w:sz w:val="32"/>
          <w:szCs w:val="32"/>
        </w:rPr>
        <w:t>《</w:t>
      </w:r>
      <w:r>
        <w:rPr>
          <w:rFonts w:hint="eastAsia" w:ascii="仿宋_GB2312" w:eastAsia="仿宋_GB2312"/>
          <w:sz w:val="32"/>
          <w:szCs w:val="32"/>
          <w:lang w:val="en-US" w:eastAsia="zh-CN"/>
        </w:rPr>
        <w:t>石油化学工业污染物排放标准</w:t>
      </w:r>
      <w:r>
        <w:rPr>
          <w:rFonts w:hint="eastAsia" w:ascii="仿宋_GB2312" w:eastAsia="仿宋_GB2312"/>
          <w:sz w:val="32"/>
          <w:szCs w:val="32"/>
        </w:rPr>
        <w:t>》（GB3157</w:t>
      </w:r>
      <w:r>
        <w:rPr>
          <w:rFonts w:hint="eastAsia" w:ascii="仿宋_GB2312" w:eastAsia="仿宋_GB2312"/>
          <w:sz w:val="32"/>
          <w:szCs w:val="32"/>
          <w:lang w:val="en-US" w:eastAsia="zh-CN"/>
        </w:rPr>
        <w:t>1</w:t>
      </w:r>
      <w:r>
        <w:rPr>
          <w:rFonts w:hint="eastAsia" w:ascii="仿宋_GB2312" w:eastAsia="仿宋_GB2312"/>
          <w:sz w:val="32"/>
          <w:szCs w:val="32"/>
        </w:rPr>
        <w:t>-2015）</w:t>
      </w:r>
      <w:r>
        <w:rPr>
          <w:rFonts w:hint="eastAsia" w:ascii="仿宋_GB2312" w:eastAsia="仿宋_GB2312"/>
          <w:sz w:val="32"/>
          <w:szCs w:val="32"/>
          <w:lang w:val="en-US" w:eastAsia="zh-CN"/>
        </w:rPr>
        <w:t>中限值要求</w:t>
      </w:r>
      <w:r>
        <w:rPr>
          <w:rFonts w:ascii="仿宋_GB2312" w:eastAsia="仿宋_GB2312"/>
          <w:sz w:val="32"/>
          <w:szCs w:val="32"/>
        </w:rPr>
        <w:t>。</w:t>
      </w:r>
      <w:r>
        <w:rPr>
          <w:rFonts w:hint="eastAsia" w:ascii="仿宋_GB2312" w:eastAsia="仿宋_GB2312"/>
          <w:sz w:val="32"/>
          <w:szCs w:val="32"/>
          <w:lang w:val="en-US" w:eastAsia="zh-CN"/>
        </w:rPr>
        <w:t>裂解、精馏废气经设备连接的管道收集后经“两级冷凝+深冷+TO燃烧”或其他更为成熟稳定工艺处理，储罐大小呼吸废气经集气管道收集引至TO燃烧炉处理，上述</w:t>
      </w:r>
      <w:bookmarkStart w:id="1" w:name="_GoBack"/>
      <w:bookmarkEnd w:id="1"/>
      <w:r>
        <w:rPr>
          <w:rFonts w:hint="eastAsia" w:ascii="仿宋_GB2312" w:eastAsia="仿宋_GB2312"/>
          <w:sz w:val="32"/>
          <w:szCs w:val="32"/>
          <w:lang w:val="en-US" w:eastAsia="zh-CN"/>
        </w:rPr>
        <w:t>废气中TVOC、甲基丙烯酸甲酯、丙烯酸甲酯满足《挥发性有机物排放标准 第2部分：有机化工行业》（DB36/1101.2-2019）浓度限值要求，二氧化硫、氮氧化物、甲醇执行</w:t>
      </w:r>
      <w:r>
        <w:rPr>
          <w:rFonts w:hint="eastAsia" w:ascii="仿宋_GB2312" w:eastAsia="仿宋_GB2312"/>
          <w:sz w:val="32"/>
          <w:szCs w:val="32"/>
        </w:rPr>
        <w:t>《</w:t>
      </w:r>
      <w:r>
        <w:rPr>
          <w:rFonts w:hint="eastAsia" w:ascii="仿宋_GB2312" w:eastAsia="仿宋_GB2312"/>
          <w:sz w:val="32"/>
          <w:szCs w:val="32"/>
          <w:lang w:val="en-US" w:eastAsia="zh-CN"/>
        </w:rPr>
        <w:t>石油化学工业污染物排放标准</w:t>
      </w:r>
      <w:r>
        <w:rPr>
          <w:rFonts w:hint="eastAsia" w:ascii="仿宋_GB2312" w:eastAsia="仿宋_GB2312"/>
          <w:sz w:val="32"/>
          <w:szCs w:val="32"/>
        </w:rPr>
        <w:t>》（GB3157</w:t>
      </w:r>
      <w:r>
        <w:rPr>
          <w:rFonts w:hint="eastAsia" w:ascii="仿宋_GB2312" w:eastAsia="仿宋_GB2312"/>
          <w:sz w:val="32"/>
          <w:szCs w:val="32"/>
          <w:lang w:val="en-US" w:eastAsia="zh-CN"/>
        </w:rPr>
        <w:t>1</w:t>
      </w:r>
      <w:r>
        <w:rPr>
          <w:rFonts w:hint="eastAsia" w:ascii="仿宋_GB2312" w:eastAsia="仿宋_GB2312"/>
          <w:sz w:val="32"/>
          <w:szCs w:val="32"/>
        </w:rPr>
        <w:t>-2015）</w:t>
      </w:r>
      <w:r>
        <w:rPr>
          <w:rFonts w:hint="eastAsia" w:ascii="仿宋_GB2312" w:eastAsia="仿宋_GB2312"/>
          <w:sz w:val="32"/>
          <w:szCs w:val="32"/>
          <w:lang w:val="en-US" w:eastAsia="zh-CN"/>
        </w:rPr>
        <w:t>中限值要求。食堂油烟通过油烟净化器处理后执行《饮食业油烟排放标准》（GB18483-2001）最高允许排放浓度。</w:t>
      </w:r>
    </w:p>
    <w:p>
      <w:pPr>
        <w:pageBreakBefore w:val="0"/>
        <w:widowControl w:val="0"/>
        <w:kinsoku/>
        <w:wordWrap/>
        <w:overflowPunct/>
        <w:topLinePunct w:val="0"/>
        <w:autoSpaceDN/>
        <w:bidi w:val="0"/>
        <w:spacing w:line="52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s="仿宋"/>
          <w:color w:val="000000"/>
          <w:sz w:val="32"/>
          <w:szCs w:val="32"/>
        </w:rPr>
        <w:t>采取有效措施严格控制项目废气无组织排放，</w:t>
      </w:r>
      <w:r>
        <w:rPr>
          <w:rFonts w:ascii="仿宋_GB2312" w:eastAsia="仿宋_GB2312"/>
          <w:sz w:val="32"/>
          <w:szCs w:val="32"/>
        </w:rPr>
        <w:t>厂界</w:t>
      </w:r>
      <w:r>
        <w:rPr>
          <w:rFonts w:hint="eastAsia" w:ascii="仿宋_GB2312" w:eastAsia="仿宋_GB2312"/>
          <w:sz w:val="32"/>
          <w:szCs w:val="32"/>
          <w:lang w:val="en-US" w:eastAsia="zh-CN"/>
        </w:rPr>
        <w:t>TVOC</w:t>
      </w:r>
      <w:r>
        <w:rPr>
          <w:rFonts w:ascii="仿宋_GB2312" w:eastAsia="仿宋_GB2312"/>
          <w:sz w:val="32"/>
          <w:szCs w:val="32"/>
        </w:rPr>
        <w:t>执行</w:t>
      </w:r>
      <w:r>
        <w:rPr>
          <w:rFonts w:hint="eastAsia" w:ascii="仿宋_GB2312" w:eastAsia="仿宋_GB2312"/>
          <w:sz w:val="32"/>
          <w:szCs w:val="32"/>
          <w:lang w:eastAsia="zh-CN"/>
        </w:rPr>
        <w:t>《</w:t>
      </w:r>
      <w:r>
        <w:rPr>
          <w:rFonts w:hint="eastAsia" w:ascii="仿宋_GB2312" w:eastAsia="仿宋_GB2312"/>
          <w:sz w:val="32"/>
          <w:szCs w:val="32"/>
          <w:lang w:val="en-US" w:eastAsia="zh-CN"/>
        </w:rPr>
        <w:t>挥发性有机物排放标准 第2部分：有机化工行业</w:t>
      </w:r>
      <w:r>
        <w:rPr>
          <w:rFonts w:hint="eastAsia" w:ascii="仿宋_GB2312" w:eastAsia="仿宋_GB2312"/>
          <w:sz w:val="32"/>
          <w:szCs w:val="32"/>
          <w:lang w:eastAsia="zh-CN"/>
        </w:rPr>
        <w:t>》（</w:t>
      </w:r>
      <w:r>
        <w:rPr>
          <w:rFonts w:hint="eastAsia" w:ascii="仿宋_GB2312" w:eastAsia="仿宋_GB2312"/>
          <w:sz w:val="32"/>
          <w:szCs w:val="32"/>
          <w:lang w:val="en-US" w:eastAsia="zh-CN"/>
        </w:rPr>
        <w:t>DB36/1101.2-2019</w:t>
      </w:r>
      <w:r>
        <w:rPr>
          <w:rFonts w:hint="eastAsia" w:ascii="仿宋_GB2312" w:eastAsia="仿宋_GB2312"/>
          <w:sz w:val="32"/>
          <w:szCs w:val="32"/>
          <w:lang w:eastAsia="zh-CN"/>
        </w:rPr>
        <w:t>）</w:t>
      </w:r>
      <w:r>
        <w:rPr>
          <w:rFonts w:hint="eastAsia" w:ascii="仿宋_GB2312" w:eastAsia="仿宋_GB2312"/>
          <w:sz w:val="32"/>
          <w:szCs w:val="32"/>
          <w:lang w:val="en-US" w:eastAsia="zh-CN"/>
        </w:rPr>
        <w:t>中无组织排放监控浓度限值要求</w:t>
      </w:r>
      <w:r>
        <w:rPr>
          <w:rFonts w:hint="eastAsia" w:ascii="仿宋_GB2312" w:eastAsia="仿宋_GB2312"/>
          <w:sz w:val="32"/>
          <w:szCs w:val="32"/>
        </w:rPr>
        <w:t>，</w:t>
      </w:r>
      <w:r>
        <w:rPr>
          <w:rFonts w:hint="eastAsia" w:ascii="仿宋_GB2312" w:eastAsia="仿宋_GB2312"/>
          <w:sz w:val="32"/>
          <w:szCs w:val="32"/>
          <w:lang w:val="en-US" w:eastAsia="zh-CN"/>
        </w:rPr>
        <w:t>厂房外无组织TVOC执行《挥发性有机物无组织排放控制标准》（GB37822-2019）中有关要求；厂界颗粒物执行</w:t>
      </w:r>
      <w:r>
        <w:rPr>
          <w:rFonts w:hint="eastAsia" w:ascii="仿宋_GB2312" w:eastAsia="仿宋_GB2312"/>
          <w:sz w:val="32"/>
          <w:szCs w:val="32"/>
        </w:rPr>
        <w:t>《</w:t>
      </w:r>
      <w:r>
        <w:rPr>
          <w:rFonts w:hint="eastAsia" w:ascii="仿宋_GB2312" w:eastAsia="仿宋_GB2312"/>
          <w:sz w:val="32"/>
          <w:szCs w:val="32"/>
          <w:lang w:val="en-US" w:eastAsia="zh-CN"/>
        </w:rPr>
        <w:t>石油化学工业污染物排放标准</w:t>
      </w:r>
      <w:r>
        <w:rPr>
          <w:rFonts w:hint="eastAsia" w:ascii="仿宋_GB2312" w:eastAsia="仿宋_GB2312"/>
          <w:sz w:val="32"/>
          <w:szCs w:val="32"/>
        </w:rPr>
        <w:t>》（GB3157</w:t>
      </w:r>
      <w:r>
        <w:rPr>
          <w:rFonts w:hint="eastAsia" w:ascii="仿宋_GB2312" w:eastAsia="仿宋_GB2312"/>
          <w:sz w:val="32"/>
          <w:szCs w:val="32"/>
          <w:lang w:val="en-US" w:eastAsia="zh-CN"/>
        </w:rPr>
        <w:t>1</w:t>
      </w:r>
      <w:r>
        <w:rPr>
          <w:rFonts w:hint="eastAsia" w:ascii="仿宋_GB2312" w:eastAsia="仿宋_GB2312"/>
          <w:sz w:val="32"/>
          <w:szCs w:val="32"/>
        </w:rPr>
        <w:t>-2015）</w:t>
      </w:r>
      <w:r>
        <w:rPr>
          <w:rFonts w:hint="eastAsia" w:ascii="仿宋_GB2312" w:eastAsia="仿宋_GB2312"/>
          <w:sz w:val="32"/>
          <w:szCs w:val="32"/>
          <w:lang w:val="en-US" w:eastAsia="zh-CN"/>
        </w:rPr>
        <w:t>中无组织排放监控浓度限值要求</w:t>
      </w:r>
      <w:r>
        <w:rPr>
          <w:rFonts w:ascii="仿宋_GB2312" w:eastAsia="仿宋_GB2312"/>
          <w:color w:val="000000" w:themeColor="text1"/>
          <w:sz w:val="32"/>
          <w:szCs w:val="32"/>
          <w14:textFill>
            <w14:solidFill>
              <w14:schemeClr w14:val="tx1"/>
            </w14:solidFill>
          </w14:textFill>
        </w:rPr>
        <w:t>。</w:t>
      </w:r>
    </w:p>
    <w:p>
      <w:pPr>
        <w:pStyle w:val="13"/>
        <w:pageBreakBefore w:val="0"/>
        <w:widowControl w:val="0"/>
        <w:kinsoku/>
        <w:wordWrap/>
        <w:overflowPunct/>
        <w:topLinePunct w:val="0"/>
        <w:autoSpaceDN/>
        <w:bidi w:val="0"/>
        <w:spacing w:after="0" w:line="520" w:lineRule="exact"/>
        <w:textAlignment w:val="auto"/>
        <w:rPr>
          <w:rFonts w:hint="default"/>
          <w:lang w:val="en-US"/>
        </w:rPr>
      </w:pPr>
      <w:r>
        <w:rPr>
          <w:rFonts w:hint="eastAsia" w:ascii="仿宋_GB2312" w:hAnsi="宋体" w:eastAsia="仿宋_GB2312" w:cs="仿宋_GB2312"/>
          <w:snapToGrid w:val="0"/>
          <w:color w:val="auto"/>
          <w:spacing w:val="4"/>
          <w:kern w:val="2"/>
          <w:sz w:val="32"/>
          <w:szCs w:val="32"/>
          <w:lang w:val="en-US" w:eastAsia="zh-CN" w:bidi="ar-SA"/>
        </w:rPr>
        <w:t>本项目厂区废气排放量为</w:t>
      </w:r>
      <w:r>
        <w:rPr>
          <w:rFonts w:hint="eastAsia" w:ascii="仿宋_GB2312" w:eastAsia="仿宋_GB2312" w:cs="仿宋_GB2312"/>
          <w:snapToGrid w:val="0"/>
          <w:color w:val="auto"/>
          <w:spacing w:val="4"/>
          <w:kern w:val="2"/>
          <w:sz w:val="32"/>
          <w:szCs w:val="32"/>
          <w:lang w:val="en-US" w:eastAsia="zh-CN" w:bidi="ar-SA"/>
        </w:rPr>
        <w:t>VOCs</w:t>
      </w:r>
      <w:r>
        <w:rPr>
          <w:rFonts w:hint="eastAsia" w:ascii="仿宋_GB2312" w:hAnsi="宋体" w:eastAsia="仿宋_GB2312" w:cs="仿宋_GB2312"/>
          <w:snapToGrid w:val="0"/>
          <w:color w:val="auto"/>
          <w:spacing w:val="4"/>
          <w:kern w:val="2"/>
          <w:sz w:val="32"/>
          <w:szCs w:val="32"/>
          <w:lang w:val="en-US" w:eastAsia="zh-CN" w:bidi="ar-SA"/>
        </w:rPr>
        <w:t>≤</w:t>
      </w:r>
      <w:r>
        <w:rPr>
          <w:rFonts w:hint="eastAsia" w:ascii="仿宋_GB2312" w:eastAsia="仿宋_GB2312" w:cs="仿宋_GB2312"/>
          <w:snapToGrid w:val="0"/>
          <w:color w:val="auto"/>
          <w:spacing w:val="4"/>
          <w:kern w:val="2"/>
          <w:sz w:val="32"/>
          <w:szCs w:val="32"/>
          <w:lang w:val="en-US" w:eastAsia="zh-CN" w:bidi="ar-SA"/>
        </w:rPr>
        <w:t>3.385t/a,</w:t>
      </w:r>
      <w:r>
        <w:rPr>
          <w:rFonts w:hint="eastAsia" w:ascii="仿宋_GB2312" w:hAnsi="宋体" w:eastAsia="仿宋_GB2312" w:cs="仿宋_GB2312"/>
          <w:snapToGrid w:val="0"/>
          <w:color w:val="auto"/>
          <w:spacing w:val="4"/>
          <w:kern w:val="2"/>
          <w:sz w:val="32"/>
          <w:szCs w:val="32"/>
          <w:lang w:val="en-US" w:eastAsia="zh-CN" w:bidi="ar-SA"/>
        </w:rPr>
        <w:t>NO</w:t>
      </w:r>
      <w:r>
        <w:rPr>
          <w:rFonts w:hint="eastAsia" w:ascii="仿宋_GB2312" w:hAnsi="宋体" w:eastAsia="仿宋_GB2312" w:cs="仿宋_GB2312"/>
          <w:snapToGrid w:val="0"/>
          <w:color w:val="auto"/>
          <w:spacing w:val="4"/>
          <w:kern w:val="2"/>
          <w:sz w:val="32"/>
          <w:szCs w:val="32"/>
          <w:vertAlign w:val="subscript"/>
          <w:lang w:val="en-US" w:eastAsia="zh-CN" w:bidi="ar-SA"/>
        </w:rPr>
        <w:t>X</w:t>
      </w:r>
      <w:r>
        <w:rPr>
          <w:rFonts w:hint="eastAsia" w:ascii="仿宋_GB2312" w:hAnsi="宋体" w:eastAsia="仿宋_GB2312" w:cs="仿宋_GB2312"/>
          <w:snapToGrid w:val="0"/>
          <w:color w:val="auto"/>
          <w:spacing w:val="4"/>
          <w:kern w:val="2"/>
          <w:sz w:val="32"/>
          <w:szCs w:val="32"/>
          <w:lang w:val="en-US" w:eastAsia="zh-CN" w:bidi="ar-SA"/>
        </w:rPr>
        <w:t>≤</w:t>
      </w:r>
      <w:r>
        <w:rPr>
          <w:rFonts w:hint="eastAsia" w:ascii="仿宋_GB2312" w:eastAsia="仿宋_GB2312" w:cs="仿宋_GB2312"/>
          <w:snapToGrid w:val="0"/>
          <w:color w:val="auto"/>
          <w:spacing w:val="4"/>
          <w:kern w:val="2"/>
          <w:sz w:val="32"/>
          <w:szCs w:val="32"/>
          <w:lang w:val="en-US" w:eastAsia="zh-CN" w:bidi="ar-SA"/>
        </w:rPr>
        <w:t>0.381t/a。</w:t>
      </w:r>
    </w:p>
    <w:p>
      <w:pPr>
        <w:pageBreakBefore w:val="0"/>
        <w:widowControl w:val="0"/>
        <w:kinsoku/>
        <w:wordWrap/>
        <w:overflowPunct/>
        <w:topLinePunct w:val="0"/>
        <w:autoSpaceDE w:val="0"/>
        <w:autoSpaceDN/>
        <w:bidi w:val="0"/>
        <w:adjustRightInd w:val="0"/>
        <w:snapToGrid w:val="0"/>
        <w:spacing w:line="520" w:lineRule="exact"/>
        <w:ind w:firstLine="640" w:firstLineChars="200"/>
        <w:textAlignment w:val="auto"/>
        <w:rPr>
          <w:rFonts w:ascii="仿宋_GB2312" w:eastAsia="仿宋_GB2312"/>
          <w:kern w:val="0"/>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）严格落实声环境保护措施。</w:t>
      </w:r>
      <w:r>
        <w:rPr>
          <w:rFonts w:hint="eastAsia" w:ascii="仿宋_GB2312" w:eastAsia="仿宋_GB2312"/>
          <w:sz w:val="32"/>
          <w:szCs w:val="32"/>
        </w:rPr>
        <w:t>优先选用低噪声设备，优化高噪声设备布局，采取消声、隔声、减振等降噪措施，</w:t>
      </w:r>
      <w:r>
        <w:rPr>
          <w:rFonts w:hint="eastAsia" w:ascii="仿宋_GB2312" w:eastAsia="仿宋_GB2312"/>
          <w:kern w:val="0"/>
          <w:sz w:val="32"/>
          <w:szCs w:val="32"/>
        </w:rPr>
        <w:t>厂界噪声执行《工业企业厂界环境噪声排放标准》（GB12348-2008）3类标准要求。</w:t>
      </w:r>
    </w:p>
    <w:p>
      <w:pPr>
        <w:pageBreakBefore w:val="0"/>
        <w:widowControl w:val="0"/>
        <w:kinsoku/>
        <w:wordWrap/>
        <w:overflowPunct/>
        <w:topLinePunct w:val="0"/>
        <w:autoSpaceDN/>
        <w:bidi w:val="0"/>
        <w:spacing w:line="520" w:lineRule="exact"/>
        <w:ind w:firstLine="680"/>
        <w:textAlignment w:val="auto"/>
        <w:rPr>
          <w:rFonts w:ascii="仿宋_GB2312" w:hAnsi="仿宋" w:eastAsia="仿宋_GB2312" w:cs="仿宋"/>
          <w:color w:val="FF0000"/>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）严格落实固体废物污染防治措施。</w:t>
      </w:r>
      <w:r>
        <w:rPr>
          <w:rFonts w:hint="eastAsia" w:ascii="仿宋_GB2312" w:hAnsi="仿宋" w:eastAsia="仿宋_GB2312" w:cs="仿宋"/>
          <w:color w:val="000000"/>
          <w:sz w:val="32"/>
          <w:szCs w:val="32"/>
        </w:rPr>
        <w:t>应按“资源化、减量化、无害化”处置原则，认真落实固废分类收集、处置和综合利用措施。产生的一般工业固体废物应合法处置，危险废物委托有资质单位处理，生活垃圾收集后由当地环卫部门送生活垃圾填埋场卫生填埋。</w:t>
      </w:r>
    </w:p>
    <w:p>
      <w:pPr>
        <w:pStyle w:val="22"/>
        <w:pageBreakBefore w:val="0"/>
        <w:widowControl w:val="0"/>
        <w:kinsoku/>
        <w:wordWrap/>
        <w:overflowPunct/>
        <w:topLinePunct w:val="0"/>
        <w:autoSpaceDN/>
        <w:bidi w:val="0"/>
        <w:spacing w:line="520" w:lineRule="exact"/>
        <w:ind w:firstLine="640"/>
        <w:textAlignment w:val="auto"/>
        <w:rPr>
          <w:rFonts w:ascii="仿宋_GB2312" w:eastAsia="仿宋_GB2312"/>
          <w:sz w:val="32"/>
          <w:szCs w:val="32"/>
        </w:rPr>
      </w:pPr>
      <w:r>
        <w:rPr>
          <w:rFonts w:hint="eastAsia" w:ascii="仿宋_GB2312" w:hAnsi="仿宋" w:eastAsia="仿宋_GB2312" w:cs="仿宋"/>
          <w:sz w:val="32"/>
          <w:szCs w:val="32"/>
        </w:rPr>
        <w:t>应在厂区内设置足够容积的一般工业固体废物暂存库及危险废物暂存间。一般工业固体废物综合利用或合理处置，一般工业固体废物临时堆场的设计、建设和运行须满足《一般工业固体废物贮存和填埋污染控制标准》（GB18599-2020）要求。危险废物委托有资质单位处理，危险废物暂存场的设计、建设和运行须满足《危险物贮存污染控制标准》(GB18597-2001)及修改单要求。</w:t>
      </w:r>
    </w:p>
    <w:p>
      <w:pPr>
        <w:pageBreakBefore w:val="0"/>
        <w:widowControl w:val="0"/>
        <w:kinsoku/>
        <w:wordWrap/>
        <w:overflowPunct/>
        <w:topLinePunct w:val="0"/>
        <w:autoSpaceDE w:val="0"/>
        <w:autoSpaceDN/>
        <w:bidi w:val="0"/>
        <w:spacing w:line="52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）严格落实土壤及地下水污染防治措施。</w:t>
      </w:r>
      <w:r>
        <w:rPr>
          <w:rFonts w:hint="eastAsia" w:ascii="仿宋_GB2312" w:eastAsia="仿宋_GB2312"/>
          <w:sz w:val="32"/>
          <w:szCs w:val="32"/>
        </w:rPr>
        <w:t>按照“源头防控、分区防治、污染监控、应急响应”的原则进行土壤和地下水污染防治。严格按照环境影响报告书有关要求采取分区防渗措施。管线敷设尽量“可视化”。加强防渗设施的日常维护，对出现损害的防渗设施应及时修复和加固，确保防渗设施牢固安全。加强隐蔽工程泄漏检测，一旦发现泄漏，应立即采取补救措施，防止污染土壤和地下水。</w:t>
      </w:r>
    </w:p>
    <w:p>
      <w:pPr>
        <w:pageBreakBefore w:val="0"/>
        <w:widowControl w:val="0"/>
        <w:kinsoku/>
        <w:wordWrap/>
        <w:overflowPunct/>
        <w:topLinePunct w:val="0"/>
        <w:autoSpaceDE w:val="0"/>
        <w:autoSpaceDN/>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建立完善的土壤和地下水监测制度。根据重点污染防治区平面布置、地下水流向，合理设置土壤和地下水监测井，严格落实土壤和地下水监测计划。一旦出现土壤或地下水污染，立即启动应急预案和应急措施，减少对土壤和地下水的不利环境影响。</w:t>
      </w:r>
    </w:p>
    <w:p>
      <w:pPr>
        <w:pageBreakBefore w:val="0"/>
        <w:widowControl w:val="0"/>
        <w:kinsoku/>
        <w:wordWrap/>
        <w:overflowPunct/>
        <w:topLinePunct w:val="0"/>
        <w:autoSpaceDN/>
        <w:bidi w:val="0"/>
        <w:spacing w:line="520" w:lineRule="exact"/>
        <w:ind w:firstLine="640" w:firstLineChars="200"/>
        <w:textAlignment w:val="auto"/>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rPr>
        <w:t>）强化各项环境风险防治要求。</w:t>
      </w:r>
      <w:r>
        <w:rPr>
          <w:rFonts w:hint="eastAsia" w:ascii="仿宋_GB2312" w:eastAsia="仿宋_GB2312"/>
          <w:sz w:val="32"/>
          <w:szCs w:val="32"/>
        </w:rPr>
        <w:t>严格落实报告书和评估意见提出的各项环境风险防控措施。</w:t>
      </w:r>
      <w:r>
        <w:rPr>
          <w:rFonts w:hint="eastAsia" w:ascii="仿宋_GB2312" w:hAnsi="宋体" w:eastAsia="仿宋_GB2312"/>
          <w:color w:val="000000"/>
          <w:sz w:val="32"/>
          <w:szCs w:val="32"/>
        </w:rPr>
        <w:t>加强设备预防性维修，经常检查易腐蚀部位，设备及管道保持密封，防止有害物质“跑冒滴漏”，</w:t>
      </w:r>
      <w:r>
        <w:rPr>
          <w:rFonts w:hint="eastAsia" w:ascii="仿宋_GB2312" w:eastAsia="仿宋_GB2312"/>
          <w:sz w:val="32"/>
          <w:szCs w:val="32"/>
        </w:rPr>
        <w:t>设置围堰、防渗排水沟，</w:t>
      </w:r>
      <w:r>
        <w:rPr>
          <w:rFonts w:hint="eastAsia" w:ascii="仿宋_GB2312" w:hAnsi="宋体" w:eastAsia="仿宋_GB2312"/>
          <w:color w:val="000000"/>
          <w:sz w:val="32"/>
          <w:szCs w:val="32"/>
        </w:rPr>
        <w:t>一旦发生事故立即停产。</w:t>
      </w:r>
      <w:r>
        <w:rPr>
          <w:rFonts w:hint="eastAsia" w:ascii="仿宋_GB2312" w:eastAsia="仿宋_GB2312"/>
          <w:sz w:val="32"/>
          <w:szCs w:val="32"/>
        </w:rPr>
        <w:t>按环评要求规范保障足够容积的事故应急设施，事故收集装置正常情况下必须空置，一旦发生突发性事故时，企业必须立即停产，启用收集设施收集事故下的废水，待该收集池内废水全部处理完后方可恢复生产，确保突发性事故产生的各类废液、废水不进入外环境。健全企业环境风险防范与应急管理体系，制定全厂环境风险防控措施和突发环境事件应急预案，做好应急设施的检查维护，配套足够的应急物资，特别是有毒有害气体泄漏风险防范和应急处置措施、物资要保障到位。突发环境事件应急预案（须报市、县生</w:t>
      </w:r>
      <w:r>
        <w:rPr>
          <w:rFonts w:hint="eastAsia" w:ascii="仿宋_GB2312" w:hAnsi="仿宋_GB2312" w:eastAsia="仿宋_GB2312" w:cs="仿宋_GB2312"/>
          <w:sz w:val="32"/>
          <w:szCs w:val="32"/>
        </w:rPr>
        <w:t>态环境部门备案）应与园区相邻企业、当地政府进行有效衔接，定期协同有关部门开展应急演练。</w:t>
      </w:r>
    </w:p>
    <w:p>
      <w:pPr>
        <w:pageBreakBefore w:val="0"/>
        <w:widowControl w:val="0"/>
        <w:kinsoku/>
        <w:wordWrap/>
        <w:overflowPunct/>
        <w:topLinePunct w:val="0"/>
        <w:autoSpaceDN/>
        <w:bidi w:val="0"/>
        <w:spacing w:line="52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七</w:t>
      </w:r>
      <w:r>
        <w:rPr>
          <w:rFonts w:hint="eastAsia" w:ascii="楷体_GB2312" w:hAnsi="楷体_GB2312" w:eastAsia="楷体_GB2312" w:cs="楷体_GB2312"/>
          <w:sz w:val="32"/>
          <w:szCs w:val="32"/>
        </w:rPr>
        <w:t>）排污口规范化和环境监测要求。</w:t>
      </w:r>
      <w:r>
        <w:rPr>
          <w:rFonts w:hint="eastAsia" w:ascii="仿宋_GB2312" w:hAnsi="仿宋" w:eastAsia="仿宋_GB2312" w:cs="仿宋"/>
          <w:sz w:val="32"/>
          <w:szCs w:val="32"/>
        </w:rPr>
        <w:t>你公司应按</w:t>
      </w:r>
      <w:r>
        <w:rPr>
          <w:rFonts w:hint="eastAsia" w:ascii="仿宋_GB2312" w:hAnsi="华文仿宋" w:eastAsia="仿宋_GB2312"/>
          <w:color w:val="000000"/>
          <w:sz w:val="32"/>
          <w:szCs w:val="32"/>
        </w:rPr>
        <w:t>要求设置废水、废气在线监控设施，并与当地生态环境部门联网，同时</w:t>
      </w:r>
      <w:r>
        <w:rPr>
          <w:rFonts w:hint="eastAsia" w:ascii="仿宋_GB2312" w:hAnsi="仿宋" w:eastAsia="仿宋_GB2312" w:cs="仿宋"/>
          <w:sz w:val="32"/>
          <w:szCs w:val="32"/>
        </w:rPr>
        <w:t>按国家有关规定设置规范的污染物排放并建档，并设置永久监测采样口。</w:t>
      </w:r>
    </w:p>
    <w:p>
      <w:pPr>
        <w:pageBreakBefore w:val="0"/>
        <w:widowControl w:val="0"/>
        <w:kinsoku/>
        <w:wordWrap/>
        <w:overflowPunct/>
        <w:topLinePunct w:val="0"/>
        <w:autoSpaceDN/>
        <w:bidi w:val="0"/>
        <w:spacing w:line="520" w:lineRule="exact"/>
        <w:ind w:firstLine="640" w:firstLineChars="200"/>
        <w:textAlignment w:val="auto"/>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八</w:t>
      </w:r>
      <w:r>
        <w:rPr>
          <w:rFonts w:hint="eastAsia" w:ascii="楷体_GB2312" w:hAnsi="楷体_GB2312" w:eastAsia="楷体_GB2312" w:cs="楷体_GB2312"/>
          <w:sz w:val="32"/>
          <w:szCs w:val="32"/>
        </w:rPr>
        <w:t>）项目周围规划控制要求。</w:t>
      </w:r>
      <w:r>
        <w:rPr>
          <w:rFonts w:hint="eastAsia" w:ascii="仿宋_GB2312" w:eastAsia="仿宋_GB2312"/>
          <w:sz w:val="32"/>
          <w:szCs w:val="32"/>
        </w:rPr>
        <w:t>根据环境影响报告书结论</w:t>
      </w:r>
      <w:r>
        <w:rPr>
          <w:rFonts w:hint="eastAsia" w:ascii="仿宋_GB2312" w:eastAsia="仿宋_GB2312"/>
          <w:color w:val="000000"/>
          <w:sz w:val="32"/>
          <w:szCs w:val="32"/>
        </w:rPr>
        <w:t>，确定</w:t>
      </w:r>
      <w:r>
        <w:rPr>
          <w:rFonts w:hint="eastAsia" w:ascii="仿宋_GB2312" w:eastAsia="仿宋_GB2312"/>
          <w:color w:val="000000"/>
          <w:sz w:val="32"/>
          <w:szCs w:val="32"/>
          <w:lang w:val="en-US" w:eastAsia="zh-CN"/>
        </w:rPr>
        <w:t>本项目对破碎车间设置卫生防护距离50m，对裂解车间和储罐区设置卫生防护距离100m</w:t>
      </w:r>
      <w:r>
        <w:rPr>
          <w:rFonts w:hint="eastAsia" w:ascii="仿宋_GB2312" w:eastAsia="仿宋_GB2312"/>
          <w:color w:val="000000"/>
          <w:sz w:val="32"/>
          <w:szCs w:val="32"/>
        </w:rPr>
        <w:t>。你公司应配合规划部门</w:t>
      </w:r>
      <w:r>
        <w:rPr>
          <w:rFonts w:hint="eastAsia" w:ascii="仿宋_GB2312" w:hAnsi="仿宋" w:eastAsia="仿宋_GB2312" w:cs="仿宋"/>
          <w:sz w:val="32"/>
          <w:szCs w:val="32"/>
        </w:rPr>
        <w:t>，严格控制好本项目周边规划，</w:t>
      </w:r>
      <w:r>
        <w:rPr>
          <w:rFonts w:hint="eastAsia" w:ascii="仿宋_GB2312" w:eastAsia="仿宋_GB2312"/>
          <w:kern w:val="0"/>
          <w:sz w:val="32"/>
          <w:szCs w:val="32"/>
        </w:rPr>
        <w:t>项目防护距离范围内不得新设居民区、学校、医院等环境敏感点。</w:t>
      </w:r>
    </w:p>
    <w:p>
      <w:pPr>
        <w:pageBreakBefore w:val="0"/>
        <w:widowControl w:val="0"/>
        <w:kinsoku/>
        <w:wordWrap/>
        <w:overflowPunct/>
        <w:topLinePunct w:val="0"/>
        <w:autoSpaceDE w:val="0"/>
        <w:autoSpaceDN/>
        <w:bidi w:val="0"/>
        <w:adjustRightInd w:val="0"/>
        <w:snapToGrid w:val="0"/>
        <w:spacing w:line="52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九</w:t>
      </w:r>
      <w:r>
        <w:rPr>
          <w:rFonts w:hint="eastAsia" w:ascii="楷体_GB2312" w:hAnsi="楷体_GB2312" w:eastAsia="楷体_GB2312" w:cs="楷体_GB2312"/>
          <w:kern w:val="0"/>
          <w:sz w:val="32"/>
          <w:szCs w:val="32"/>
        </w:rPr>
        <w:t>）公众参与要求。</w:t>
      </w:r>
      <w:r>
        <w:rPr>
          <w:rFonts w:hint="eastAsia" w:ascii="仿宋_GB2312" w:eastAsia="仿宋_GB2312"/>
          <w:kern w:val="0"/>
          <w:sz w:val="32"/>
          <w:szCs w:val="32"/>
        </w:rPr>
        <w:t>在项目施工和运营过程中，按规定发布企业环境保护信息，自觉接受社会监督。建立畅通的公众参与渠道，加强宣传与沟通工作，及时解决公众反映的环境问题，满足公众合理的环境保护要求。</w:t>
      </w:r>
    </w:p>
    <w:p>
      <w:pPr>
        <w:pStyle w:val="17"/>
        <w:pageBreakBefore w:val="0"/>
        <w:widowControl w:val="0"/>
        <w:numPr>
          <w:ilvl w:val="0"/>
          <w:numId w:val="1"/>
        </w:numPr>
        <w:kinsoku/>
        <w:wordWrap/>
        <w:overflowPunct/>
        <w:topLinePunct w:val="0"/>
        <w:autoSpaceDN/>
        <w:bidi w:val="0"/>
        <w:spacing w:before="0" w:after="0" w:line="520" w:lineRule="exact"/>
        <w:ind w:firstLine="640" w:firstLineChars="200"/>
        <w:textAlignment w:val="auto"/>
        <w:rPr>
          <w:rFonts w:ascii="黑体" w:hAnsi="黑体" w:eastAsia="黑体" w:cs="黑体"/>
          <w:b w:val="0"/>
          <w:bCs w:val="0"/>
          <w:szCs w:val="32"/>
        </w:rPr>
      </w:pPr>
      <w:r>
        <w:rPr>
          <w:rFonts w:hint="eastAsia" w:ascii="黑体" w:hAnsi="黑体" w:eastAsia="黑体" w:cs="黑体"/>
          <w:b w:val="0"/>
          <w:bCs w:val="0"/>
          <w:szCs w:val="32"/>
        </w:rPr>
        <w:t>项目建设和竣工验收的环保要求</w:t>
      </w:r>
    </w:p>
    <w:p>
      <w:pPr>
        <w:pageBreakBefore w:val="0"/>
        <w:widowControl w:val="0"/>
        <w:kinsoku/>
        <w:wordWrap/>
        <w:overflowPunct/>
        <w:topLinePunct w:val="0"/>
        <w:autoSpaceDE w:val="0"/>
        <w:autoSpaceDN/>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项目初步设计阶段应进一步优化细化环境保护设施，在环保篇章中落实生态环境保护的各项措施及投资。在施工招标文件、施工合同和工程监理招标文件中明确环保条款和责任。项目建设必须严格执行环境保护设施与主体工程同时设计、同时施工、同时投入使用的环境保护“三同时”制度。</w:t>
      </w:r>
    </w:p>
    <w:p>
      <w:pPr>
        <w:pageBreakBefore w:val="0"/>
        <w:widowControl w:val="0"/>
        <w:kinsoku/>
        <w:wordWrap/>
        <w:overflowPunct/>
        <w:topLinePunct w:val="0"/>
        <w:autoSpaceDE w:val="0"/>
        <w:autoSpaceDN/>
        <w:bidi w:val="0"/>
        <w:spacing w:line="520" w:lineRule="exact"/>
        <w:ind w:firstLine="640" w:firstLineChars="200"/>
        <w:textAlignment w:val="auto"/>
        <w:rPr>
          <w:rFonts w:ascii="CESI黑体-GB2312" w:hAnsi="CESI黑体-GB2312" w:eastAsia="CESI黑体-GB2312" w:cs="CESI黑体-GB2312"/>
          <w:sz w:val="32"/>
          <w:szCs w:val="32"/>
        </w:rPr>
      </w:pPr>
      <w:r>
        <w:rPr>
          <w:rFonts w:hint="eastAsia" w:ascii="仿宋_GB2312" w:eastAsia="仿宋_GB2312"/>
          <w:sz w:val="32"/>
          <w:szCs w:val="32"/>
        </w:rPr>
        <w:t>项目竣工后，你公司应按照有关规定对配套建设的环保设施进行验收，并依法向社会公开，未经验收或验收不合格不得投入使用。你公司在开展环保设施验收过程中应如实查验、监测、记载项目环境保护设施的建设和调试情况，不得弄虚作假。</w:t>
      </w:r>
    </w:p>
    <w:p>
      <w:pPr>
        <w:pStyle w:val="17"/>
        <w:pageBreakBefore w:val="0"/>
        <w:widowControl w:val="0"/>
        <w:numPr>
          <w:ilvl w:val="0"/>
          <w:numId w:val="1"/>
        </w:numPr>
        <w:kinsoku/>
        <w:wordWrap/>
        <w:overflowPunct/>
        <w:topLinePunct w:val="0"/>
        <w:autoSpaceDN/>
        <w:bidi w:val="0"/>
        <w:spacing w:before="0" w:after="0" w:line="520" w:lineRule="exact"/>
        <w:ind w:firstLine="640" w:firstLineChars="200"/>
        <w:textAlignment w:val="auto"/>
        <w:rPr>
          <w:rFonts w:ascii="黑体" w:hAnsi="黑体" w:eastAsia="黑体" w:cs="黑体"/>
          <w:b w:val="0"/>
          <w:bCs w:val="0"/>
          <w:szCs w:val="32"/>
        </w:rPr>
      </w:pPr>
      <w:r>
        <w:rPr>
          <w:rFonts w:hint="eastAsia" w:ascii="黑体" w:hAnsi="黑体" w:eastAsia="黑体" w:cs="黑体"/>
          <w:b w:val="0"/>
          <w:bCs w:val="0"/>
          <w:szCs w:val="32"/>
        </w:rPr>
        <w:t>其他环保要求</w:t>
      </w:r>
    </w:p>
    <w:p>
      <w:pPr>
        <w:pageBreakBefore w:val="0"/>
        <w:widowControl w:val="0"/>
        <w:kinsoku/>
        <w:wordWrap/>
        <w:overflowPunct/>
        <w:topLinePunct w:val="0"/>
        <w:autoSpaceDE w:val="0"/>
        <w:autoSpaceDN/>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楷体" w:hAnsi="楷体" w:eastAsia="楷体" w:cs="楷体"/>
          <w:sz w:val="32"/>
          <w:szCs w:val="32"/>
        </w:rPr>
        <w:t>一）项目变更环保要求。</w:t>
      </w:r>
      <w:r>
        <w:rPr>
          <w:rFonts w:hint="eastAsia" w:ascii="仿宋_GB2312" w:eastAsia="仿宋_GB2312"/>
          <w:sz w:val="32"/>
          <w:szCs w:val="32"/>
        </w:rPr>
        <w:t>本项目批准后，若项目建设性质、规模、地点、内容、采用的生产工艺或者防治污染的措施等发生重大变化应重新报批环境影响评价文件，审批后超过5年方动工建设的，应当报我局重新审核。</w:t>
      </w:r>
    </w:p>
    <w:p>
      <w:pPr>
        <w:pageBreakBefore w:val="0"/>
        <w:widowControl w:val="0"/>
        <w:kinsoku/>
        <w:wordWrap/>
        <w:overflowPunct/>
        <w:topLinePunct w:val="0"/>
        <w:autoSpaceDE w:val="0"/>
        <w:autoSpaceDN/>
        <w:bidi w:val="0"/>
        <w:spacing w:line="520" w:lineRule="exact"/>
        <w:ind w:firstLine="640" w:firstLineChars="200"/>
        <w:textAlignment w:val="auto"/>
        <w:rPr>
          <w:rFonts w:ascii="仿宋_GB2312" w:eastAsia="仿宋_GB2312"/>
          <w:sz w:val="32"/>
          <w:szCs w:val="32"/>
        </w:rPr>
      </w:pPr>
      <w:r>
        <w:rPr>
          <w:rFonts w:hint="eastAsia" w:ascii="楷体" w:hAnsi="楷体" w:eastAsia="楷体" w:cs="楷体"/>
          <w:sz w:val="32"/>
          <w:szCs w:val="32"/>
        </w:rPr>
        <w:t>（二）排污许可要求。</w:t>
      </w:r>
      <w:r>
        <w:rPr>
          <w:rFonts w:hint="eastAsia" w:ascii="仿宋_GB2312" w:eastAsia="仿宋_GB2312"/>
          <w:sz w:val="32"/>
          <w:szCs w:val="32"/>
        </w:rPr>
        <w:t>在启动生产设施或者发生实际排污行为前，按照经批准的环境影响评价文件认真梳理并确认各项环境保护措施落实后，依法申领排污许可证。建立与项目环境保护工作需求相适应的环境管理团队，完善企业各项环境管理制度，加强环境管理，做到依证排污。</w:t>
      </w:r>
    </w:p>
    <w:p>
      <w:pPr>
        <w:pageBreakBefore w:val="0"/>
        <w:widowControl w:val="0"/>
        <w:kinsoku/>
        <w:wordWrap/>
        <w:overflowPunct/>
        <w:topLinePunct w:val="0"/>
        <w:autoSpaceDE w:val="0"/>
        <w:autoSpaceDN/>
        <w:bidi w:val="0"/>
        <w:spacing w:line="520" w:lineRule="exact"/>
        <w:ind w:firstLine="640" w:firstLineChars="200"/>
        <w:textAlignment w:val="auto"/>
        <w:rPr>
          <w:rFonts w:ascii="仿宋_GB2312" w:eastAsia="仿宋_GB2312"/>
          <w:sz w:val="32"/>
          <w:szCs w:val="32"/>
        </w:rPr>
      </w:pPr>
      <w:r>
        <w:rPr>
          <w:rFonts w:hint="eastAsia" w:ascii="楷体" w:hAnsi="楷体" w:eastAsia="楷体" w:cs="楷体"/>
          <w:sz w:val="32"/>
          <w:szCs w:val="32"/>
        </w:rPr>
        <w:t>（三）日常环保监管。</w:t>
      </w:r>
      <w:r>
        <w:rPr>
          <w:rFonts w:hint="eastAsia" w:ascii="仿宋_GB2312" w:eastAsia="仿宋_GB2312"/>
          <w:sz w:val="32"/>
          <w:szCs w:val="32"/>
        </w:rPr>
        <w:t>请</w:t>
      </w:r>
      <w:r>
        <w:rPr>
          <w:rFonts w:hint="eastAsia" w:ascii="仿宋_GB2312" w:eastAsia="仿宋_GB2312"/>
          <w:sz w:val="32"/>
          <w:szCs w:val="32"/>
          <w:lang w:val="en-US" w:eastAsia="zh-CN"/>
        </w:rPr>
        <w:t>宜春市生态环境保护综合执法支队和</w:t>
      </w:r>
      <w:r>
        <w:rPr>
          <w:rFonts w:hint="eastAsia" w:ascii="仿宋_GB2312" w:eastAsia="仿宋_GB2312"/>
          <w:sz w:val="32"/>
          <w:szCs w:val="32"/>
        </w:rPr>
        <w:t>宜春市</w:t>
      </w:r>
      <w:r>
        <w:rPr>
          <w:rFonts w:hint="eastAsia" w:ascii="仿宋_GB2312" w:eastAsia="仿宋_GB2312"/>
          <w:sz w:val="32"/>
          <w:szCs w:val="32"/>
          <w:lang w:val="en-US" w:eastAsia="zh-CN"/>
        </w:rPr>
        <w:t>袁州</w:t>
      </w:r>
      <w:r>
        <w:rPr>
          <w:rFonts w:hint="eastAsia" w:ascii="仿宋_GB2312" w:eastAsia="仿宋_GB2312"/>
          <w:sz w:val="32"/>
          <w:szCs w:val="32"/>
        </w:rPr>
        <w:t>生态环境局负责该项目建设和运行的监管。你公司应在收到本批复后20个工作日内，将批准后的环境影响报告书送至宜春市</w:t>
      </w:r>
      <w:r>
        <w:rPr>
          <w:rFonts w:hint="eastAsia" w:ascii="仿宋_GB2312" w:eastAsia="仿宋_GB2312"/>
          <w:sz w:val="32"/>
          <w:szCs w:val="32"/>
          <w:lang w:val="en-US" w:eastAsia="zh-CN"/>
        </w:rPr>
        <w:t>袁州</w:t>
      </w:r>
      <w:r>
        <w:rPr>
          <w:rFonts w:hint="eastAsia" w:ascii="仿宋_GB2312" w:eastAsia="仿宋_GB2312"/>
          <w:sz w:val="32"/>
          <w:szCs w:val="32"/>
        </w:rPr>
        <w:t>生态环境局并按规定接受各级环保行政主管部门的监督检查。</w:t>
      </w:r>
    </w:p>
    <w:p>
      <w:pPr>
        <w:pStyle w:val="17"/>
        <w:pageBreakBefore w:val="0"/>
        <w:widowControl w:val="0"/>
        <w:kinsoku/>
        <w:wordWrap/>
        <w:overflowPunct/>
        <w:topLinePunct w:val="0"/>
        <w:autoSpaceDN/>
        <w:bidi w:val="0"/>
        <w:spacing w:line="560" w:lineRule="exact"/>
        <w:textAlignment w:val="auto"/>
        <w:outlineLvl w:val="9"/>
      </w:pPr>
    </w:p>
    <w:p>
      <w:pPr>
        <w:pStyle w:val="17"/>
        <w:pageBreakBefore w:val="0"/>
        <w:widowControl w:val="0"/>
        <w:kinsoku/>
        <w:wordWrap/>
        <w:overflowPunct/>
        <w:topLinePunct w:val="0"/>
        <w:autoSpaceDN/>
        <w:bidi w:val="0"/>
        <w:spacing w:line="560" w:lineRule="exact"/>
        <w:textAlignment w:val="auto"/>
        <w:outlineLvl w:val="9"/>
        <w:rPr>
          <w:rFonts w:ascii="CESI仿宋-GB2312" w:hAnsi="CESI仿宋-GB2312" w:eastAsia="CESI仿宋-GB2312" w:cs="CESI仿宋-GB2312"/>
          <w:b w:val="0"/>
          <w:bCs w:val="0"/>
          <w:szCs w:val="32"/>
        </w:rPr>
      </w:pPr>
    </w:p>
    <w:p>
      <w:pPr>
        <w:pageBreakBefore w:val="0"/>
        <w:widowControl w:val="0"/>
        <w:kinsoku/>
        <w:wordWrap/>
        <w:overflowPunct/>
        <w:topLinePunct w:val="0"/>
        <w:autoSpaceDN/>
        <w:bidi w:val="0"/>
        <w:spacing w:line="560" w:lineRule="exact"/>
        <w:textAlignment w:val="auto"/>
      </w:pPr>
    </w:p>
    <w:p>
      <w:pPr>
        <w:pageBreakBefore w:val="0"/>
        <w:widowControl w:val="0"/>
        <w:kinsoku/>
        <w:wordWrap/>
        <w:overflowPunct/>
        <w:topLinePunct w:val="0"/>
        <w:autoSpaceDN/>
        <w:bidi w:val="0"/>
        <w:spacing w:line="560" w:lineRule="exact"/>
        <w:ind w:right="1077"/>
        <w:jc w:val="right"/>
        <w:textAlignment w:val="auto"/>
        <w:rPr>
          <w:rFonts w:ascii="仿宋_GB2312" w:hAnsi="华文仿宋" w:eastAsia="仿宋_GB2312"/>
          <w:sz w:val="32"/>
          <w:szCs w:val="32"/>
        </w:rPr>
      </w:pPr>
      <w:r>
        <w:rPr>
          <w:rFonts w:hint="eastAsia" w:ascii="仿宋_GB2312" w:hAnsi="华文仿宋" w:eastAsia="仿宋_GB2312"/>
          <w:sz w:val="32"/>
          <w:szCs w:val="32"/>
        </w:rPr>
        <w:t>宜春市生态环境局</w:t>
      </w:r>
    </w:p>
    <w:p>
      <w:pPr>
        <w:keepNext w:val="0"/>
        <w:keepLines w:val="0"/>
        <w:pageBreakBefore w:val="0"/>
        <w:widowControl w:val="0"/>
        <w:tabs>
          <w:tab w:val="left" w:pos="7655"/>
          <w:tab w:val="left" w:pos="7797"/>
        </w:tabs>
        <w:kinsoku/>
        <w:wordWrap/>
        <w:overflowPunct/>
        <w:topLinePunct w:val="0"/>
        <w:autoSpaceDE/>
        <w:autoSpaceDN/>
        <w:bidi w:val="0"/>
        <w:adjustRightInd/>
        <w:snapToGrid/>
        <w:spacing w:line="560" w:lineRule="exact"/>
        <w:ind w:firstLine="80" w:firstLineChars="25"/>
        <w:textAlignment w:val="auto"/>
        <w:rPr>
          <w:rFonts w:hint="eastAsia" w:ascii="CESI仿宋-GB2312" w:hAnsi="CESI仿宋-GB2312" w:eastAsia="CESI仿宋-GB2312" w:cs="CESI仿宋-GB2312"/>
          <w:b w:val="0"/>
          <w:bCs w:val="0"/>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w:t>
      </w:r>
    </w:p>
    <w:p>
      <w:pPr>
        <w:pStyle w:val="17"/>
        <w:pageBreakBefore w:val="0"/>
        <w:widowControl w:val="0"/>
        <w:kinsoku/>
        <w:wordWrap/>
        <w:overflowPunct/>
        <w:topLinePunct w:val="0"/>
        <w:autoSpaceDN/>
        <w:bidi w:val="0"/>
        <w:spacing w:line="560" w:lineRule="exact"/>
        <w:textAlignment w:val="auto"/>
        <w:outlineLvl w:val="9"/>
        <w:rPr>
          <w:rFonts w:hint="eastAsia" w:ascii="CESI仿宋-GB2312" w:hAnsi="CESI仿宋-GB2312" w:eastAsia="CESI仿宋-GB2312" w:cs="CESI仿宋-GB2312"/>
          <w:b w:val="0"/>
          <w:bCs w:val="0"/>
          <w:szCs w:val="32"/>
        </w:rPr>
      </w:pPr>
    </w:p>
    <w:p>
      <w:pPr>
        <w:pStyle w:val="17"/>
        <w:pageBreakBefore w:val="0"/>
        <w:widowControl w:val="0"/>
        <w:kinsoku/>
        <w:wordWrap/>
        <w:overflowPunct/>
        <w:topLinePunct w:val="0"/>
        <w:autoSpaceDN/>
        <w:bidi w:val="0"/>
        <w:spacing w:line="560" w:lineRule="exact"/>
        <w:textAlignment w:val="auto"/>
        <w:outlineLvl w:val="9"/>
        <w:rPr>
          <w:rFonts w:hint="eastAsia" w:ascii="CESI仿宋-GB2312" w:hAnsi="CESI仿宋-GB2312" w:eastAsia="CESI仿宋-GB2312" w:cs="CESI仿宋-GB2312"/>
          <w:b w:val="0"/>
          <w:bCs w:val="0"/>
          <w:szCs w:val="32"/>
        </w:rPr>
      </w:pPr>
      <w:r>
        <w:rPr>
          <w:rFonts w:hint="eastAsia" w:ascii="CESI仿宋-GB2312" w:hAnsi="CESI仿宋-GB2312" w:eastAsia="CESI仿宋-GB2312" w:cs="CESI仿宋-GB2312"/>
          <w:b w:val="0"/>
          <w:bCs w:val="0"/>
          <w:szCs w:val="32"/>
        </w:rPr>
        <w:t>（</w:t>
      </w:r>
      <w:r>
        <w:rPr>
          <w:rFonts w:hint="eastAsia" w:ascii="仿宋_GB2312" w:hAnsi="仿宋_GB2312" w:eastAsia="仿宋_GB2312" w:cs="仿宋_GB2312"/>
          <w:b w:val="0"/>
          <w:bCs w:val="0"/>
          <w:szCs w:val="32"/>
        </w:rPr>
        <w:t>此件主动公开</w:t>
      </w:r>
      <w:r>
        <w:rPr>
          <w:rFonts w:hint="eastAsia" w:ascii="CESI仿宋-GB2312" w:hAnsi="CESI仿宋-GB2312" w:eastAsia="CESI仿宋-GB2312" w:cs="CESI仿宋-GB2312"/>
          <w:b w:val="0"/>
          <w:bCs w:val="0"/>
          <w:szCs w:val="32"/>
        </w:rPr>
        <w:t>）</w:t>
      </w:r>
    </w:p>
    <w:p>
      <w:pPr>
        <w:pStyle w:val="18"/>
        <w:rPr>
          <w:rFonts w:hint="eastAsia" w:ascii="CESI仿宋-GB2312" w:hAnsi="CESI仿宋-GB2312" w:eastAsia="CESI仿宋-GB2312" w:cs="CESI仿宋-GB2312"/>
          <w:b w:val="0"/>
          <w:bCs w:val="0"/>
          <w:szCs w:val="32"/>
        </w:rPr>
      </w:pPr>
    </w:p>
    <w:p/>
    <w:p>
      <w:pPr>
        <w:keepNext w:val="0"/>
        <w:keepLines w:val="0"/>
        <w:pageBreakBefore w:val="0"/>
        <w:widowControl w:val="0"/>
        <w:kinsoku/>
        <w:wordWrap/>
        <w:overflowPunct/>
        <w:topLinePunct w:val="0"/>
        <w:autoSpaceDE/>
        <w:autoSpaceDN/>
        <w:bidi w:val="0"/>
        <w:adjustRightInd/>
        <w:snapToGrid/>
        <w:spacing w:line="100" w:lineRule="exact"/>
        <w:ind w:left="0" w:hanging="350" w:hangingChars="350"/>
        <w:textAlignment w:val="auto"/>
        <w:rPr>
          <w:rFonts w:hint="eastAsia" w:ascii="仿宋_GB2312" w:hAnsi="仿宋" w:eastAsia="仿宋_GB2312" w:cs="仿宋"/>
          <w:color w:val="000000"/>
          <w:sz w:val="10"/>
          <w:szCs w:val="10"/>
          <w:u w:val="single"/>
        </w:rPr>
      </w:pPr>
    </w:p>
    <w:p>
      <w:pPr>
        <w:keepNext w:val="0"/>
        <w:keepLines w:val="0"/>
        <w:pageBreakBefore w:val="0"/>
        <w:widowControl w:val="0"/>
        <w:kinsoku/>
        <w:wordWrap/>
        <w:overflowPunct/>
        <w:topLinePunct w:val="0"/>
        <w:autoSpaceDE/>
        <w:autoSpaceDN/>
        <w:bidi w:val="0"/>
        <w:adjustRightInd/>
        <w:snapToGrid/>
        <w:spacing w:line="100" w:lineRule="exact"/>
        <w:ind w:left="0" w:hanging="350" w:hangingChars="350"/>
        <w:textAlignment w:val="auto"/>
        <w:rPr>
          <w:rFonts w:hint="eastAsia" w:ascii="仿宋_GB2312" w:hAnsi="仿宋" w:eastAsia="仿宋_GB2312" w:cs="仿宋"/>
          <w:color w:val="000000"/>
          <w:sz w:val="10"/>
          <w:szCs w:val="10"/>
          <w:u w:val="single"/>
        </w:rPr>
      </w:pPr>
    </w:p>
    <w:p>
      <w:pPr>
        <w:pStyle w:val="4"/>
        <w:rPr>
          <w:rFonts w:hint="eastAsia" w:ascii="仿宋_GB2312" w:hAnsi="仿宋" w:eastAsia="仿宋_GB2312" w:cs="仿宋"/>
          <w:color w:val="000000"/>
          <w:sz w:val="10"/>
          <w:szCs w:val="10"/>
          <w:u w:val="single"/>
        </w:rPr>
      </w:pPr>
    </w:p>
    <w:p>
      <w:pPr>
        <w:pStyle w:val="4"/>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1050" w:leftChars="100" w:right="210" w:rightChars="100" w:hanging="840" w:hangingChars="300"/>
        <w:jc w:val="left"/>
        <w:textAlignment w:val="auto"/>
        <w:rPr>
          <w:rFonts w:hint="eastAsia" w:ascii="仿宋_GB2312" w:hAnsi="仿宋" w:eastAsia="仿宋_GB2312" w:cs="仿宋"/>
          <w:color w:val="000000"/>
          <w:sz w:val="28"/>
          <w:szCs w:val="28"/>
          <w:u w:val="none"/>
        </w:rPr>
      </w:pPr>
      <w:r>
        <w:rPr>
          <w:rFonts w:hint="eastAsia" w:ascii="仿宋_GB2312" w:hAnsi="仿宋" w:eastAsia="仿宋_GB2312" w:cs="仿宋"/>
          <w:color w:val="000000"/>
          <w:sz w:val="28"/>
          <w:szCs w:val="28"/>
          <w:u w:val="none"/>
        </w:rPr>
        <w:t>抄送</w:t>
      </w:r>
      <w:r>
        <w:rPr>
          <w:rFonts w:hint="eastAsia" w:ascii="仿宋_GB2312" w:hAnsi="仿宋" w:eastAsia="仿宋_GB2312" w:cs="仿宋"/>
          <w:color w:val="000000"/>
          <w:kern w:val="24"/>
          <w:sz w:val="28"/>
          <w:szCs w:val="28"/>
          <w:u w:val="none"/>
          <w:lang w:val="zh-CN"/>
        </w:rPr>
        <w:t>:</w:t>
      </w:r>
      <w:r>
        <w:rPr>
          <w:rFonts w:hint="eastAsia" w:ascii="仿宋_GB2312" w:hAnsi="仿宋" w:eastAsia="仿宋_GB2312" w:cs="仿宋"/>
          <w:color w:val="000000"/>
          <w:sz w:val="28"/>
          <w:szCs w:val="28"/>
          <w:u w:val="none"/>
        </w:rPr>
        <w:t xml:space="preserve"> </w:t>
      </w:r>
      <w:r>
        <w:rPr>
          <w:rFonts w:hint="eastAsia" w:ascii="仿宋_GB2312" w:hAnsi="宋体" w:eastAsia="仿宋_GB2312"/>
          <w:bCs/>
          <w:sz w:val="28"/>
          <w:szCs w:val="32"/>
        </w:rPr>
        <w:t>市自然资源局，</w:t>
      </w:r>
      <w:r>
        <w:rPr>
          <w:rFonts w:hint="eastAsia" w:ascii="仿宋_GB2312" w:hAnsi="宋体" w:eastAsia="仿宋_GB2312"/>
          <w:bCs/>
          <w:sz w:val="28"/>
          <w:szCs w:val="32"/>
          <w:lang w:val="en-US" w:eastAsia="zh-CN"/>
        </w:rPr>
        <w:t>袁州区</w:t>
      </w:r>
      <w:r>
        <w:rPr>
          <w:rFonts w:hint="eastAsia" w:ascii="仿宋_GB2312" w:hAnsi="宋体" w:eastAsia="仿宋_GB2312"/>
          <w:bCs/>
          <w:sz w:val="28"/>
          <w:szCs w:val="32"/>
        </w:rPr>
        <w:t>人民政府，宜春市</w:t>
      </w:r>
      <w:r>
        <w:rPr>
          <w:rFonts w:hint="eastAsia" w:ascii="仿宋_GB2312" w:hAnsi="宋体" w:eastAsia="仿宋_GB2312"/>
          <w:bCs/>
          <w:sz w:val="28"/>
          <w:szCs w:val="32"/>
          <w:lang w:val="en-US" w:eastAsia="zh-CN"/>
        </w:rPr>
        <w:t>袁州</w:t>
      </w:r>
      <w:r>
        <w:rPr>
          <w:rFonts w:hint="eastAsia" w:ascii="仿宋_GB2312" w:hAnsi="宋体" w:eastAsia="仿宋_GB2312"/>
          <w:bCs/>
          <w:sz w:val="28"/>
          <w:szCs w:val="32"/>
        </w:rPr>
        <w:t>生态环境局</w:t>
      </w:r>
      <w:r>
        <w:rPr>
          <w:rFonts w:hint="eastAsia" w:ascii="仿宋_GB2312" w:hAnsi="华文仿宋" w:eastAsia="仿宋_GB2312"/>
          <w:spacing w:val="-6"/>
          <w:sz w:val="28"/>
          <w:szCs w:val="32"/>
        </w:rPr>
        <w:t>，局相关科室，市综合执法支队，市环境工程评估中心，</w:t>
      </w:r>
      <w:r>
        <w:rPr>
          <w:rFonts w:hint="eastAsia" w:ascii="仿宋_GB2312" w:hAnsi="华文仿宋" w:eastAsia="仿宋_GB2312"/>
          <w:spacing w:val="-6"/>
          <w:sz w:val="28"/>
          <w:szCs w:val="32"/>
          <w:lang w:val="en-US" w:eastAsia="zh-CN"/>
        </w:rPr>
        <w:t>江西聚昕生态环境有限公司</w:t>
      </w:r>
      <w:r>
        <w:rPr>
          <w:rFonts w:hint="eastAsia" w:ascii="仿宋_GB2312" w:hAnsi="仿宋" w:eastAsia="仿宋_GB2312" w:cs="仿宋"/>
          <w:color w:val="000000"/>
          <w:sz w:val="28"/>
          <w:szCs w:val="28"/>
          <w:u w:val="none"/>
          <w:lang w:eastAsia="zh-CN"/>
        </w:rPr>
        <w:t>。</w:t>
      </w:r>
      <w:r>
        <w:rPr>
          <w:rFonts w:hint="eastAsia" w:ascii="仿宋_GB2312" w:hAnsi="仿宋" w:eastAsia="仿宋_GB2312" w:cs="仿宋"/>
          <w:color w:val="000000"/>
          <w:sz w:val="28"/>
          <w:szCs w:val="28"/>
          <w:u w:val="none"/>
        </w:rPr>
        <w:t xml:space="preserve"> </w:t>
      </w:r>
    </w:p>
    <w:p>
      <w:pPr>
        <w:keepNext w:val="0"/>
        <w:keepLines w:val="0"/>
        <w:pageBreakBefore w:val="0"/>
        <w:widowControl w:val="0"/>
        <w:kinsoku/>
        <w:wordWrap/>
        <w:overflowPunct/>
        <w:topLinePunct w:val="0"/>
        <w:autoSpaceDE/>
        <w:autoSpaceDN/>
        <w:bidi w:val="0"/>
        <w:adjustRightInd/>
        <w:snapToGrid/>
        <w:spacing w:line="100" w:lineRule="exact"/>
        <w:ind w:left="0" w:hanging="1050" w:hangingChars="350"/>
        <w:textAlignment w:val="auto"/>
        <w:rPr>
          <w:rFonts w:hint="eastAsia" w:ascii="仿宋_GB2312" w:hAnsi="仿宋" w:eastAsia="仿宋_GB2312" w:cs="仿宋"/>
          <w:color w:val="000000"/>
          <w:sz w:val="30"/>
          <w:szCs w:val="30"/>
          <w:u w:val="single"/>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1050" w:leftChars="100" w:right="210" w:rightChars="100" w:hanging="840" w:hangingChars="300"/>
        <w:jc w:val="left"/>
        <w:textAlignment w:val="auto"/>
        <w:rPr>
          <w:rFonts w:hint="eastAsia" w:ascii="仿宋_GB2312" w:hAnsi="仿宋" w:eastAsia="仿宋_GB2312" w:cs="仿宋"/>
          <w:color w:val="000000"/>
          <w:sz w:val="28"/>
          <w:szCs w:val="28"/>
          <w:u w:val="none"/>
        </w:rPr>
      </w:pPr>
      <w:r>
        <w:rPr>
          <w:rFonts w:hint="eastAsia" w:ascii="仿宋_GB2312" w:hAnsi="仿宋" w:eastAsia="仿宋_GB2312" w:cs="仿宋"/>
          <w:color w:val="000000"/>
          <w:sz w:val="28"/>
          <w:szCs w:val="28"/>
          <w:u w:val="none"/>
          <w:lang w:eastAsia="zh-CN"/>
        </w:rPr>
        <w:t>宜春市生态环境局秘书科</w:t>
      </w:r>
      <w:r>
        <w:rPr>
          <w:rFonts w:hint="eastAsia" w:ascii="仿宋_GB2312" w:hAnsi="仿宋" w:eastAsia="仿宋_GB2312" w:cs="仿宋"/>
          <w:color w:val="000000"/>
          <w:sz w:val="28"/>
          <w:szCs w:val="28"/>
          <w:u w:val="none"/>
          <w:lang w:val="en-US" w:eastAsia="zh-CN"/>
        </w:rPr>
        <w:t xml:space="preserve">                  2023年5月19日印发</w:t>
      </w:r>
    </w:p>
    <w:p>
      <w:pPr>
        <w:keepNext w:val="0"/>
        <w:keepLines w:val="0"/>
        <w:pageBreakBefore w:val="0"/>
        <w:widowControl w:val="0"/>
        <w:kinsoku/>
        <w:wordWrap/>
        <w:overflowPunct/>
        <w:topLinePunct w:val="0"/>
        <w:autoSpaceDE/>
        <w:autoSpaceDN/>
        <w:bidi w:val="0"/>
        <w:adjustRightInd/>
        <w:snapToGrid/>
        <w:spacing w:line="100" w:lineRule="exact"/>
        <w:ind w:left="0" w:hanging="1050" w:hangingChars="350"/>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sectPr>
      <w:footerReference r:id="rId3" w:type="default"/>
      <w:pgSz w:w="11906" w:h="16838"/>
      <w:pgMar w:top="2098" w:right="1587" w:bottom="1984" w:left="1587"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A3"/>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CESI黑体-GB2312">
    <w:panose1 w:val="02000500000000000000"/>
    <w:charset w:val="86"/>
    <w:family w:val="auto"/>
    <w:pitch w:val="default"/>
    <w:sig w:usb0="800002BF" w:usb1="184F6CF8" w:usb2="00000012" w:usb3="00000000" w:csb0="0004000F" w:csb1="00000000"/>
  </w:font>
  <w:font w:name="楷体">
    <w:altName w:val="方正楷体_GBK"/>
    <w:panose1 w:val="02010609060101010101"/>
    <w:charset w:val="86"/>
    <w:family w:val="modern"/>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微软雅黑">
    <w:panose1 w:val="020B0503020204020204"/>
    <w:charset w:val="86"/>
    <w:family w:val="auto"/>
    <w:pitch w:val="default"/>
    <w:sig w:usb0="80000287" w:usb1="2A0F3C52" w:usb2="00000016" w:usb3="00000000" w:csb0="0004001F" w:csb1="00000000"/>
  </w:font>
  <w:font w:name="FreeSerif">
    <w:panose1 w:val="02020603050405020304"/>
    <w:charset w:val="00"/>
    <w:family w:val="auto"/>
    <w:pitch w:val="default"/>
    <w:sig w:usb0="E59FAFFF" w:usb1="C200FDFF" w:usb2="43501B29" w:usb3="04000043" w:csb0="600101FF" w:csb1="FFFF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FA61E"/>
    <w:multiLevelType w:val="singleLevel"/>
    <w:tmpl w:val="DDFFA61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M2QxNmFhYTViYWIzZmJmMmUxNTY2ZjM4NmI4MTUifQ=="/>
  </w:docVars>
  <w:rsids>
    <w:rsidRoot w:val="006B467D"/>
    <w:rsid w:val="00041B93"/>
    <w:rsid w:val="001C3BC7"/>
    <w:rsid w:val="001F081D"/>
    <w:rsid w:val="001F4AD4"/>
    <w:rsid w:val="00231263"/>
    <w:rsid w:val="00264DFF"/>
    <w:rsid w:val="0029574C"/>
    <w:rsid w:val="002A6121"/>
    <w:rsid w:val="002D36C8"/>
    <w:rsid w:val="003A09F5"/>
    <w:rsid w:val="00460A78"/>
    <w:rsid w:val="0057560A"/>
    <w:rsid w:val="005E59AF"/>
    <w:rsid w:val="00644899"/>
    <w:rsid w:val="006B467D"/>
    <w:rsid w:val="007560D8"/>
    <w:rsid w:val="0077442E"/>
    <w:rsid w:val="00914FB4"/>
    <w:rsid w:val="009402E4"/>
    <w:rsid w:val="009B44DF"/>
    <w:rsid w:val="009C4711"/>
    <w:rsid w:val="00A37078"/>
    <w:rsid w:val="00A415B5"/>
    <w:rsid w:val="00A60CA5"/>
    <w:rsid w:val="00B31BAC"/>
    <w:rsid w:val="00B60F18"/>
    <w:rsid w:val="00B77C27"/>
    <w:rsid w:val="00B849F8"/>
    <w:rsid w:val="00BB5BB4"/>
    <w:rsid w:val="00BD2CE5"/>
    <w:rsid w:val="00C04E94"/>
    <w:rsid w:val="00C23D98"/>
    <w:rsid w:val="00D0459C"/>
    <w:rsid w:val="00D06919"/>
    <w:rsid w:val="00D22F21"/>
    <w:rsid w:val="00D406FB"/>
    <w:rsid w:val="00DF1A97"/>
    <w:rsid w:val="00E73849"/>
    <w:rsid w:val="00F704E2"/>
    <w:rsid w:val="00F74BA4"/>
    <w:rsid w:val="00FC1B12"/>
    <w:rsid w:val="012732BA"/>
    <w:rsid w:val="012F2C7B"/>
    <w:rsid w:val="01703D1E"/>
    <w:rsid w:val="0179160B"/>
    <w:rsid w:val="017C52DD"/>
    <w:rsid w:val="01860F84"/>
    <w:rsid w:val="01992B72"/>
    <w:rsid w:val="01A4060B"/>
    <w:rsid w:val="01B612A4"/>
    <w:rsid w:val="01C46E2A"/>
    <w:rsid w:val="01DD1D6E"/>
    <w:rsid w:val="01E66AA5"/>
    <w:rsid w:val="021467C2"/>
    <w:rsid w:val="025331B3"/>
    <w:rsid w:val="02591E01"/>
    <w:rsid w:val="027C0F4C"/>
    <w:rsid w:val="027F62BA"/>
    <w:rsid w:val="03026814"/>
    <w:rsid w:val="030C6980"/>
    <w:rsid w:val="03336D8A"/>
    <w:rsid w:val="035816F4"/>
    <w:rsid w:val="03842595"/>
    <w:rsid w:val="04011366"/>
    <w:rsid w:val="04032C8E"/>
    <w:rsid w:val="040844BC"/>
    <w:rsid w:val="045D155C"/>
    <w:rsid w:val="047E6FDC"/>
    <w:rsid w:val="049B7758"/>
    <w:rsid w:val="04BC26AE"/>
    <w:rsid w:val="04C06FA9"/>
    <w:rsid w:val="05075043"/>
    <w:rsid w:val="050B1C9F"/>
    <w:rsid w:val="05131E7D"/>
    <w:rsid w:val="05146604"/>
    <w:rsid w:val="055924D7"/>
    <w:rsid w:val="057D502A"/>
    <w:rsid w:val="05897CDE"/>
    <w:rsid w:val="058C31DC"/>
    <w:rsid w:val="058D3327"/>
    <w:rsid w:val="05B16C1D"/>
    <w:rsid w:val="05E730FB"/>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C169A"/>
    <w:rsid w:val="0A0A16AE"/>
    <w:rsid w:val="0A2150FA"/>
    <w:rsid w:val="0A4F6CD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89709B"/>
    <w:rsid w:val="0F8E0D44"/>
    <w:rsid w:val="0FB96372"/>
    <w:rsid w:val="0FC37304"/>
    <w:rsid w:val="0FDF7909"/>
    <w:rsid w:val="0FEF586D"/>
    <w:rsid w:val="0FFED1D8"/>
    <w:rsid w:val="100E61F1"/>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B20A89"/>
    <w:rsid w:val="12F36AC7"/>
    <w:rsid w:val="13145380"/>
    <w:rsid w:val="136A680D"/>
    <w:rsid w:val="13967CA7"/>
    <w:rsid w:val="13D777E7"/>
    <w:rsid w:val="14032E0E"/>
    <w:rsid w:val="1411085C"/>
    <w:rsid w:val="14120302"/>
    <w:rsid w:val="144F64EE"/>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69D6C0C"/>
    <w:rsid w:val="16A060B1"/>
    <w:rsid w:val="16C00BCF"/>
    <w:rsid w:val="16C200A7"/>
    <w:rsid w:val="16C54EE5"/>
    <w:rsid w:val="16C54FCF"/>
    <w:rsid w:val="16E06F52"/>
    <w:rsid w:val="16F05CB3"/>
    <w:rsid w:val="16F7346E"/>
    <w:rsid w:val="17006955"/>
    <w:rsid w:val="1703397C"/>
    <w:rsid w:val="170743E9"/>
    <w:rsid w:val="17125099"/>
    <w:rsid w:val="171B0308"/>
    <w:rsid w:val="172C4E9D"/>
    <w:rsid w:val="173B5E82"/>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A72"/>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4648B6"/>
    <w:rsid w:val="1B704E36"/>
    <w:rsid w:val="1B850928"/>
    <w:rsid w:val="1BA209B9"/>
    <w:rsid w:val="1BB147EF"/>
    <w:rsid w:val="1BB7CF60"/>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E7C7B"/>
    <w:rsid w:val="1D7F7B99"/>
    <w:rsid w:val="1DB924E9"/>
    <w:rsid w:val="1DC74215"/>
    <w:rsid w:val="1DE7DC64"/>
    <w:rsid w:val="1DF41A03"/>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F046"/>
    <w:rsid w:val="1FD1682D"/>
    <w:rsid w:val="1FDF234E"/>
    <w:rsid w:val="1FEDB956"/>
    <w:rsid w:val="1FEE0E62"/>
    <w:rsid w:val="1FFF9B15"/>
    <w:rsid w:val="1FFF9DF5"/>
    <w:rsid w:val="202A6496"/>
    <w:rsid w:val="202B0A86"/>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603596E"/>
    <w:rsid w:val="261457E5"/>
    <w:rsid w:val="2614741E"/>
    <w:rsid w:val="26526993"/>
    <w:rsid w:val="265C71AB"/>
    <w:rsid w:val="265E6149"/>
    <w:rsid w:val="26A2644A"/>
    <w:rsid w:val="26BF2702"/>
    <w:rsid w:val="26D72A9C"/>
    <w:rsid w:val="26D9450D"/>
    <w:rsid w:val="270B55FD"/>
    <w:rsid w:val="2718473C"/>
    <w:rsid w:val="275405E2"/>
    <w:rsid w:val="277E2115"/>
    <w:rsid w:val="278A6AED"/>
    <w:rsid w:val="27B330D3"/>
    <w:rsid w:val="27D73FB5"/>
    <w:rsid w:val="27DD1AC9"/>
    <w:rsid w:val="280E4DA9"/>
    <w:rsid w:val="2821102E"/>
    <w:rsid w:val="28360750"/>
    <w:rsid w:val="284B1866"/>
    <w:rsid w:val="28966573"/>
    <w:rsid w:val="289E7F40"/>
    <w:rsid w:val="28EE20F0"/>
    <w:rsid w:val="2902463D"/>
    <w:rsid w:val="290D041C"/>
    <w:rsid w:val="291B3CEF"/>
    <w:rsid w:val="29363C40"/>
    <w:rsid w:val="29443FB0"/>
    <w:rsid w:val="29513A4C"/>
    <w:rsid w:val="296F53A2"/>
    <w:rsid w:val="29797096"/>
    <w:rsid w:val="29837114"/>
    <w:rsid w:val="29AC13BE"/>
    <w:rsid w:val="29C0187A"/>
    <w:rsid w:val="2A0D6FEB"/>
    <w:rsid w:val="2A7C3107"/>
    <w:rsid w:val="2A826B38"/>
    <w:rsid w:val="2A951FF8"/>
    <w:rsid w:val="2AB14540"/>
    <w:rsid w:val="2AFD6359"/>
    <w:rsid w:val="2B3B0C82"/>
    <w:rsid w:val="2B4F5DB3"/>
    <w:rsid w:val="2B50012B"/>
    <w:rsid w:val="2B5865A9"/>
    <w:rsid w:val="2B8A133E"/>
    <w:rsid w:val="2BAF35FD"/>
    <w:rsid w:val="2BB40893"/>
    <w:rsid w:val="2BE84C5A"/>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A3D559"/>
    <w:rsid w:val="2FA73A76"/>
    <w:rsid w:val="2FAD5A25"/>
    <w:rsid w:val="2FB11E53"/>
    <w:rsid w:val="2FBB31C8"/>
    <w:rsid w:val="2FBE0BB7"/>
    <w:rsid w:val="2FDED22B"/>
    <w:rsid w:val="2FE322E4"/>
    <w:rsid w:val="2FE6569A"/>
    <w:rsid w:val="2FE703D3"/>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31B0A3B"/>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A0BE8"/>
    <w:rsid w:val="35E95678"/>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B78CB"/>
    <w:rsid w:val="37FC3623"/>
    <w:rsid w:val="37FFDFE5"/>
    <w:rsid w:val="381C450D"/>
    <w:rsid w:val="38441DA0"/>
    <w:rsid w:val="385A0D73"/>
    <w:rsid w:val="385B1F92"/>
    <w:rsid w:val="386E6066"/>
    <w:rsid w:val="387442ED"/>
    <w:rsid w:val="388C7A87"/>
    <w:rsid w:val="38AF6807"/>
    <w:rsid w:val="38D53ED1"/>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71564"/>
    <w:rsid w:val="3BBF06F6"/>
    <w:rsid w:val="3BE27E23"/>
    <w:rsid w:val="3BE51489"/>
    <w:rsid w:val="3BFA93EF"/>
    <w:rsid w:val="3BFCF68E"/>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C11532"/>
    <w:rsid w:val="3DD26A94"/>
    <w:rsid w:val="3DE76524"/>
    <w:rsid w:val="3DF7DBA4"/>
    <w:rsid w:val="3DF906CD"/>
    <w:rsid w:val="3E03359B"/>
    <w:rsid w:val="3E1C7283"/>
    <w:rsid w:val="3E2F6D9B"/>
    <w:rsid w:val="3E4B7E5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352BC0"/>
    <w:rsid w:val="3F4E08CC"/>
    <w:rsid w:val="3F4F7DA2"/>
    <w:rsid w:val="3F4FA6F9"/>
    <w:rsid w:val="3F5A0E09"/>
    <w:rsid w:val="3F6619F5"/>
    <w:rsid w:val="3F790CB0"/>
    <w:rsid w:val="3F7B049D"/>
    <w:rsid w:val="3F7EF851"/>
    <w:rsid w:val="3F7F5C6A"/>
    <w:rsid w:val="3F8954B2"/>
    <w:rsid w:val="3F8D0899"/>
    <w:rsid w:val="3F911FB7"/>
    <w:rsid w:val="3F970855"/>
    <w:rsid w:val="3F9B8D70"/>
    <w:rsid w:val="3F9C704E"/>
    <w:rsid w:val="3F9EF683"/>
    <w:rsid w:val="3FAE6D2D"/>
    <w:rsid w:val="3FBD71D2"/>
    <w:rsid w:val="3FBD8D6B"/>
    <w:rsid w:val="3FC111A5"/>
    <w:rsid w:val="3FC767C0"/>
    <w:rsid w:val="3FCB541B"/>
    <w:rsid w:val="3FE394E7"/>
    <w:rsid w:val="3FFB0E64"/>
    <w:rsid w:val="3FFBE772"/>
    <w:rsid w:val="3FFD09BF"/>
    <w:rsid w:val="3FFF180E"/>
    <w:rsid w:val="3FFF3C7C"/>
    <w:rsid w:val="40406848"/>
    <w:rsid w:val="40507D03"/>
    <w:rsid w:val="406F0D95"/>
    <w:rsid w:val="40A244D3"/>
    <w:rsid w:val="40CC3D01"/>
    <w:rsid w:val="410846C7"/>
    <w:rsid w:val="41170D8C"/>
    <w:rsid w:val="411E3DC1"/>
    <w:rsid w:val="415663BE"/>
    <w:rsid w:val="416F7A1E"/>
    <w:rsid w:val="417B233A"/>
    <w:rsid w:val="417F6D50"/>
    <w:rsid w:val="418F7470"/>
    <w:rsid w:val="41A1787D"/>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7654BD"/>
    <w:rsid w:val="45781435"/>
    <w:rsid w:val="458F461A"/>
    <w:rsid w:val="45A809B5"/>
    <w:rsid w:val="45B2422F"/>
    <w:rsid w:val="45B51851"/>
    <w:rsid w:val="45BD31FC"/>
    <w:rsid w:val="45BF1B18"/>
    <w:rsid w:val="45C03E43"/>
    <w:rsid w:val="45CF606B"/>
    <w:rsid w:val="45DA659D"/>
    <w:rsid w:val="45E63C2A"/>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F608B"/>
    <w:rsid w:val="49EF2AF6"/>
    <w:rsid w:val="49F6339E"/>
    <w:rsid w:val="4A146D63"/>
    <w:rsid w:val="4A4B7096"/>
    <w:rsid w:val="4A7EB2FF"/>
    <w:rsid w:val="4AB75723"/>
    <w:rsid w:val="4ABDA9E8"/>
    <w:rsid w:val="4ABF315C"/>
    <w:rsid w:val="4B080EAE"/>
    <w:rsid w:val="4B155BEE"/>
    <w:rsid w:val="4B7F6F51"/>
    <w:rsid w:val="4B855F61"/>
    <w:rsid w:val="4B975DC1"/>
    <w:rsid w:val="4BBD5DFB"/>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7D6118"/>
    <w:rsid w:val="4D968124"/>
    <w:rsid w:val="4D9C370C"/>
    <w:rsid w:val="4DCA17BE"/>
    <w:rsid w:val="4DE52F92"/>
    <w:rsid w:val="4DE777E6"/>
    <w:rsid w:val="4DED67BF"/>
    <w:rsid w:val="4E6DB298"/>
    <w:rsid w:val="4E7816D4"/>
    <w:rsid w:val="4EAFD821"/>
    <w:rsid w:val="4EBC0FDC"/>
    <w:rsid w:val="4EBE67B2"/>
    <w:rsid w:val="4F260F14"/>
    <w:rsid w:val="4F3374B4"/>
    <w:rsid w:val="4F3DFD49"/>
    <w:rsid w:val="4F4F65BB"/>
    <w:rsid w:val="4F6036C3"/>
    <w:rsid w:val="4F7B626C"/>
    <w:rsid w:val="4FB60EB6"/>
    <w:rsid w:val="4FC9436C"/>
    <w:rsid w:val="4FD72B41"/>
    <w:rsid w:val="4FF36A56"/>
    <w:rsid w:val="4FF41F1D"/>
    <w:rsid w:val="4FFE184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7DC0A2"/>
    <w:rsid w:val="53A928A9"/>
    <w:rsid w:val="53B2024F"/>
    <w:rsid w:val="53B83907"/>
    <w:rsid w:val="53E91301"/>
    <w:rsid w:val="53F0747B"/>
    <w:rsid w:val="545112A5"/>
    <w:rsid w:val="54756E9F"/>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C6473B"/>
    <w:rsid w:val="56CC6EAB"/>
    <w:rsid w:val="56D74735"/>
    <w:rsid w:val="56DE000D"/>
    <w:rsid w:val="56F33945"/>
    <w:rsid w:val="56F6DAB0"/>
    <w:rsid w:val="571D495C"/>
    <w:rsid w:val="574645BE"/>
    <w:rsid w:val="576919EA"/>
    <w:rsid w:val="57732AC1"/>
    <w:rsid w:val="577D65AF"/>
    <w:rsid w:val="577F6FDC"/>
    <w:rsid w:val="57843B76"/>
    <w:rsid w:val="57A52339"/>
    <w:rsid w:val="57AC5A1C"/>
    <w:rsid w:val="57B66A9F"/>
    <w:rsid w:val="57B95083"/>
    <w:rsid w:val="57DD7529"/>
    <w:rsid w:val="57DE385A"/>
    <w:rsid w:val="57F306A6"/>
    <w:rsid w:val="57F7D34F"/>
    <w:rsid w:val="57F8EF97"/>
    <w:rsid w:val="57FD6F33"/>
    <w:rsid w:val="57FE9A6A"/>
    <w:rsid w:val="57FF410E"/>
    <w:rsid w:val="57FF62C0"/>
    <w:rsid w:val="581727A0"/>
    <w:rsid w:val="583BBBA1"/>
    <w:rsid w:val="5873337D"/>
    <w:rsid w:val="58741794"/>
    <w:rsid w:val="587E07B8"/>
    <w:rsid w:val="58AF4E41"/>
    <w:rsid w:val="58B41022"/>
    <w:rsid w:val="58B97F29"/>
    <w:rsid w:val="58C46B40"/>
    <w:rsid w:val="58DA705B"/>
    <w:rsid w:val="58E72F20"/>
    <w:rsid w:val="58FB1F94"/>
    <w:rsid w:val="592D53E5"/>
    <w:rsid w:val="59482DC3"/>
    <w:rsid w:val="594C2C9B"/>
    <w:rsid w:val="595DEFC6"/>
    <w:rsid w:val="59724B00"/>
    <w:rsid w:val="59870899"/>
    <w:rsid w:val="5992714E"/>
    <w:rsid w:val="59EA212F"/>
    <w:rsid w:val="59F271D3"/>
    <w:rsid w:val="59F87366"/>
    <w:rsid w:val="59FF35F5"/>
    <w:rsid w:val="5A04162B"/>
    <w:rsid w:val="5A145BBF"/>
    <w:rsid w:val="5A81421E"/>
    <w:rsid w:val="5A963AAD"/>
    <w:rsid w:val="5A9E2282"/>
    <w:rsid w:val="5ACFD81A"/>
    <w:rsid w:val="5AFA4BDB"/>
    <w:rsid w:val="5B3A6098"/>
    <w:rsid w:val="5B410D79"/>
    <w:rsid w:val="5B4D177D"/>
    <w:rsid w:val="5B57206F"/>
    <w:rsid w:val="5B6B7A7F"/>
    <w:rsid w:val="5B7E537A"/>
    <w:rsid w:val="5B8643BE"/>
    <w:rsid w:val="5B9752C3"/>
    <w:rsid w:val="5BA1550F"/>
    <w:rsid w:val="5BAEC8ED"/>
    <w:rsid w:val="5BB25C1D"/>
    <w:rsid w:val="5BBF10B3"/>
    <w:rsid w:val="5BCB0034"/>
    <w:rsid w:val="5BDC5203"/>
    <w:rsid w:val="5BF492AF"/>
    <w:rsid w:val="5BFC5543"/>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D7F64"/>
    <w:rsid w:val="5E0D6CBF"/>
    <w:rsid w:val="5E204EB5"/>
    <w:rsid w:val="5E253E99"/>
    <w:rsid w:val="5E2E4D2C"/>
    <w:rsid w:val="5E3B4A4A"/>
    <w:rsid w:val="5E3D3C52"/>
    <w:rsid w:val="5E4317BE"/>
    <w:rsid w:val="5E5E3E17"/>
    <w:rsid w:val="5E9AD703"/>
    <w:rsid w:val="5EBD085D"/>
    <w:rsid w:val="5EBFC788"/>
    <w:rsid w:val="5EC50CAA"/>
    <w:rsid w:val="5ECA649A"/>
    <w:rsid w:val="5ECFC980"/>
    <w:rsid w:val="5EE70D55"/>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73DE65"/>
    <w:rsid w:val="5F74F361"/>
    <w:rsid w:val="5F7EDA11"/>
    <w:rsid w:val="5F874302"/>
    <w:rsid w:val="5F8E49D3"/>
    <w:rsid w:val="5FB00E66"/>
    <w:rsid w:val="5FB6969D"/>
    <w:rsid w:val="5FB7CC16"/>
    <w:rsid w:val="5FBA3B31"/>
    <w:rsid w:val="5FBA7FDE"/>
    <w:rsid w:val="5FC5229F"/>
    <w:rsid w:val="5FC64909"/>
    <w:rsid w:val="5FD3833D"/>
    <w:rsid w:val="5FD3DC4E"/>
    <w:rsid w:val="5FDBCECD"/>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B55F66"/>
    <w:rsid w:val="63D461A2"/>
    <w:rsid w:val="63F6AF09"/>
    <w:rsid w:val="63F75FE1"/>
    <w:rsid w:val="6407213A"/>
    <w:rsid w:val="64200576"/>
    <w:rsid w:val="6432530E"/>
    <w:rsid w:val="647B80EC"/>
    <w:rsid w:val="64A2696B"/>
    <w:rsid w:val="64C748BF"/>
    <w:rsid w:val="64CA6A88"/>
    <w:rsid w:val="64D709CE"/>
    <w:rsid w:val="6507390C"/>
    <w:rsid w:val="654F48C4"/>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72763E"/>
    <w:rsid w:val="6775352F"/>
    <w:rsid w:val="677EA2CA"/>
    <w:rsid w:val="67875BEC"/>
    <w:rsid w:val="6797C3E4"/>
    <w:rsid w:val="67981E55"/>
    <w:rsid w:val="679A30E1"/>
    <w:rsid w:val="67BB5DCF"/>
    <w:rsid w:val="67CF4B12"/>
    <w:rsid w:val="67D56C7D"/>
    <w:rsid w:val="67DB7D86"/>
    <w:rsid w:val="67EDB27E"/>
    <w:rsid w:val="67EDBDA0"/>
    <w:rsid w:val="67FF0E94"/>
    <w:rsid w:val="68835F71"/>
    <w:rsid w:val="68EE5790"/>
    <w:rsid w:val="690432A4"/>
    <w:rsid w:val="692F6DAF"/>
    <w:rsid w:val="69787C50"/>
    <w:rsid w:val="697FCD9D"/>
    <w:rsid w:val="6987583A"/>
    <w:rsid w:val="69964C41"/>
    <w:rsid w:val="69C26DD9"/>
    <w:rsid w:val="69D45A86"/>
    <w:rsid w:val="69E80CC5"/>
    <w:rsid w:val="69F6F957"/>
    <w:rsid w:val="6A1F4150"/>
    <w:rsid w:val="6A2D1CCF"/>
    <w:rsid w:val="6A7E092E"/>
    <w:rsid w:val="6A904237"/>
    <w:rsid w:val="6AB5277B"/>
    <w:rsid w:val="6AF040E0"/>
    <w:rsid w:val="6AF711C0"/>
    <w:rsid w:val="6AFAFFDE"/>
    <w:rsid w:val="6AFF09AC"/>
    <w:rsid w:val="6B131661"/>
    <w:rsid w:val="6B39269D"/>
    <w:rsid w:val="6B6E2ECF"/>
    <w:rsid w:val="6B744899"/>
    <w:rsid w:val="6B7D00D8"/>
    <w:rsid w:val="6B7F6011"/>
    <w:rsid w:val="6B84408B"/>
    <w:rsid w:val="6BAE6F4B"/>
    <w:rsid w:val="6BBB38C9"/>
    <w:rsid w:val="6BBD121A"/>
    <w:rsid w:val="6BBDD199"/>
    <w:rsid w:val="6BBE2EC3"/>
    <w:rsid w:val="6BD4BFFA"/>
    <w:rsid w:val="6BDDBC3F"/>
    <w:rsid w:val="6BE03964"/>
    <w:rsid w:val="6BEEC6FD"/>
    <w:rsid w:val="6BFF2C4A"/>
    <w:rsid w:val="6BFF6F90"/>
    <w:rsid w:val="6C1C2C64"/>
    <w:rsid w:val="6C5DB040"/>
    <w:rsid w:val="6C6351B9"/>
    <w:rsid w:val="6C6F4811"/>
    <w:rsid w:val="6C745F04"/>
    <w:rsid w:val="6C7FDC0D"/>
    <w:rsid w:val="6C815AFB"/>
    <w:rsid w:val="6C9106CB"/>
    <w:rsid w:val="6CB392BE"/>
    <w:rsid w:val="6CEB81F2"/>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FDE98"/>
    <w:rsid w:val="6E0A0FF3"/>
    <w:rsid w:val="6E200660"/>
    <w:rsid w:val="6E3C2184"/>
    <w:rsid w:val="6E501280"/>
    <w:rsid w:val="6E541107"/>
    <w:rsid w:val="6E6D3F1C"/>
    <w:rsid w:val="6E6F13E2"/>
    <w:rsid w:val="6E7FB585"/>
    <w:rsid w:val="6EBA0434"/>
    <w:rsid w:val="6EBE0B2E"/>
    <w:rsid w:val="6EBFC098"/>
    <w:rsid w:val="6EC117B0"/>
    <w:rsid w:val="6EC73413"/>
    <w:rsid w:val="6ED04039"/>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B02AE"/>
    <w:rsid w:val="6FBF5CB5"/>
    <w:rsid w:val="6FCE37D4"/>
    <w:rsid w:val="6FE71825"/>
    <w:rsid w:val="6FEB3409"/>
    <w:rsid w:val="6FEE3FE3"/>
    <w:rsid w:val="6FF2EFD2"/>
    <w:rsid w:val="6FF55067"/>
    <w:rsid w:val="6FF70C7C"/>
    <w:rsid w:val="6FF736B6"/>
    <w:rsid w:val="6FF8510C"/>
    <w:rsid w:val="6FFE666F"/>
    <w:rsid w:val="704A5458"/>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E77EFD"/>
    <w:rsid w:val="74FB735B"/>
    <w:rsid w:val="7519F0F1"/>
    <w:rsid w:val="753A75CE"/>
    <w:rsid w:val="7547410B"/>
    <w:rsid w:val="75670E1B"/>
    <w:rsid w:val="757E8488"/>
    <w:rsid w:val="759D5D2B"/>
    <w:rsid w:val="759DDA6E"/>
    <w:rsid w:val="75B57793"/>
    <w:rsid w:val="75B847FC"/>
    <w:rsid w:val="75DFB6E5"/>
    <w:rsid w:val="75E60986"/>
    <w:rsid w:val="75FFAC91"/>
    <w:rsid w:val="76067541"/>
    <w:rsid w:val="76171E85"/>
    <w:rsid w:val="761E1DD9"/>
    <w:rsid w:val="766D0A82"/>
    <w:rsid w:val="767F7BF5"/>
    <w:rsid w:val="76824B18"/>
    <w:rsid w:val="769FBAE5"/>
    <w:rsid w:val="76A357D8"/>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FB1360"/>
    <w:rsid w:val="77FBF545"/>
    <w:rsid w:val="77FC65BD"/>
    <w:rsid w:val="77FD2258"/>
    <w:rsid w:val="77FDAFC9"/>
    <w:rsid w:val="77FDD67D"/>
    <w:rsid w:val="77FFAA62"/>
    <w:rsid w:val="78267840"/>
    <w:rsid w:val="7884684B"/>
    <w:rsid w:val="78A6232C"/>
    <w:rsid w:val="78BE02B4"/>
    <w:rsid w:val="78BF6301"/>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E746F"/>
    <w:rsid w:val="7ADF8D6D"/>
    <w:rsid w:val="7ADFEA57"/>
    <w:rsid w:val="7AEF646F"/>
    <w:rsid w:val="7AF46CCC"/>
    <w:rsid w:val="7AF80114"/>
    <w:rsid w:val="7AFBA5EB"/>
    <w:rsid w:val="7B0C378D"/>
    <w:rsid w:val="7B211BE0"/>
    <w:rsid w:val="7B3604A3"/>
    <w:rsid w:val="7B64B9A8"/>
    <w:rsid w:val="7B77B281"/>
    <w:rsid w:val="7B7E3534"/>
    <w:rsid w:val="7B975221"/>
    <w:rsid w:val="7BA47726"/>
    <w:rsid w:val="7BB23E9F"/>
    <w:rsid w:val="7BBE7689"/>
    <w:rsid w:val="7BCA5CF9"/>
    <w:rsid w:val="7BCF053D"/>
    <w:rsid w:val="7BCFB8A0"/>
    <w:rsid w:val="7BDB8B1C"/>
    <w:rsid w:val="7BDE04C2"/>
    <w:rsid w:val="7BDF1B52"/>
    <w:rsid w:val="7BDFF045"/>
    <w:rsid w:val="7BE627E0"/>
    <w:rsid w:val="7BED0A2D"/>
    <w:rsid w:val="7BEF63A1"/>
    <w:rsid w:val="7BF2732B"/>
    <w:rsid w:val="7BF36A1C"/>
    <w:rsid w:val="7BF73FA3"/>
    <w:rsid w:val="7BF84618"/>
    <w:rsid w:val="7BF98F73"/>
    <w:rsid w:val="7BFBE961"/>
    <w:rsid w:val="7BFCCF9A"/>
    <w:rsid w:val="7BFD23BE"/>
    <w:rsid w:val="7BFF1252"/>
    <w:rsid w:val="7BFF4CBB"/>
    <w:rsid w:val="7BFFBEF3"/>
    <w:rsid w:val="7BFFFB61"/>
    <w:rsid w:val="7C199E8E"/>
    <w:rsid w:val="7C1E4662"/>
    <w:rsid w:val="7C637FBE"/>
    <w:rsid w:val="7C6FAC73"/>
    <w:rsid w:val="7C7974BC"/>
    <w:rsid w:val="7C805BDF"/>
    <w:rsid w:val="7C960D11"/>
    <w:rsid w:val="7C9D15C7"/>
    <w:rsid w:val="7CBE8518"/>
    <w:rsid w:val="7CD09542"/>
    <w:rsid w:val="7CD51442"/>
    <w:rsid w:val="7CEC546D"/>
    <w:rsid w:val="7CF11320"/>
    <w:rsid w:val="7CF81A8E"/>
    <w:rsid w:val="7D4877F9"/>
    <w:rsid w:val="7D5F766F"/>
    <w:rsid w:val="7D772C0B"/>
    <w:rsid w:val="7D7F3FD0"/>
    <w:rsid w:val="7D804B82"/>
    <w:rsid w:val="7D841571"/>
    <w:rsid w:val="7D9E4DCD"/>
    <w:rsid w:val="7DB44617"/>
    <w:rsid w:val="7DB912C6"/>
    <w:rsid w:val="7DCFA9AF"/>
    <w:rsid w:val="7DEFDD4D"/>
    <w:rsid w:val="7DF55D84"/>
    <w:rsid w:val="7DF5E540"/>
    <w:rsid w:val="7DFFD3A2"/>
    <w:rsid w:val="7E15D1C6"/>
    <w:rsid w:val="7E1861B4"/>
    <w:rsid w:val="7E1E6385"/>
    <w:rsid w:val="7E1FF0C7"/>
    <w:rsid w:val="7E3D5B49"/>
    <w:rsid w:val="7E3D6278"/>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55D8"/>
    <w:rsid w:val="7EFFCA79"/>
    <w:rsid w:val="7F0B523C"/>
    <w:rsid w:val="7F1A2ADD"/>
    <w:rsid w:val="7F1FE4C4"/>
    <w:rsid w:val="7F2E9941"/>
    <w:rsid w:val="7F3F0374"/>
    <w:rsid w:val="7F3F48D2"/>
    <w:rsid w:val="7F3FBEE0"/>
    <w:rsid w:val="7F5B0192"/>
    <w:rsid w:val="7F5ECA21"/>
    <w:rsid w:val="7F661F11"/>
    <w:rsid w:val="7F666B4F"/>
    <w:rsid w:val="7F66706F"/>
    <w:rsid w:val="7F6C9FEC"/>
    <w:rsid w:val="7F753CAD"/>
    <w:rsid w:val="7F77DAA1"/>
    <w:rsid w:val="7F7B93FD"/>
    <w:rsid w:val="7F7D363C"/>
    <w:rsid w:val="7F7DAC06"/>
    <w:rsid w:val="7F7DB235"/>
    <w:rsid w:val="7F7DEE50"/>
    <w:rsid w:val="7F7F6CA6"/>
    <w:rsid w:val="7F7FA077"/>
    <w:rsid w:val="7F7FA806"/>
    <w:rsid w:val="7F9E5011"/>
    <w:rsid w:val="7F9FA1D3"/>
    <w:rsid w:val="7FAD3878"/>
    <w:rsid w:val="7FAF19EE"/>
    <w:rsid w:val="7FB9C803"/>
    <w:rsid w:val="7FBA1318"/>
    <w:rsid w:val="7FBBD329"/>
    <w:rsid w:val="7FBD0DDC"/>
    <w:rsid w:val="7FBD3C31"/>
    <w:rsid w:val="7FBD6887"/>
    <w:rsid w:val="7FBF10A2"/>
    <w:rsid w:val="7FBF4759"/>
    <w:rsid w:val="7FC7B7AE"/>
    <w:rsid w:val="7FCB0E86"/>
    <w:rsid w:val="7FCDBC4D"/>
    <w:rsid w:val="7FCFE3A1"/>
    <w:rsid w:val="7FD7B55D"/>
    <w:rsid w:val="7FDA4A78"/>
    <w:rsid w:val="7FDBD71A"/>
    <w:rsid w:val="7FDE015F"/>
    <w:rsid w:val="7FDE6D84"/>
    <w:rsid w:val="7FDF0F57"/>
    <w:rsid w:val="7FDF8A26"/>
    <w:rsid w:val="7FE45506"/>
    <w:rsid w:val="7FE777B0"/>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5AD3"/>
    <w:rsid w:val="7FFFEDA8"/>
    <w:rsid w:val="7FFFFFF5"/>
    <w:rsid w:val="80FFD23B"/>
    <w:rsid w:val="87647AF8"/>
    <w:rsid w:val="8BAD3C64"/>
    <w:rsid w:val="8DFFD1AA"/>
    <w:rsid w:val="8F3E3382"/>
    <w:rsid w:val="8F7302B9"/>
    <w:rsid w:val="8FBB9A55"/>
    <w:rsid w:val="91DFE8F5"/>
    <w:rsid w:val="93DB74AF"/>
    <w:rsid w:val="97D71DFE"/>
    <w:rsid w:val="99ED0C9D"/>
    <w:rsid w:val="99FEE736"/>
    <w:rsid w:val="9A1E0A07"/>
    <w:rsid w:val="9D3EAF1C"/>
    <w:rsid w:val="9D6B2ED6"/>
    <w:rsid w:val="9D7F0DA6"/>
    <w:rsid w:val="9D9F82B4"/>
    <w:rsid w:val="9DBE3653"/>
    <w:rsid w:val="9DBF28CB"/>
    <w:rsid w:val="9DEEA1A7"/>
    <w:rsid w:val="9DFFC56B"/>
    <w:rsid w:val="9EFFBFDC"/>
    <w:rsid w:val="9F1F0774"/>
    <w:rsid w:val="9F5770BF"/>
    <w:rsid w:val="9F746438"/>
    <w:rsid w:val="9F7F0326"/>
    <w:rsid w:val="9FAE96CE"/>
    <w:rsid w:val="9FBF075C"/>
    <w:rsid w:val="9FBF926B"/>
    <w:rsid w:val="9FFFBA19"/>
    <w:rsid w:val="9FFFF6C8"/>
    <w:rsid w:val="A4F29759"/>
    <w:rsid w:val="A56A5B4C"/>
    <w:rsid w:val="A5FD887E"/>
    <w:rsid w:val="A69E7D90"/>
    <w:rsid w:val="A798F561"/>
    <w:rsid w:val="A7F5298F"/>
    <w:rsid w:val="A9F7316B"/>
    <w:rsid w:val="A9FBD03D"/>
    <w:rsid w:val="ABF7DC2D"/>
    <w:rsid w:val="ABFFE5E5"/>
    <w:rsid w:val="AD6D9B49"/>
    <w:rsid w:val="ADFA5E98"/>
    <w:rsid w:val="AEAF57D7"/>
    <w:rsid w:val="AEBFBB0B"/>
    <w:rsid w:val="AEF841E1"/>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F78BBC"/>
    <w:rsid w:val="B6FF60FB"/>
    <w:rsid w:val="B7792E3B"/>
    <w:rsid w:val="B77E4031"/>
    <w:rsid w:val="B77F9227"/>
    <w:rsid w:val="B78ED157"/>
    <w:rsid w:val="B78F4E27"/>
    <w:rsid w:val="B7A2D194"/>
    <w:rsid w:val="B7BF41DE"/>
    <w:rsid w:val="B7DC0139"/>
    <w:rsid w:val="B7DF8790"/>
    <w:rsid w:val="B7EF1635"/>
    <w:rsid w:val="B7F3D556"/>
    <w:rsid w:val="B7F59EB5"/>
    <w:rsid w:val="B82FA061"/>
    <w:rsid w:val="B8834A40"/>
    <w:rsid w:val="B8C36AD2"/>
    <w:rsid w:val="B8FB85AD"/>
    <w:rsid w:val="B94390A1"/>
    <w:rsid w:val="B9F7DB7E"/>
    <w:rsid w:val="B9FDF686"/>
    <w:rsid w:val="BABB2ACA"/>
    <w:rsid w:val="BB5D82F3"/>
    <w:rsid w:val="BB6D2A73"/>
    <w:rsid w:val="BB7916AC"/>
    <w:rsid w:val="BBCF4FBF"/>
    <w:rsid w:val="BBDD7A8B"/>
    <w:rsid w:val="BBDEB2DA"/>
    <w:rsid w:val="BBDF3B74"/>
    <w:rsid w:val="BBFE9003"/>
    <w:rsid w:val="BCCD3A25"/>
    <w:rsid w:val="BD6A2F93"/>
    <w:rsid w:val="BD7FB6AF"/>
    <w:rsid w:val="BDAFF17D"/>
    <w:rsid w:val="BDBB88FB"/>
    <w:rsid w:val="BDE358E1"/>
    <w:rsid w:val="BDF54444"/>
    <w:rsid w:val="BDF62983"/>
    <w:rsid w:val="BDF7AF13"/>
    <w:rsid w:val="BDFED5AD"/>
    <w:rsid w:val="BDFF0CCC"/>
    <w:rsid w:val="BDFFB0DE"/>
    <w:rsid w:val="BE2E71F8"/>
    <w:rsid w:val="BE57D109"/>
    <w:rsid w:val="BE7FE035"/>
    <w:rsid w:val="BE8E899D"/>
    <w:rsid w:val="BEBBD8C1"/>
    <w:rsid w:val="BEDB8436"/>
    <w:rsid w:val="BEF7187E"/>
    <w:rsid w:val="BEFB0E83"/>
    <w:rsid w:val="BF3A91C7"/>
    <w:rsid w:val="BF604D9D"/>
    <w:rsid w:val="BF6BD8BA"/>
    <w:rsid w:val="BF76AA92"/>
    <w:rsid w:val="BF76E7B0"/>
    <w:rsid w:val="BF793CE4"/>
    <w:rsid w:val="BF7E4088"/>
    <w:rsid w:val="BF7F3C1C"/>
    <w:rsid w:val="BF9A05E5"/>
    <w:rsid w:val="BFA12AD0"/>
    <w:rsid w:val="BFB75766"/>
    <w:rsid w:val="BFBD201B"/>
    <w:rsid w:val="BFBD622E"/>
    <w:rsid w:val="BFBFCBD6"/>
    <w:rsid w:val="BFDBC591"/>
    <w:rsid w:val="BFDC8098"/>
    <w:rsid w:val="BFDFF8CA"/>
    <w:rsid w:val="BFE32A1E"/>
    <w:rsid w:val="BFEDD8B4"/>
    <w:rsid w:val="BFEEB6FB"/>
    <w:rsid w:val="BFEF8AF5"/>
    <w:rsid w:val="BFF5BC68"/>
    <w:rsid w:val="BFF7C788"/>
    <w:rsid w:val="BFFC6D96"/>
    <w:rsid w:val="BFFF0B13"/>
    <w:rsid w:val="BFFFF591"/>
    <w:rsid w:val="C57B30B2"/>
    <w:rsid w:val="C5923726"/>
    <w:rsid w:val="C5BF2169"/>
    <w:rsid w:val="C5DF0AA3"/>
    <w:rsid w:val="C7470024"/>
    <w:rsid w:val="CB339C4C"/>
    <w:rsid w:val="CB5FE9A0"/>
    <w:rsid w:val="CBF68264"/>
    <w:rsid w:val="CBFFBB8F"/>
    <w:rsid w:val="CC6D41A8"/>
    <w:rsid w:val="CCE3DF2C"/>
    <w:rsid w:val="CD9379DD"/>
    <w:rsid w:val="CDD5C00D"/>
    <w:rsid w:val="CDEE0A57"/>
    <w:rsid w:val="CDFD62BF"/>
    <w:rsid w:val="CDFDE3EF"/>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F707AB"/>
    <w:rsid w:val="D3F7AEF2"/>
    <w:rsid w:val="D3FA2600"/>
    <w:rsid w:val="D3FF6AE8"/>
    <w:rsid w:val="D4BDA523"/>
    <w:rsid w:val="D5FD486A"/>
    <w:rsid w:val="D5FD875C"/>
    <w:rsid w:val="D5FF1039"/>
    <w:rsid w:val="D6EB4C31"/>
    <w:rsid w:val="D73FAC7A"/>
    <w:rsid w:val="D7BBF31B"/>
    <w:rsid w:val="D7D5CC6F"/>
    <w:rsid w:val="D7DE753A"/>
    <w:rsid w:val="D7E09F42"/>
    <w:rsid w:val="D7FB59A0"/>
    <w:rsid w:val="D7FED8D0"/>
    <w:rsid w:val="D7FF672B"/>
    <w:rsid w:val="D7FFF9DF"/>
    <w:rsid w:val="D8A9D188"/>
    <w:rsid w:val="D9BD42E9"/>
    <w:rsid w:val="D9BE4408"/>
    <w:rsid w:val="DABFB485"/>
    <w:rsid w:val="DB2E96B1"/>
    <w:rsid w:val="DB99523A"/>
    <w:rsid w:val="DBBFC65C"/>
    <w:rsid w:val="DBCB3E80"/>
    <w:rsid w:val="DBD5E18D"/>
    <w:rsid w:val="DBDD1800"/>
    <w:rsid w:val="DBEA5FD9"/>
    <w:rsid w:val="DBF6C713"/>
    <w:rsid w:val="DBFAB6E2"/>
    <w:rsid w:val="DBFF2B01"/>
    <w:rsid w:val="DBFFB739"/>
    <w:rsid w:val="DC7FF3D4"/>
    <w:rsid w:val="DCBDD353"/>
    <w:rsid w:val="DCE9A5E8"/>
    <w:rsid w:val="DCEBD107"/>
    <w:rsid w:val="DCEFE6D6"/>
    <w:rsid w:val="DCFE0F4D"/>
    <w:rsid w:val="DD722B29"/>
    <w:rsid w:val="DDAB0F76"/>
    <w:rsid w:val="DDDCC728"/>
    <w:rsid w:val="DDFE9AAD"/>
    <w:rsid w:val="DEAC06F5"/>
    <w:rsid w:val="DEBE04B8"/>
    <w:rsid w:val="DEBFF87C"/>
    <w:rsid w:val="DECD45E5"/>
    <w:rsid w:val="DED7F2B4"/>
    <w:rsid w:val="DEDFDF58"/>
    <w:rsid w:val="DEE54E08"/>
    <w:rsid w:val="DEE670BC"/>
    <w:rsid w:val="DF37A205"/>
    <w:rsid w:val="DF3F1911"/>
    <w:rsid w:val="DF6DD13C"/>
    <w:rsid w:val="DF763325"/>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9E5D0"/>
    <w:rsid w:val="DFDFAC6F"/>
    <w:rsid w:val="DFE73EF5"/>
    <w:rsid w:val="DFEC7A3A"/>
    <w:rsid w:val="DFEFA24D"/>
    <w:rsid w:val="DFEFFE04"/>
    <w:rsid w:val="DFF0F891"/>
    <w:rsid w:val="DFF30972"/>
    <w:rsid w:val="DFFB4111"/>
    <w:rsid w:val="DFFBC7E1"/>
    <w:rsid w:val="DFFCACE0"/>
    <w:rsid w:val="DFFF2B5D"/>
    <w:rsid w:val="DFFF3928"/>
    <w:rsid w:val="DFFFB827"/>
    <w:rsid w:val="E17F3390"/>
    <w:rsid w:val="E1BDB81F"/>
    <w:rsid w:val="E1EF2A08"/>
    <w:rsid w:val="E2ED36E5"/>
    <w:rsid w:val="E5BFBD14"/>
    <w:rsid w:val="E5FD79EC"/>
    <w:rsid w:val="E69DB6F6"/>
    <w:rsid w:val="E6EEE5E3"/>
    <w:rsid w:val="E6FA0EAF"/>
    <w:rsid w:val="E6FF671B"/>
    <w:rsid w:val="E7BECC07"/>
    <w:rsid w:val="E7DD1255"/>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7E0D37"/>
    <w:rsid w:val="EBAD28DF"/>
    <w:rsid w:val="EBB6D35F"/>
    <w:rsid w:val="EBBF4A2E"/>
    <w:rsid w:val="EBBFAF58"/>
    <w:rsid w:val="EBD957CC"/>
    <w:rsid w:val="EBFBA9D6"/>
    <w:rsid w:val="EBFD03CE"/>
    <w:rsid w:val="EBFFD39E"/>
    <w:rsid w:val="EC75EFAF"/>
    <w:rsid w:val="EC7FA350"/>
    <w:rsid w:val="ECF1EE47"/>
    <w:rsid w:val="ED690673"/>
    <w:rsid w:val="ED7E040F"/>
    <w:rsid w:val="EDC312B6"/>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B99481"/>
    <w:rsid w:val="EFBFFBC7"/>
    <w:rsid w:val="EFCF1850"/>
    <w:rsid w:val="EFDE05E6"/>
    <w:rsid w:val="EFDF616C"/>
    <w:rsid w:val="EFF4B0B3"/>
    <w:rsid w:val="EFF5875C"/>
    <w:rsid w:val="EFF74B30"/>
    <w:rsid w:val="EFF92E18"/>
    <w:rsid w:val="EFFB9311"/>
    <w:rsid w:val="EFFBBA0B"/>
    <w:rsid w:val="EFFBF828"/>
    <w:rsid w:val="EFFF6F19"/>
    <w:rsid w:val="F11FEDF9"/>
    <w:rsid w:val="F17F5E1A"/>
    <w:rsid w:val="F1DFE06D"/>
    <w:rsid w:val="F2899859"/>
    <w:rsid w:val="F2BF5C01"/>
    <w:rsid w:val="F2DCE203"/>
    <w:rsid w:val="F2FBA260"/>
    <w:rsid w:val="F32FE83B"/>
    <w:rsid w:val="F3723DB1"/>
    <w:rsid w:val="F3D7D169"/>
    <w:rsid w:val="F3EA0697"/>
    <w:rsid w:val="F3F2F550"/>
    <w:rsid w:val="F3F5BEE9"/>
    <w:rsid w:val="F3F8EE6C"/>
    <w:rsid w:val="F3FB14F0"/>
    <w:rsid w:val="F3FF05B4"/>
    <w:rsid w:val="F3FFD2DD"/>
    <w:rsid w:val="F4571BDB"/>
    <w:rsid w:val="F4BF339E"/>
    <w:rsid w:val="F4CF00A8"/>
    <w:rsid w:val="F57EA373"/>
    <w:rsid w:val="F5AB4465"/>
    <w:rsid w:val="F5AF1AAC"/>
    <w:rsid w:val="F5D6D416"/>
    <w:rsid w:val="F5EF5BA1"/>
    <w:rsid w:val="F5FFA048"/>
    <w:rsid w:val="F66E6811"/>
    <w:rsid w:val="F6F715DC"/>
    <w:rsid w:val="F6FC548F"/>
    <w:rsid w:val="F6FF0645"/>
    <w:rsid w:val="F70F4387"/>
    <w:rsid w:val="F75DEE87"/>
    <w:rsid w:val="F76FC34E"/>
    <w:rsid w:val="F77EAFBC"/>
    <w:rsid w:val="F79BF327"/>
    <w:rsid w:val="F7BB0BC8"/>
    <w:rsid w:val="F7BB5C28"/>
    <w:rsid w:val="F7BB7DA5"/>
    <w:rsid w:val="F7BF4B69"/>
    <w:rsid w:val="F7BFDD02"/>
    <w:rsid w:val="F7C640FC"/>
    <w:rsid w:val="F7D30B5E"/>
    <w:rsid w:val="F7D5FA45"/>
    <w:rsid w:val="F7DF177A"/>
    <w:rsid w:val="F7DFD18F"/>
    <w:rsid w:val="F7EF6B7F"/>
    <w:rsid w:val="F7EFD4DB"/>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FA94DA"/>
    <w:rsid w:val="F9FFCD8A"/>
    <w:rsid w:val="F9FFE9E2"/>
    <w:rsid w:val="FA673975"/>
    <w:rsid w:val="FA6F5FA1"/>
    <w:rsid w:val="FA6F7A3B"/>
    <w:rsid w:val="FA9F3B8F"/>
    <w:rsid w:val="FABB1ADF"/>
    <w:rsid w:val="FAFB5879"/>
    <w:rsid w:val="FAFFE8B1"/>
    <w:rsid w:val="FB0FA5A1"/>
    <w:rsid w:val="FB1B2E8B"/>
    <w:rsid w:val="FB5DDB87"/>
    <w:rsid w:val="FB5F7A41"/>
    <w:rsid w:val="FB6141D0"/>
    <w:rsid w:val="FB737713"/>
    <w:rsid w:val="FB7620CB"/>
    <w:rsid w:val="FBAD924E"/>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F537C"/>
    <w:rsid w:val="FBFF59BB"/>
    <w:rsid w:val="FBFFFF9E"/>
    <w:rsid w:val="FC2F7095"/>
    <w:rsid w:val="FC45570C"/>
    <w:rsid w:val="FC5D01CF"/>
    <w:rsid w:val="FC7390B6"/>
    <w:rsid w:val="FC7D08FF"/>
    <w:rsid w:val="FCBD7C47"/>
    <w:rsid w:val="FCCAE4B4"/>
    <w:rsid w:val="FCEF4AA4"/>
    <w:rsid w:val="FCF3C0FF"/>
    <w:rsid w:val="FCFE3BF1"/>
    <w:rsid w:val="FCFFC7AA"/>
    <w:rsid w:val="FD1F198B"/>
    <w:rsid w:val="FD3D1E0E"/>
    <w:rsid w:val="FD5A3379"/>
    <w:rsid w:val="FD7F9963"/>
    <w:rsid w:val="FD9F4A15"/>
    <w:rsid w:val="FDAFF0EB"/>
    <w:rsid w:val="FDBE483E"/>
    <w:rsid w:val="FDCBF945"/>
    <w:rsid w:val="FDDF292B"/>
    <w:rsid w:val="FDE47190"/>
    <w:rsid w:val="FDEB5CB7"/>
    <w:rsid w:val="FDEB6716"/>
    <w:rsid w:val="FDEF2A04"/>
    <w:rsid w:val="FDF399A8"/>
    <w:rsid w:val="FDF97ECA"/>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EF0ED8"/>
    <w:rsid w:val="FEF608EA"/>
    <w:rsid w:val="FEF7D53C"/>
    <w:rsid w:val="FEF99CBF"/>
    <w:rsid w:val="FEFEA587"/>
    <w:rsid w:val="FEFF7BD4"/>
    <w:rsid w:val="FF1E1442"/>
    <w:rsid w:val="FF3D390A"/>
    <w:rsid w:val="FF3E59B5"/>
    <w:rsid w:val="FF4FE9F1"/>
    <w:rsid w:val="FF5B8D7F"/>
    <w:rsid w:val="FF5D1F29"/>
    <w:rsid w:val="FF659D82"/>
    <w:rsid w:val="FF660C39"/>
    <w:rsid w:val="FF6BA83A"/>
    <w:rsid w:val="FF6C3765"/>
    <w:rsid w:val="FF6FB5D7"/>
    <w:rsid w:val="FF738773"/>
    <w:rsid w:val="FF75DB73"/>
    <w:rsid w:val="FF7AEC13"/>
    <w:rsid w:val="FF7B52EA"/>
    <w:rsid w:val="FF7B874E"/>
    <w:rsid w:val="FF7C84EC"/>
    <w:rsid w:val="FF7DC127"/>
    <w:rsid w:val="FF7EEB41"/>
    <w:rsid w:val="FF7F4185"/>
    <w:rsid w:val="FF7F4461"/>
    <w:rsid w:val="FF8F6649"/>
    <w:rsid w:val="FF97B671"/>
    <w:rsid w:val="FF9FA27F"/>
    <w:rsid w:val="FFA6D6F5"/>
    <w:rsid w:val="FFADDE42"/>
    <w:rsid w:val="FFAF5F11"/>
    <w:rsid w:val="FFB2CB99"/>
    <w:rsid w:val="FFB769D4"/>
    <w:rsid w:val="FFBCC349"/>
    <w:rsid w:val="FFBD8E1E"/>
    <w:rsid w:val="FFBEB8C7"/>
    <w:rsid w:val="FFBF0390"/>
    <w:rsid w:val="FFC7C6F9"/>
    <w:rsid w:val="FFCC2759"/>
    <w:rsid w:val="FFCE4F99"/>
    <w:rsid w:val="FFCF23F3"/>
    <w:rsid w:val="FFCF688E"/>
    <w:rsid w:val="FFCF6C60"/>
    <w:rsid w:val="FFD34341"/>
    <w:rsid w:val="FFD51B27"/>
    <w:rsid w:val="FFD55392"/>
    <w:rsid w:val="FFD73722"/>
    <w:rsid w:val="FFD9E784"/>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FB73"/>
    <w:rsid w:val="FFFB0977"/>
    <w:rsid w:val="FFFB2B15"/>
    <w:rsid w:val="FFFBAE4E"/>
    <w:rsid w:val="FFFD5F2A"/>
    <w:rsid w:val="FFFD8BDA"/>
    <w:rsid w:val="FFFDC7E6"/>
    <w:rsid w:val="FFFDDB9B"/>
    <w:rsid w:val="FFFE0AE4"/>
    <w:rsid w:val="FFFE5B9E"/>
    <w:rsid w:val="FFFEAABD"/>
    <w:rsid w:val="FFFECC37"/>
    <w:rsid w:val="FFFF509D"/>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4">
    <w:name w:val="heading 3"/>
    <w:basedOn w:val="1"/>
    <w:next w:val="1"/>
    <w:qFormat/>
    <w:uiPriority w:val="9"/>
    <w:pPr>
      <w:keepNext/>
      <w:keepLines/>
      <w:spacing w:before="260" w:after="260" w:line="416" w:lineRule="auto"/>
      <w:outlineLvl w:val="2"/>
    </w:pPr>
    <w:rPr>
      <w:bCs/>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rPr>
      <w:kern w:val="0"/>
      <w:sz w:val="20"/>
    </w:rPr>
  </w:style>
  <w:style w:type="paragraph" w:styleId="5">
    <w:name w:val="annotation text"/>
    <w:basedOn w:val="1"/>
    <w:link w:val="19"/>
    <w:qFormat/>
    <w:uiPriority w:val="0"/>
    <w:pPr>
      <w:jc w:val="left"/>
    </w:pPr>
  </w:style>
  <w:style w:type="paragraph" w:styleId="6">
    <w:name w:val="Body Text"/>
    <w:basedOn w:val="1"/>
    <w:next w:val="1"/>
    <w:qFormat/>
    <w:uiPriority w:val="0"/>
    <w:pPr>
      <w:spacing w:after="120"/>
    </w:pPr>
  </w:style>
  <w:style w:type="paragraph" w:styleId="7">
    <w:name w:val="Body Text Indent"/>
    <w:basedOn w:val="1"/>
    <w:next w:val="1"/>
    <w:qFormat/>
    <w:uiPriority w:val="0"/>
    <w:pPr>
      <w:spacing w:line="480" w:lineRule="exact"/>
      <w:ind w:firstLine="480" w:firstLineChars="200"/>
    </w:pPr>
    <w:rPr>
      <w:rFonts w:ascii="宋体" w:hAnsi="宋体"/>
      <w:color w:val="FF0000"/>
      <w:kern w:val="0"/>
      <w:sz w:val="24"/>
    </w:rPr>
  </w:style>
  <w:style w:type="paragraph" w:styleId="8">
    <w:name w:val="Balloon Text"/>
    <w:basedOn w:val="1"/>
    <w:link w:val="2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annotation subject"/>
    <w:basedOn w:val="5"/>
    <w:next w:val="5"/>
    <w:link w:val="20"/>
    <w:qFormat/>
    <w:uiPriority w:val="0"/>
    <w:rPr>
      <w:b/>
      <w:bCs/>
    </w:rPr>
  </w:style>
  <w:style w:type="paragraph" w:styleId="12">
    <w:name w:val="Body Text First Indent"/>
    <w:basedOn w:val="6"/>
    <w:next w:val="1"/>
    <w:unhideWhenUsed/>
    <w:qFormat/>
    <w:uiPriority w:val="99"/>
    <w:pPr>
      <w:spacing w:after="120"/>
      <w:ind w:firstLine="420" w:firstLineChars="100"/>
    </w:pPr>
    <w:rPr>
      <w:rFonts w:ascii="Calibri" w:hAnsi="Calibri" w:eastAsia="宋体" w:cs="Times New Roman"/>
      <w:szCs w:val="22"/>
    </w:rPr>
  </w:style>
  <w:style w:type="paragraph" w:styleId="13">
    <w:name w:val="Body Text First Indent 2"/>
    <w:basedOn w:val="7"/>
    <w:next w:val="12"/>
    <w:unhideWhenUsed/>
    <w:qFormat/>
    <w:uiPriority w:val="0"/>
    <w:pPr>
      <w:spacing w:after="120" w:line="240" w:lineRule="auto"/>
      <w:ind w:left="420" w:leftChars="200" w:firstLine="420"/>
    </w:pPr>
  </w:style>
  <w:style w:type="character" w:styleId="16">
    <w:name w:val="annotation reference"/>
    <w:basedOn w:val="15"/>
    <w:qFormat/>
    <w:uiPriority w:val="0"/>
    <w:rPr>
      <w:sz w:val="21"/>
      <w:szCs w:val="21"/>
    </w:rPr>
  </w:style>
  <w:style w:type="paragraph" w:customStyle="1" w:styleId="17">
    <w:name w:val="样式 标题 2"/>
    <w:basedOn w:val="3"/>
    <w:next w:val="18"/>
    <w:qFormat/>
    <w:uiPriority w:val="0"/>
    <w:pPr>
      <w:spacing w:before="50" w:after="50"/>
    </w:pPr>
    <w:rPr>
      <w:szCs w:val="28"/>
    </w:rPr>
  </w:style>
  <w:style w:type="paragraph" w:customStyle="1" w:styleId="18">
    <w:name w:val="Default1"/>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character" w:customStyle="1" w:styleId="19">
    <w:name w:val="批注文字 Char"/>
    <w:basedOn w:val="15"/>
    <w:link w:val="5"/>
    <w:qFormat/>
    <w:uiPriority w:val="0"/>
    <w:rPr>
      <w:kern w:val="2"/>
      <w:sz w:val="21"/>
      <w:szCs w:val="24"/>
    </w:rPr>
  </w:style>
  <w:style w:type="character" w:customStyle="1" w:styleId="20">
    <w:name w:val="批注主题 Char"/>
    <w:basedOn w:val="19"/>
    <w:link w:val="11"/>
    <w:qFormat/>
    <w:uiPriority w:val="0"/>
    <w:rPr>
      <w:b/>
      <w:bCs/>
      <w:kern w:val="2"/>
      <w:sz w:val="21"/>
      <w:szCs w:val="24"/>
    </w:rPr>
  </w:style>
  <w:style w:type="character" w:customStyle="1" w:styleId="21">
    <w:name w:val="批注框文本 Char"/>
    <w:basedOn w:val="15"/>
    <w:link w:val="8"/>
    <w:qFormat/>
    <w:uiPriority w:val="0"/>
    <w:rPr>
      <w:kern w:val="2"/>
      <w:sz w:val="18"/>
      <w:szCs w:val="18"/>
    </w:rPr>
  </w:style>
  <w:style w:type="paragraph" w:customStyle="1" w:styleId="22">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2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Zxmsoft</Company>
  <Pages>9</Pages>
  <Words>3627</Words>
  <Characters>3878</Characters>
  <Lines>26</Lines>
  <Paragraphs>7</Paragraphs>
  <TotalTime>19</TotalTime>
  <ScaleCrop>false</ScaleCrop>
  <LinksUpToDate>false</LinksUpToDate>
  <CharactersWithSpaces>4106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2022-02-28T17:25:00Z</dcterms:created>
  <dc:creator>Administrator</dc:creator>
  <cp:lastModifiedBy>admin123</cp:lastModifiedBy>
  <cp:lastPrinted>2023-05-18T01:51:00Z</cp:lastPrinted>
  <dcterms:modified xsi:type="dcterms:W3CDTF">2023-06-16T16:54:08Z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FCBE9B4CC0E04C92A70FAB8A4987C073</vt:lpwstr>
  </property>
</Properties>
</file>