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40</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uw7UY1QAAAAYBAAAPAAAAAAAAAAEAIAAAADgAAABkcnMvZG93bnJl&#10;di54bWxQSwECFAAUAAAACACHTuJALPboIuoBAACtAwAADgAAAAAAAAABACAAAAA6AQAAZHJzL2Uy&#10;b0RvYy54bWxQSwUGAAAAAAYABgBZAQAAlgUAAAAA&#10;">
                <v:fill on="f" focussize="0,0"/>
                <v:stroke weight="3pt" color="#FF0000" joinstyle="round"/>
                <v:imagedata o:title=""/>
                <o:lock v:ext="edit" aspectratio="f"/>
              </v:shape>
            </w:pict>
          </mc:Fallback>
        </mc:AlternateContent>
      </w:r>
    </w:p>
    <w:p>
      <w:pPr>
        <w:spacing w:line="520" w:lineRule="exact"/>
        <w:jc w:val="center"/>
        <w:rPr>
          <w:rFonts w:ascii="方正小标宋简体" w:hAnsi="宋体" w:eastAsia="方正小标宋简体"/>
          <w:w w:val="95"/>
          <w:sz w:val="44"/>
          <w:szCs w:val="44"/>
        </w:rPr>
      </w:pPr>
      <w:r>
        <w:rPr>
          <w:rFonts w:hint="eastAsia" w:ascii="方正小标宋简体" w:hAnsi="宋体" w:eastAsia="方正小标宋简体" w:cs="Times New Roman"/>
          <w:w w:val="95"/>
          <w:sz w:val="44"/>
          <w:szCs w:val="44"/>
        </w:rPr>
        <w:t>江西云赣矿产资源综合利用有限公司年产60万吨陶瓷原料建设项目</w:t>
      </w:r>
      <w:r>
        <w:rPr>
          <w:rFonts w:hint="eastAsia" w:ascii="方正小标宋简体" w:hAnsi="宋体" w:eastAsia="方正小标宋简体"/>
          <w:w w:val="95"/>
          <w:sz w:val="44"/>
          <w:szCs w:val="44"/>
        </w:rPr>
        <w:t>环境影响报告书的批复</w:t>
      </w:r>
    </w:p>
    <w:p>
      <w:pPr>
        <w:spacing w:line="520" w:lineRule="exact"/>
        <w:rPr>
          <w:rFonts w:ascii="仿宋_GB2312" w:hAnsi="仿宋_GB2312" w:eastAsia="仿宋_GB2312" w:cs="仿宋_GB2312"/>
          <w:sz w:val="32"/>
          <w:szCs w:val="32"/>
        </w:rPr>
      </w:pPr>
    </w:p>
    <w:p>
      <w:pPr>
        <w:keepNext w:val="0"/>
        <w:keepLines w:val="0"/>
        <w:pageBreakBefore w:val="0"/>
        <w:kinsoku/>
        <w:wordWrap/>
        <w:overflowPunct/>
        <w:topLinePunct w:val="0"/>
        <w:autoSpaceDE w:val="0"/>
        <w:autoSpaceDN/>
        <w:bidi w:val="0"/>
        <w:spacing w:line="520" w:lineRule="exact"/>
        <w:textAlignment w:val="auto"/>
        <w:rPr>
          <w:rFonts w:hint="eastAsia" w:ascii="仿宋_GB2312" w:hAnsi="仿宋" w:eastAsia="仿宋_GB2312" w:cs="仿宋"/>
          <w:sz w:val="32"/>
          <w:szCs w:val="32"/>
        </w:rPr>
      </w:pPr>
      <w:r>
        <w:rPr>
          <w:rFonts w:hint="eastAsia" w:ascii="仿宋_GB2312" w:hAnsi="仿宋_GB2312" w:eastAsia="仿宋_GB2312" w:cs="仿宋_GB2312"/>
          <w:bCs/>
          <w:color w:val="000000"/>
          <w:sz w:val="32"/>
          <w:szCs w:val="32"/>
        </w:rPr>
        <w:t>江西云赣矿产资源综合利用有限公司</w:t>
      </w:r>
      <w:r>
        <w:rPr>
          <w:rFonts w:hint="eastAsia" w:ascii="仿宋_GB2312" w:hAnsi="仿宋" w:eastAsia="仿宋_GB2312" w:cs="仿宋"/>
          <w:sz w:val="32"/>
          <w:szCs w:val="32"/>
        </w:rPr>
        <w:t>：</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你公司《关于请求审批〈</w:t>
      </w:r>
      <w:r>
        <w:rPr>
          <w:rFonts w:hint="eastAsia" w:ascii="仿宋_GB2312" w:hAnsi="仿宋_GB2312" w:eastAsia="仿宋_GB2312" w:cs="仿宋_GB2312"/>
          <w:bCs/>
          <w:color w:val="000000"/>
          <w:sz w:val="32"/>
          <w:szCs w:val="32"/>
        </w:rPr>
        <w:t>江西云赣矿产资源综合利用有限公司年产60万吨陶瓷原料建设项目</w:t>
      </w:r>
      <w:r>
        <w:rPr>
          <w:rFonts w:hint="eastAsia" w:ascii="仿宋_GB2312" w:hAnsi="仿宋" w:eastAsia="仿宋_GB2312" w:cs="仿宋"/>
          <w:sz w:val="32"/>
          <w:szCs w:val="32"/>
        </w:rPr>
        <w:t>环境影响报告书〉的请示》以及相关资料收悉，经研究，批复如下：</w:t>
      </w:r>
    </w:p>
    <w:p>
      <w:pPr>
        <w:keepNext w:val="0"/>
        <w:keepLines w:val="0"/>
        <w:pageBreakBefore w:val="0"/>
        <w:kinsoku/>
        <w:wordWrap/>
        <w:overflowPunct/>
        <w:topLinePunct w:val="0"/>
        <w:autoSpaceDN/>
        <w:bidi w:val="0"/>
        <w:spacing w:line="52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rPr>
        <w:t>一、项目建设内容及批复意见</w:t>
      </w:r>
    </w:p>
    <w:p>
      <w:pPr>
        <w:keepNext w:val="0"/>
        <w:keepLines w:val="0"/>
        <w:pageBreakBefore w:val="0"/>
        <w:kinsoku/>
        <w:wordWrap/>
        <w:overflowPunct/>
        <w:topLinePunct w:val="0"/>
        <w:autoSpaceDN/>
        <w:bidi w:val="0"/>
        <w:spacing w:line="52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江西云赣矿产资源综合利用有限公司年产60万吨陶瓷原料建设项目</w:t>
      </w:r>
      <w:r>
        <w:rPr>
          <w:rFonts w:hint="eastAsia" w:ascii="仿宋_GB2312" w:hAnsi="仿宋_GB2312" w:eastAsia="仿宋_GB2312" w:cs="仿宋_GB2312"/>
          <w:bCs/>
          <w:color w:val="000000"/>
          <w:sz w:val="32"/>
          <w:szCs w:val="32"/>
          <w:lang w:val="zh-CN" w:eastAsia="zh-CN"/>
        </w:rPr>
        <w:t>拟建于</w:t>
      </w:r>
      <w:r>
        <w:rPr>
          <w:rFonts w:hint="eastAsia" w:ascii="仿宋_GB2312" w:hAnsi="仿宋_GB2312" w:eastAsia="仿宋_GB2312" w:cs="仿宋_GB2312"/>
          <w:bCs/>
          <w:sz w:val="32"/>
          <w:szCs w:val="32"/>
        </w:rPr>
        <w:t>宜春市万载县罗城镇罗城村厂址中心坐标为</w:t>
      </w:r>
      <w:r>
        <w:rPr>
          <w:rFonts w:ascii="仿宋_GB2312" w:hAnsi="仿宋_GB2312" w:eastAsia="仿宋_GB2312" w:cs="仿宋_GB2312"/>
          <w:bCs/>
          <w:sz w:val="32"/>
          <w:szCs w:val="32"/>
        </w:rPr>
        <w:t>东经</w:t>
      </w:r>
      <w:r>
        <w:rPr>
          <w:rFonts w:hint="eastAsia" w:ascii="仿宋_GB2312" w:hAnsi="仿宋_GB2312" w:eastAsia="仿宋_GB2312" w:cs="仿宋_GB2312"/>
          <w:bCs/>
          <w:sz w:val="32"/>
          <w:szCs w:val="32"/>
        </w:rPr>
        <w:t>114°33′9.648″、</w:t>
      </w:r>
      <w:r>
        <w:rPr>
          <w:rFonts w:ascii="仿宋_GB2312" w:hAnsi="仿宋_GB2312" w:eastAsia="仿宋_GB2312" w:cs="仿宋_GB2312"/>
          <w:bCs/>
          <w:sz w:val="32"/>
          <w:szCs w:val="32"/>
        </w:rPr>
        <w:t>北纬</w:t>
      </w:r>
      <w:r>
        <w:rPr>
          <w:rFonts w:hint="eastAsia" w:ascii="仿宋_GB2312" w:hAnsi="仿宋_GB2312" w:eastAsia="仿宋_GB2312" w:cs="仿宋_GB2312"/>
          <w:bCs/>
          <w:sz w:val="32"/>
          <w:szCs w:val="32"/>
        </w:rPr>
        <w:t>28°16′32.664″，总占地面</w:t>
      </w:r>
      <w:r>
        <w:rPr>
          <w:rFonts w:hint="eastAsia" w:ascii="仿宋_GB2312" w:hAnsi="仿宋_GB2312" w:eastAsia="仿宋_GB2312" w:cs="仿宋_GB2312"/>
          <w:bCs/>
          <w:color w:val="000000"/>
          <w:sz w:val="32"/>
          <w:szCs w:val="32"/>
        </w:rPr>
        <w:t>积</w:t>
      </w:r>
      <w:r>
        <w:rPr>
          <w:rFonts w:ascii="仿宋_GB2312" w:hAnsi="仿宋_GB2312" w:eastAsia="仿宋_GB2312" w:cs="仿宋_GB2312"/>
          <w:bCs/>
          <w:color w:val="000000"/>
          <w:sz w:val="32"/>
          <w:szCs w:val="32"/>
        </w:rPr>
        <w:t>43.12</w:t>
      </w:r>
      <w:r>
        <w:rPr>
          <w:rFonts w:hint="eastAsia" w:ascii="仿宋_GB2312" w:hAnsi="仿宋_GB2312" w:eastAsia="仿宋_GB2312" w:cs="仿宋_GB2312"/>
          <w:bCs/>
          <w:color w:val="000000"/>
          <w:sz w:val="32"/>
          <w:szCs w:val="32"/>
        </w:rPr>
        <w:t>亩。项目北侧为少量居民楼，在本项目卫生防护距离之外，南侧、东侧、西侧为荒地。</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hint="default" w:ascii="Times New Roman" w:hAnsi="Times New Roman" w:eastAsia="仿宋_GB2312" w:cs="Times New Roman"/>
          <w:bCs/>
          <w:color w:val="000000"/>
          <w:sz w:val="32"/>
          <w:szCs w:val="32"/>
        </w:rPr>
      </w:pPr>
      <w:r>
        <w:rPr>
          <w:rFonts w:hint="eastAsia" w:ascii="仿宋_GB2312" w:hAnsi="仿宋_GB2312" w:eastAsia="仿宋_GB2312" w:cs="仿宋_GB2312"/>
          <w:bCs/>
          <w:sz w:val="32"/>
          <w:szCs w:val="32"/>
        </w:rPr>
        <w:t>本项目属于新建工程。</w:t>
      </w:r>
      <w:r>
        <w:rPr>
          <w:rFonts w:hint="eastAsia" w:ascii="仿宋_GB2312" w:hAnsi="仿宋_GB2312" w:eastAsia="仿宋_GB2312" w:cs="仿宋_GB2312"/>
          <w:bCs/>
          <w:color w:val="000000"/>
          <w:sz w:val="32"/>
          <w:szCs w:val="32"/>
        </w:rPr>
        <w:t>主要以含锂云母选矿尾泥（含水率20%）、浮选药剂、硫酸铝、水为原料，经磁选、浮选、脱水等工序生产各产品</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本项目产品方案：2000t/a锂云母精矿、600000t/a陶瓷原料。</w:t>
      </w:r>
    </w:p>
    <w:p>
      <w:pPr>
        <w:keepNext w:val="0"/>
        <w:keepLines w:val="0"/>
        <w:pageBreakBefore w:val="0"/>
        <w:kinsoku/>
        <w:wordWrap/>
        <w:overflowPunct/>
        <w:topLinePunct w:val="0"/>
        <w:autoSpaceDN/>
        <w:bidi w:val="0"/>
        <w:adjustRightInd w:val="0"/>
        <w:snapToGrid w:val="0"/>
        <w:spacing w:line="520" w:lineRule="exact"/>
        <w:ind w:firstLine="601"/>
        <w:jc w:val="left"/>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color w:val="000000"/>
          <w:sz w:val="32"/>
          <w:szCs w:val="32"/>
          <w:lang w:eastAsia="zh-CN"/>
        </w:rPr>
        <w:t>本</w:t>
      </w:r>
      <w:r>
        <w:rPr>
          <w:rFonts w:hint="eastAsia" w:ascii="仿宋_GB2312" w:hAnsi="仿宋_GB2312" w:eastAsia="仿宋_GB2312" w:cs="仿宋_GB2312"/>
          <w:bCs/>
          <w:snapToGrid w:val="0"/>
          <w:color w:val="000000"/>
          <w:sz w:val="32"/>
          <w:szCs w:val="32"/>
        </w:rPr>
        <w:t>项目总投资</w:t>
      </w:r>
      <w:r>
        <w:rPr>
          <w:rFonts w:ascii="仿宋_GB2312" w:hAnsi="仿宋_GB2312" w:eastAsia="仿宋_GB2312" w:cs="仿宋_GB2312"/>
          <w:bCs/>
          <w:snapToGrid w:val="0"/>
          <w:sz w:val="32"/>
          <w:szCs w:val="32"/>
        </w:rPr>
        <w:t>10000</w:t>
      </w:r>
      <w:r>
        <w:rPr>
          <w:rFonts w:hint="eastAsia" w:ascii="仿宋_GB2312" w:hAnsi="仿宋_GB2312" w:eastAsia="仿宋_GB2312" w:cs="仿宋_GB2312"/>
          <w:bCs/>
          <w:snapToGrid w:val="0"/>
          <w:sz w:val="32"/>
          <w:szCs w:val="32"/>
        </w:rPr>
        <w:t>万元，其中环保投资285万元，占总投资2.85%。</w:t>
      </w:r>
    </w:p>
    <w:p>
      <w:pPr>
        <w:keepNext w:val="0"/>
        <w:keepLines w:val="0"/>
        <w:widowControl/>
        <w:suppressLineNumbers w:val="0"/>
        <w:jc w:val="left"/>
      </w:pPr>
      <w:r>
        <w:rPr>
          <w:rFonts w:hint="eastAsia" w:ascii="仿宋_GB2312" w:hAnsi="仿宋_GB2312" w:eastAsia="仿宋_GB2312" w:cs="仿宋_GB2312"/>
          <w:color w:val="000000"/>
          <w:sz w:val="32"/>
          <w:szCs w:val="32"/>
        </w:rPr>
        <w:t>你公司应全面落实《</w:t>
      </w:r>
      <w:r>
        <w:rPr>
          <w:rFonts w:hint="eastAsia" w:ascii="仿宋_GB2312" w:hAnsi="仿宋_GB2312" w:eastAsia="仿宋_GB2312" w:cs="仿宋_GB2312"/>
          <w:bCs/>
          <w:color w:val="000000"/>
          <w:sz w:val="32"/>
          <w:szCs w:val="32"/>
        </w:rPr>
        <w:t>江西云赣矿产资源综合利用有限公司年产60万吨陶瓷原料建设项目</w:t>
      </w:r>
      <w:r>
        <w:rPr>
          <w:rFonts w:hint="eastAsia" w:ascii="仿宋_GB2312" w:eastAsia="仿宋_GB2312"/>
          <w:color w:val="000000"/>
          <w:sz w:val="32"/>
          <w:szCs w:val="32"/>
          <w:lang w:eastAsia="zh-CN"/>
        </w:rPr>
        <w:t>环境影响报告书》</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以下简称《报告书》）、《</w:t>
      </w:r>
      <w:r>
        <w:rPr>
          <w:rFonts w:hint="eastAsia" w:ascii="仿宋_GB2312" w:hAnsi="仿宋_GB2312" w:eastAsia="仿宋_GB2312" w:cs="仿宋_GB2312"/>
          <w:bCs/>
          <w:color w:val="000000"/>
          <w:sz w:val="32"/>
          <w:szCs w:val="32"/>
        </w:rPr>
        <w:t>江西云赣矿产资源综合利用有限公司年产60万吨陶瓷原料建设项目</w:t>
      </w:r>
      <w:r>
        <w:rPr>
          <w:rFonts w:hint="eastAsia" w:ascii="仿宋_GB2312" w:eastAsia="仿宋_GB2312"/>
          <w:color w:val="000000"/>
          <w:sz w:val="32"/>
          <w:szCs w:val="32"/>
          <w:lang w:eastAsia="zh-CN"/>
        </w:rPr>
        <w:t>环境影响报告书</w:t>
      </w:r>
      <w:r>
        <w:rPr>
          <w:rFonts w:hint="eastAsia" w:ascii="仿宋_GB2312" w:eastAsia="仿宋_GB2312"/>
          <w:color w:val="000000"/>
          <w:sz w:val="32"/>
          <w:szCs w:val="32"/>
        </w:rPr>
        <w:t>评估意见》（以下简称《评估意见》）</w:t>
      </w:r>
      <w:r>
        <w:rPr>
          <w:rFonts w:hint="eastAsia" w:ascii="仿宋_GB2312" w:hAnsi="仿宋_GB2312" w:eastAsia="仿宋_GB2312" w:cs="仿宋_GB2312"/>
          <w:color w:val="000000"/>
          <w:sz w:val="32"/>
          <w:szCs w:val="32"/>
        </w:rPr>
        <w:t>提出的各项污染防治措施</w:t>
      </w:r>
      <w:r>
        <w:rPr>
          <w:rFonts w:hint="eastAsia" w:ascii="仿宋_GB2312" w:hAnsi="仿宋_GB2312" w:eastAsia="仿宋_GB2312" w:cs="仿宋_GB2312"/>
          <w:color w:val="000000"/>
          <w:sz w:val="32"/>
          <w:szCs w:val="32"/>
          <w:lang w:val="en-US" w:eastAsia="zh-CN"/>
        </w:rPr>
        <w:t>以及</w:t>
      </w:r>
      <w:r>
        <w:rPr>
          <w:rFonts w:hint="eastAsia" w:ascii="仿宋_GB2312" w:hAnsi="仿宋_GB2312" w:eastAsia="仿宋_GB2312" w:cs="仿宋_GB2312"/>
          <w:color w:val="000000"/>
          <w:sz w:val="32"/>
          <w:szCs w:val="32"/>
        </w:rPr>
        <w:t>环境风险防范措施</w:t>
      </w:r>
      <w:r>
        <w:rPr>
          <w:rFonts w:hint="eastAsia" w:ascii="仿宋_GB2312" w:hAnsi="仿宋_GB2312" w:eastAsia="仿宋_GB2312" w:cs="仿宋_GB2312"/>
          <w:color w:val="000000"/>
          <w:sz w:val="32"/>
          <w:szCs w:val="32"/>
          <w:lang w:val="en-US" w:eastAsia="zh-CN"/>
        </w:rPr>
        <w:t>和有关承诺要求</w:t>
      </w:r>
      <w:r>
        <w:rPr>
          <w:rFonts w:hint="eastAsia" w:ascii="仿宋_GB2312" w:hAnsi="仿宋_GB2312" w:eastAsia="仿宋_GB2312" w:cs="仿宋_GB2312"/>
          <w:color w:val="000000"/>
          <w:sz w:val="32"/>
          <w:szCs w:val="32"/>
        </w:rPr>
        <w:t>，缓解和控制不利环境影响。从环境保护角度我局原则同意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报告书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中所列工程性质、地点、规模、生产工艺和环境保护对策措施</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jc w:val="left"/>
        <w:textAlignment w:val="auto"/>
        <w:rPr>
          <w:color w:val="000000"/>
        </w:rPr>
      </w:pPr>
    </w:p>
    <w:p>
      <w:pPr>
        <w:keepNext w:val="0"/>
        <w:keepLines w:val="0"/>
        <w:pageBreakBefore w:val="0"/>
        <w:kinsoku/>
        <w:wordWrap/>
        <w:overflowPunct/>
        <w:topLinePunct w:val="0"/>
        <w:autoSpaceDN/>
        <w:bidi w:val="0"/>
        <w:spacing w:line="520" w:lineRule="exact"/>
        <w:ind w:firstLine="640" w:firstLineChars="200"/>
        <w:textAlignment w:val="auto"/>
        <w:rPr>
          <w:rFonts w:ascii="黑体" w:hAnsi="黑体" w:eastAsia="黑体" w:cs="仿宋_GB2312"/>
          <w:bCs/>
          <w:kern w:val="0"/>
          <w:sz w:val="32"/>
          <w:szCs w:val="32"/>
        </w:rPr>
      </w:pPr>
      <w:r>
        <w:rPr>
          <w:rFonts w:hint="eastAsia" w:ascii="黑体" w:hAnsi="黑体" w:eastAsia="黑体" w:cs="仿宋_GB2312"/>
          <w:bCs/>
          <w:kern w:val="0"/>
          <w:sz w:val="32"/>
          <w:szCs w:val="32"/>
        </w:rPr>
        <w:t>二、项目建设与运行管理中应重点做好以下工作</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报告书</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提出的各项环保要求，严格执行宜春市生态环境保护工作领导小组办公室下发的《宜春市瓷土加工生产企业污染专项整治工作方案》</w:t>
      </w:r>
      <w:r>
        <w:rPr>
          <w:rFonts w:hint="eastAsia" w:ascii="仿宋_GB2312" w:hAnsi="仿宋" w:eastAsia="仿宋_GB2312" w:cs="仿宋"/>
          <w:sz w:val="32"/>
          <w:szCs w:val="32"/>
          <w:lang w:val="en-US" w:eastAsia="zh-CN"/>
        </w:rPr>
        <w:t>和宜春市生态环境保护委员会办公室印发的《宜春市涉锂电主要行业生态环境监管标准（试行）》的</w:t>
      </w:r>
      <w:r>
        <w:rPr>
          <w:rFonts w:hint="eastAsia" w:ascii="仿宋_GB2312" w:hAnsi="仿宋" w:eastAsia="仿宋_GB2312" w:cs="仿宋"/>
          <w:sz w:val="32"/>
          <w:szCs w:val="32"/>
        </w:rPr>
        <w:t>要求进行建设，并重点做好以下几项工作</w:t>
      </w:r>
      <w:r>
        <w:rPr>
          <w:rFonts w:hint="eastAsia" w:ascii="仿宋_GB2312" w:hAnsi="仿宋" w:eastAsia="仿宋_GB2312" w:cs="仿宋"/>
          <w:color w:val="000000"/>
          <w:sz w:val="32"/>
          <w:szCs w:val="32"/>
        </w:rPr>
        <w:t>：</w:t>
      </w:r>
    </w:p>
    <w:p>
      <w:pPr>
        <w:keepNext w:val="0"/>
        <w:keepLines w:val="0"/>
        <w:pageBreakBefore w:val="0"/>
        <w:kinsoku/>
        <w:wordWrap/>
        <w:overflowPunct/>
        <w:topLinePunct w:val="0"/>
        <w:autoSpaceDN/>
        <w:bidi w:val="0"/>
        <w:adjustRightInd w:val="0"/>
        <w:snapToGrid w:val="0"/>
        <w:spacing w:line="520" w:lineRule="exact"/>
        <w:ind w:firstLine="600"/>
        <w:textAlignment w:val="auto"/>
        <w:rPr>
          <w:rFonts w:hint="eastAsia" w:ascii="仿宋_GB2312" w:hAnsi="仿宋_GB2312" w:eastAsia="仿宋_GB2312" w:cs="仿宋_GB2312"/>
          <w:bCs/>
          <w:snapToGrid w:val="0"/>
          <w:sz w:val="32"/>
          <w:szCs w:val="32"/>
        </w:rPr>
      </w:pPr>
      <w:r>
        <w:rPr>
          <w:rFonts w:hint="eastAsia" w:ascii="楷体_GB2312" w:hAnsi="Times New Roman" w:eastAsia="楷体_GB2312"/>
          <w:color w:val="000000"/>
          <w:kern w:val="0"/>
          <w:sz w:val="32"/>
          <w:szCs w:val="32"/>
        </w:rPr>
        <w:t>（一）严格落实水污染防治措施。</w:t>
      </w:r>
      <w:r>
        <w:rPr>
          <w:rFonts w:hint="eastAsia" w:ascii="仿宋_GB2312" w:hAnsi="仿宋" w:eastAsia="仿宋_GB2312" w:cs="仿宋"/>
          <w:color w:val="auto"/>
          <w:sz w:val="32"/>
          <w:szCs w:val="32"/>
        </w:rPr>
        <w:t>按“清污分流、雨污分流、分质处理、一水多用”原则，合理制定废水收集、处理方案。</w:t>
      </w:r>
      <w:r>
        <w:rPr>
          <w:rFonts w:hint="eastAsia" w:ascii="仿宋_GB2312" w:hAnsi="仿宋_GB2312" w:eastAsia="仿宋_GB2312" w:cs="仿宋_GB2312"/>
          <w:bCs/>
          <w:snapToGrid w:val="0"/>
          <w:sz w:val="32"/>
          <w:szCs w:val="32"/>
        </w:rPr>
        <w:t>本项目废水主要包括选矿废水、车辆及地面清洗废水、生活污水、实验废液及初期雨水。</w:t>
      </w:r>
    </w:p>
    <w:p>
      <w:pPr>
        <w:keepNext w:val="0"/>
        <w:keepLines w:val="0"/>
        <w:pageBreakBefore w:val="0"/>
        <w:kinsoku/>
        <w:wordWrap/>
        <w:overflowPunct/>
        <w:topLinePunct w:val="0"/>
        <w:autoSpaceDN/>
        <w:bidi w:val="0"/>
        <w:adjustRightInd w:val="0"/>
        <w:snapToGrid w:val="0"/>
        <w:spacing w:line="520" w:lineRule="exact"/>
        <w:ind w:firstLine="600"/>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选矿废水经三级絮凝沉淀池处理后回用于生产，不</w:t>
      </w:r>
      <w:r>
        <w:rPr>
          <w:rFonts w:hint="eastAsia" w:ascii="仿宋_GB2312" w:hAnsi="仿宋_GB2312" w:eastAsia="仿宋_GB2312" w:cs="仿宋_GB2312"/>
          <w:bCs/>
          <w:snapToGrid w:val="0"/>
          <w:sz w:val="32"/>
          <w:szCs w:val="32"/>
          <w:lang w:val="en-US" w:eastAsia="zh-CN"/>
        </w:rPr>
        <w:t>得</w:t>
      </w:r>
      <w:r>
        <w:rPr>
          <w:rFonts w:hint="eastAsia" w:ascii="仿宋_GB2312" w:hAnsi="仿宋_GB2312" w:eastAsia="仿宋_GB2312" w:cs="仿宋_GB2312"/>
          <w:bCs/>
          <w:snapToGrid w:val="0"/>
          <w:sz w:val="32"/>
          <w:szCs w:val="32"/>
        </w:rPr>
        <w:t>外排；车辆清洗废水经沉淀池处理后回用于车辆清洗，不</w:t>
      </w:r>
      <w:r>
        <w:rPr>
          <w:rFonts w:hint="eastAsia" w:ascii="仿宋_GB2312" w:hAnsi="仿宋_GB2312" w:eastAsia="仿宋_GB2312" w:cs="仿宋_GB2312"/>
          <w:bCs/>
          <w:snapToGrid w:val="0"/>
          <w:sz w:val="32"/>
          <w:szCs w:val="32"/>
          <w:lang w:val="en-US" w:eastAsia="zh-CN"/>
        </w:rPr>
        <w:t>得</w:t>
      </w:r>
      <w:r>
        <w:rPr>
          <w:rFonts w:hint="eastAsia" w:ascii="仿宋_GB2312" w:hAnsi="仿宋_GB2312" w:eastAsia="仿宋_GB2312" w:cs="仿宋_GB2312"/>
          <w:bCs/>
          <w:snapToGrid w:val="0"/>
          <w:sz w:val="32"/>
          <w:szCs w:val="32"/>
        </w:rPr>
        <w:t>外排；</w:t>
      </w:r>
      <w:bookmarkStart w:id="0" w:name="_Hlk130299144"/>
      <w:r>
        <w:rPr>
          <w:rFonts w:hint="eastAsia" w:ascii="仿宋_GB2312" w:hAnsi="仿宋_GB2312" w:eastAsia="仿宋_GB2312" w:cs="仿宋_GB2312"/>
          <w:bCs/>
          <w:snapToGrid w:val="0"/>
          <w:sz w:val="32"/>
          <w:szCs w:val="32"/>
        </w:rPr>
        <w:t>地面冲洗废水</w:t>
      </w:r>
      <w:bookmarkEnd w:id="0"/>
      <w:r>
        <w:rPr>
          <w:rFonts w:hint="eastAsia" w:ascii="仿宋_GB2312" w:hAnsi="仿宋_GB2312" w:eastAsia="仿宋_GB2312" w:cs="仿宋_GB2312"/>
          <w:bCs/>
          <w:snapToGrid w:val="0"/>
          <w:sz w:val="32"/>
          <w:szCs w:val="32"/>
        </w:rPr>
        <w:t>经沉淀池处理后回用于生产工艺用水，不</w:t>
      </w:r>
      <w:r>
        <w:rPr>
          <w:rFonts w:hint="eastAsia" w:ascii="仿宋_GB2312" w:hAnsi="仿宋_GB2312" w:eastAsia="仿宋_GB2312" w:cs="仿宋_GB2312"/>
          <w:bCs/>
          <w:snapToGrid w:val="0"/>
          <w:sz w:val="32"/>
          <w:szCs w:val="32"/>
          <w:lang w:val="en-US" w:eastAsia="zh-CN"/>
        </w:rPr>
        <w:t>得</w:t>
      </w:r>
      <w:r>
        <w:rPr>
          <w:rFonts w:hint="eastAsia" w:ascii="仿宋_GB2312" w:hAnsi="仿宋_GB2312" w:eastAsia="仿宋_GB2312" w:cs="仿宋_GB2312"/>
          <w:bCs/>
          <w:snapToGrid w:val="0"/>
          <w:sz w:val="32"/>
          <w:szCs w:val="32"/>
        </w:rPr>
        <w:t>外排；初期雨水经初期雨水沉淀池沉淀后回用于生产用水，不</w:t>
      </w:r>
      <w:r>
        <w:rPr>
          <w:rFonts w:hint="eastAsia" w:ascii="仿宋_GB2312" w:hAnsi="仿宋_GB2312" w:eastAsia="仿宋_GB2312" w:cs="仿宋_GB2312"/>
          <w:bCs/>
          <w:snapToGrid w:val="0"/>
          <w:sz w:val="32"/>
          <w:szCs w:val="32"/>
          <w:lang w:val="en-US" w:eastAsia="zh-CN"/>
        </w:rPr>
        <w:t>得</w:t>
      </w:r>
      <w:r>
        <w:rPr>
          <w:rFonts w:hint="eastAsia" w:ascii="仿宋_GB2312" w:hAnsi="仿宋_GB2312" w:eastAsia="仿宋_GB2312" w:cs="仿宋_GB2312"/>
          <w:bCs/>
          <w:snapToGrid w:val="0"/>
          <w:sz w:val="32"/>
          <w:szCs w:val="32"/>
        </w:rPr>
        <w:t>外排；实验废液定期交予有资质单位处置；</w:t>
      </w:r>
      <w:r>
        <w:rPr>
          <w:rFonts w:hint="eastAsia" w:ascii="仿宋_GB2312" w:hAnsi="仿宋_GB2312" w:eastAsia="仿宋_GB2312" w:cs="仿宋_GB2312"/>
          <w:sz w:val="32"/>
          <w:szCs w:val="32"/>
        </w:rPr>
        <w:t>生活污水</w:t>
      </w:r>
      <w:r>
        <w:rPr>
          <w:rFonts w:hint="eastAsia" w:ascii="仿宋_GB2312" w:hAnsi="仿宋_GB2312" w:eastAsia="仿宋_GB2312" w:cs="仿宋_GB2312"/>
          <w:bCs/>
          <w:sz w:val="32"/>
          <w:szCs w:val="32"/>
        </w:rPr>
        <w:t>经“隔油池+化粪池”处理</w:t>
      </w:r>
      <w:r>
        <w:rPr>
          <w:rFonts w:hint="eastAsia" w:ascii="仿宋_GB2312" w:hAnsi="仿宋_GB2312" w:eastAsia="仿宋_GB2312" w:cs="仿宋_GB2312"/>
          <w:sz w:val="32"/>
          <w:szCs w:val="32"/>
        </w:rPr>
        <w:t>达到《农田灌溉水质标准》（GB5084-2021）中的</w:t>
      </w:r>
      <w:r>
        <w:rPr>
          <w:rFonts w:hint="eastAsia" w:ascii="仿宋_GB2312" w:hAnsi="仿宋_GB2312" w:eastAsia="仿宋_GB2312" w:cs="仿宋_GB2312"/>
          <w:bCs/>
          <w:snapToGrid w:val="0"/>
          <w:kern w:val="0"/>
          <w:sz w:val="32"/>
          <w:szCs w:val="32"/>
        </w:rPr>
        <w:t>旱地作物标准后用作厂区周边绿化，不外排</w:t>
      </w:r>
      <w:r>
        <w:rPr>
          <w:rFonts w:hint="eastAsia" w:ascii="仿宋_GB2312" w:hAnsi="仿宋_GB2312" w:eastAsia="仿宋_GB2312" w:cs="仿宋_GB2312"/>
          <w:bCs/>
          <w:snapToGrid w:val="0"/>
          <w:sz w:val="32"/>
          <w:szCs w:val="32"/>
        </w:rPr>
        <w:t>。</w:t>
      </w:r>
    </w:p>
    <w:p>
      <w:pPr>
        <w:keepNext w:val="0"/>
        <w:keepLines w:val="0"/>
        <w:pageBreakBefore w:val="0"/>
        <w:kinsoku/>
        <w:wordWrap/>
        <w:overflowPunct/>
        <w:topLinePunct w:val="0"/>
        <w:autoSpaceDN/>
        <w:bidi w:val="0"/>
        <w:spacing w:line="520" w:lineRule="exact"/>
        <w:ind w:firstLine="640" w:firstLineChars="200"/>
        <w:textAlignment w:val="auto"/>
        <w:rPr>
          <w:rFonts w:hint="eastAsia" w:ascii="仿宋_GB2312" w:hAnsi="仿宋_GB2312" w:eastAsia="仿宋_GB2312" w:cs="仿宋_GB2312"/>
          <w:bCs/>
          <w:snapToGrid w:val="0"/>
          <w:sz w:val="32"/>
          <w:szCs w:val="32"/>
        </w:rPr>
      </w:pPr>
      <w:r>
        <w:rPr>
          <w:rFonts w:hint="eastAsia" w:ascii="楷体" w:hAnsi="楷体" w:eastAsia="楷体" w:cs="楷体"/>
          <w:color w:val="000000"/>
          <w:sz w:val="32"/>
          <w:szCs w:val="32"/>
          <w:lang w:val="en-US" w:eastAsia="zh-CN"/>
        </w:rPr>
        <w:t>（二）严格落实大气污染防治措施。</w:t>
      </w:r>
      <w:r>
        <w:rPr>
          <w:rFonts w:ascii="仿宋_GB2312" w:hAnsi="仿宋_GB2312" w:eastAsia="仿宋_GB2312" w:cs="仿宋_GB2312"/>
          <w:bCs/>
          <w:color w:val="000000"/>
          <w:sz w:val="32"/>
          <w:szCs w:val="32"/>
        </w:rPr>
        <w:t>项目运营期废气</w:t>
      </w:r>
      <w:r>
        <w:rPr>
          <w:rFonts w:hint="eastAsia" w:ascii="仿宋_GB2312" w:hAnsi="仿宋_GB2312" w:eastAsia="仿宋_GB2312" w:cs="仿宋_GB2312"/>
          <w:bCs/>
          <w:color w:val="000000"/>
          <w:sz w:val="32"/>
          <w:szCs w:val="32"/>
        </w:rPr>
        <w:t>主要为</w:t>
      </w:r>
      <w:r>
        <w:rPr>
          <w:rFonts w:hint="eastAsia" w:ascii="仿宋_GB2312" w:hAnsi="仿宋_GB2312" w:eastAsia="仿宋_GB2312" w:cs="仿宋_GB2312"/>
          <w:bCs/>
          <w:snapToGrid w:val="0"/>
          <w:sz w:val="32"/>
          <w:szCs w:val="32"/>
        </w:rPr>
        <w:t>输送粉尘</w:t>
      </w:r>
      <w:r>
        <w:rPr>
          <w:rFonts w:hint="eastAsia" w:ascii="仿宋_GB2312" w:hAnsi="仿宋_GB2312" w:eastAsia="仿宋_GB2312" w:cs="仿宋_GB2312"/>
          <w:bCs/>
          <w:snapToGrid w:val="0"/>
          <w:color w:val="000000"/>
          <w:sz w:val="32"/>
          <w:szCs w:val="32"/>
        </w:rPr>
        <w:t>、堆场扬尘、装卸扬尘及道路运输扬尘</w:t>
      </w:r>
      <w:r>
        <w:rPr>
          <w:rFonts w:hint="eastAsia" w:ascii="仿宋_GB2312" w:hAnsi="仿宋_GB2312" w:eastAsia="仿宋_GB2312" w:cs="仿宋_GB2312"/>
          <w:bCs/>
          <w:snapToGrid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snapToGrid w:val="0"/>
          <w:sz w:val="32"/>
          <w:szCs w:val="32"/>
        </w:rPr>
        <w:t>项目生产车间采用封闭车间，</w:t>
      </w:r>
      <w:r>
        <w:rPr>
          <w:rFonts w:hint="eastAsia" w:ascii="仿宋_GB2312" w:hAnsi="仿宋_GB2312" w:eastAsia="仿宋_GB2312" w:cs="仿宋_GB2312"/>
          <w:color w:val="000000"/>
          <w:sz w:val="32"/>
          <w:szCs w:val="32"/>
        </w:rPr>
        <w:t>定期进行雾炮降尘、洒水、车间地面勤清理的方法抑尘；</w:t>
      </w:r>
      <w:r>
        <w:rPr>
          <w:rFonts w:hint="eastAsia" w:ascii="仿宋_GB2312" w:hAnsi="仿宋_GB2312" w:eastAsia="仿宋_GB2312" w:cs="仿宋_GB2312"/>
          <w:sz w:val="32"/>
          <w:szCs w:val="32"/>
        </w:rPr>
        <w:t>项目原料、产品、固废等均堆放于室内封闭仓库，禁止露天堆存</w:t>
      </w:r>
      <w:r>
        <w:rPr>
          <w:rFonts w:hint="eastAsia" w:ascii="仿宋_GB2312" w:hAnsi="仿宋_GB2312" w:eastAsia="仿宋_GB2312" w:cs="仿宋_GB2312"/>
          <w:bCs/>
          <w:snapToGrid w:val="0"/>
          <w:sz w:val="32"/>
          <w:szCs w:val="32"/>
        </w:rPr>
        <w:t>；对运</w:t>
      </w:r>
      <w:r>
        <w:rPr>
          <w:rFonts w:hint="eastAsia" w:ascii="仿宋_GB2312" w:hAnsi="仿宋_GB2312" w:eastAsia="仿宋_GB2312" w:cs="仿宋_GB2312"/>
          <w:color w:val="000000"/>
          <w:kern w:val="0"/>
          <w:sz w:val="32"/>
          <w:szCs w:val="32"/>
        </w:rPr>
        <w:t>输车辆加蓬盖，易洒落散装物料的卡车按规定配置防洒装备，勤洒水，设置车辆冲洗平台；加强厂区绿化</w:t>
      </w:r>
      <w:r>
        <w:rPr>
          <w:rFonts w:hint="eastAsia" w:ascii="仿宋_GB2312" w:hAnsi="仿宋_GB2312" w:eastAsia="仿宋_GB2312" w:cs="仿宋_GB2312"/>
          <w:kern w:val="0"/>
          <w:sz w:val="32"/>
          <w:szCs w:val="32"/>
        </w:rPr>
        <w:t>等措施</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sz w:val="32"/>
          <w:szCs w:val="32"/>
        </w:rPr>
        <w:t>颗粒物的厂界浓度</w:t>
      </w:r>
      <w:r>
        <w:rPr>
          <w:rFonts w:hint="eastAsia" w:ascii="仿宋_GB2312" w:hAnsi="仿宋_GB2312" w:eastAsia="仿宋_GB2312" w:cs="仿宋_GB2312"/>
          <w:bCs/>
          <w:sz w:val="32"/>
          <w:szCs w:val="32"/>
          <w:lang w:val="en-US" w:eastAsia="zh-CN"/>
        </w:rPr>
        <w:t>执行</w:t>
      </w:r>
      <w:r>
        <w:rPr>
          <w:rFonts w:hint="eastAsia" w:ascii="仿宋_GB2312" w:hAnsi="仿宋_GB2312" w:eastAsia="仿宋_GB2312" w:cs="仿宋_GB2312"/>
          <w:bCs/>
          <w:sz w:val="32"/>
          <w:szCs w:val="32"/>
        </w:rPr>
        <w:t>《大气污染物综合排放标准》（GB16297-1996）表2中无组织排放限值要求。</w:t>
      </w:r>
      <w:r>
        <w:rPr>
          <w:rFonts w:hint="eastAsia" w:ascii="仿宋_GB2312" w:hAnsi="仿宋_GB2312" w:eastAsia="仿宋_GB2312" w:cs="仿宋_GB2312"/>
          <w:bCs/>
          <w:snapToGrid w:val="0"/>
          <w:color w:val="auto"/>
          <w:sz w:val="32"/>
          <w:szCs w:val="32"/>
          <w:lang w:val="en-US" w:eastAsia="zh-CN"/>
        </w:rPr>
        <w:t>食堂油烟</w:t>
      </w:r>
      <w:r>
        <w:rPr>
          <w:rFonts w:hint="default" w:ascii="仿宋_GB2312" w:hAnsi="仿宋_GB2312" w:eastAsia="仿宋_GB2312" w:cs="仿宋_GB2312"/>
          <w:bCs/>
          <w:snapToGrid w:val="0"/>
          <w:color w:val="auto"/>
          <w:sz w:val="32"/>
          <w:szCs w:val="32"/>
        </w:rPr>
        <w:t>经油烟净化器处理后达到《饮食业油烟排放标准（试行）》（GB 18483-2001）</w:t>
      </w:r>
      <w:r>
        <w:rPr>
          <w:rFonts w:hint="eastAsia" w:ascii="仿宋_GB2312" w:hAnsi="仿宋_GB2312" w:eastAsia="仿宋_GB2312" w:cs="仿宋_GB2312"/>
          <w:bCs/>
          <w:snapToGrid w:val="0"/>
          <w:color w:val="auto"/>
          <w:sz w:val="32"/>
          <w:szCs w:val="32"/>
          <w:lang w:val="en-US" w:eastAsia="zh-CN"/>
        </w:rPr>
        <w:t>中</w:t>
      </w:r>
      <w:r>
        <w:rPr>
          <w:rFonts w:hint="default" w:ascii="仿宋_GB2312" w:hAnsi="仿宋_GB2312" w:eastAsia="仿宋_GB2312" w:cs="仿宋_GB2312"/>
          <w:bCs/>
          <w:snapToGrid w:val="0"/>
          <w:color w:val="auto"/>
          <w:sz w:val="32"/>
          <w:szCs w:val="32"/>
        </w:rPr>
        <w:t>型灶型油烟最高允许排放浓度</w:t>
      </w:r>
      <w:r>
        <w:rPr>
          <w:rFonts w:hint="eastAsia" w:ascii="仿宋_GB2312" w:hAnsi="仿宋_GB2312" w:eastAsia="仿宋_GB2312" w:cs="仿宋_GB2312"/>
          <w:bCs/>
          <w:snapToGrid w:val="0"/>
          <w:color w:val="auto"/>
          <w:sz w:val="32"/>
          <w:szCs w:val="32"/>
          <w:lang w:val="en-US" w:eastAsia="zh-CN"/>
        </w:rPr>
        <w:t>后排放。</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color w:val="000000"/>
          <w:sz w:val="32"/>
          <w:szCs w:val="32"/>
          <w:lang w:val="en-US" w:eastAsia="zh-CN"/>
        </w:rPr>
        <w:t>（三）严格落实固体废物分类处置和综合利用措施。</w:t>
      </w:r>
      <w:r>
        <w:rPr>
          <w:rFonts w:hint="eastAsia" w:ascii="仿宋_GB2312" w:hAnsi="仿宋" w:eastAsia="仿宋_GB2312" w:cs="仿宋"/>
          <w:color w:val="000000"/>
          <w:sz w:val="32"/>
          <w:szCs w:val="32"/>
        </w:rPr>
        <w:t>应按“资源化、减量化、无害化”处置原则，认真落实固废分类收集、处置和综合利用措施。</w:t>
      </w:r>
      <w:r>
        <w:rPr>
          <w:rFonts w:hint="eastAsia" w:ascii="仿宋_GB2312" w:hAnsi="仿宋" w:eastAsia="仿宋_GB2312" w:cs="仿宋"/>
          <w:color w:val="000000"/>
          <w:sz w:val="32"/>
          <w:szCs w:val="32"/>
          <w:lang w:eastAsia="zh-CN"/>
        </w:rPr>
        <w:t>产生的危险废物定期交有资质单位处理，</w:t>
      </w:r>
      <w:r>
        <w:rPr>
          <w:rFonts w:hint="eastAsia" w:ascii="仿宋_GB2312" w:hAnsi="仿宋" w:eastAsia="仿宋_GB2312" w:cs="仿宋"/>
          <w:color w:val="000000"/>
          <w:sz w:val="32"/>
          <w:szCs w:val="32"/>
        </w:rPr>
        <w:t>产生的一般工业固体废物应合法处置，生活垃圾收集后由当地环卫部门</w:t>
      </w:r>
      <w:r>
        <w:rPr>
          <w:rFonts w:hint="eastAsia" w:ascii="仿宋_GB2312" w:hAnsi="仿宋" w:eastAsia="仿宋_GB2312" w:cs="仿宋"/>
          <w:color w:val="000000"/>
          <w:sz w:val="32"/>
          <w:szCs w:val="32"/>
          <w:lang w:val="en-US" w:eastAsia="zh-CN"/>
        </w:rPr>
        <w:t>统一清运处置</w:t>
      </w:r>
      <w:r>
        <w:rPr>
          <w:rFonts w:hint="eastAsia" w:ascii="仿宋_GB2312" w:hAnsi="仿宋" w:eastAsia="仿宋_GB2312" w:cs="仿宋"/>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b w:val="0"/>
          <w:color w:val="000000"/>
          <w:kern w:val="2"/>
          <w:sz w:val="32"/>
          <w:szCs w:val="32"/>
          <w:lang w:val="en-US" w:eastAsia="zh-CN" w:bidi="ar-SA"/>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textAlignment w:val="auto"/>
        <w:rPr>
          <w:rFonts w:hint="eastAsia" w:ascii="仿宋_GB2312" w:hAnsi="仿宋" w:eastAsia="仿宋_GB2312" w:cs="仿宋"/>
          <w:b w:val="0"/>
          <w:color w:val="000000"/>
          <w:kern w:val="2"/>
          <w:sz w:val="32"/>
          <w:szCs w:val="32"/>
          <w:lang w:val="en-US" w:eastAsia="zh-CN" w:bidi="ar-SA"/>
        </w:rPr>
      </w:pPr>
      <w:r>
        <w:rPr>
          <w:rFonts w:hint="eastAsia" w:ascii="楷体" w:hAnsi="楷体" w:eastAsia="楷体" w:cs="楷体"/>
          <w:color w:val="000000"/>
          <w:sz w:val="32"/>
          <w:szCs w:val="32"/>
          <w:lang w:val="en-US" w:eastAsia="zh-CN"/>
        </w:rPr>
        <w:t>（四）严格落实噪声污染防治措施。</w:t>
      </w:r>
      <w:r>
        <w:rPr>
          <w:rFonts w:hint="eastAsia" w:ascii="仿宋_GB2312" w:hAnsi="仿宋_GB2312" w:eastAsia="仿宋_GB2312" w:cs="仿宋_GB2312"/>
          <w:sz w:val="32"/>
          <w:szCs w:val="32"/>
        </w:rPr>
        <w:t>应选用低噪声设备，采用减震、隔声、吸声、消声措施，同时加强设备的维护和管理，合理规划平面布置，加强厂区绿化，厂界噪声</w:t>
      </w:r>
      <w:r>
        <w:rPr>
          <w:rFonts w:hint="eastAsia" w:ascii="仿宋_GB2312" w:hAnsi="仿宋_GB2312" w:eastAsia="仿宋_GB2312" w:cs="仿宋_GB2312"/>
          <w:sz w:val="32"/>
          <w:szCs w:val="32"/>
          <w:lang w:val="en-US" w:eastAsia="zh-CN"/>
        </w:rPr>
        <w:t>执行</w:t>
      </w:r>
      <w:r>
        <w:rPr>
          <w:rFonts w:hint="eastAsia" w:ascii="仿宋_GB2312" w:hAnsi="仿宋_GB2312" w:eastAsia="仿宋_GB2312" w:cs="仿宋_GB2312"/>
          <w:sz w:val="32"/>
          <w:szCs w:val="32"/>
        </w:rPr>
        <w:t>《工业企业厂界环境噪声排放标准》（GB 12348-2008）中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类标准要求。</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hint="eastAsia" w:ascii="仿宋_GB2312" w:hAnsi="仿宋" w:eastAsia="仿宋_GB2312" w:cs="仿宋"/>
          <w:color w:val="auto"/>
          <w:sz w:val="32"/>
          <w:szCs w:val="32"/>
        </w:rPr>
      </w:pPr>
      <w:r>
        <w:rPr>
          <w:rFonts w:hint="eastAsia" w:ascii="楷体" w:hAnsi="楷体" w:eastAsia="楷体" w:cs="楷体"/>
          <w:color w:val="000000"/>
          <w:sz w:val="32"/>
          <w:szCs w:val="32"/>
          <w:lang w:val="en-US" w:eastAsia="zh-CN"/>
        </w:rPr>
        <w:t>（五）严格落实土壤和地下水污染防治措施。</w:t>
      </w:r>
      <w:r>
        <w:rPr>
          <w:rFonts w:hint="eastAsia" w:ascii="仿宋_GB2312" w:hAnsi="仿宋_GB2312" w:eastAsia="仿宋_GB2312" w:cs="仿宋_GB2312"/>
          <w:color w:val="000000"/>
          <w:sz w:val="32"/>
          <w:szCs w:val="32"/>
        </w:rPr>
        <w:t>按“源头控制、分区防治、污染监控、应急响应”相结合的原则做好土壤和地下水污染防治工作，从污染物的产生、入渗、扩散、应急响应全阶段进行控制，严格做好分区防渗措施。</w:t>
      </w:r>
      <w:r>
        <w:rPr>
          <w:rFonts w:hint="eastAsia" w:ascii="仿宋_GB2312" w:hAnsi="仿宋" w:eastAsia="仿宋_GB2312"/>
          <w:color w:val="000000"/>
          <w:kern w:val="0"/>
          <w:sz w:val="32"/>
          <w:szCs w:val="32"/>
        </w:rPr>
        <w:t>按照</w:t>
      </w:r>
      <w:r>
        <w:rPr>
          <w:rFonts w:hint="eastAsia" w:ascii="仿宋_GB2312" w:hAnsi="仿宋" w:eastAsia="仿宋_GB2312"/>
          <w:color w:val="000000"/>
          <w:kern w:val="0"/>
          <w:sz w:val="32"/>
          <w:szCs w:val="32"/>
          <w:lang w:eastAsia="zh-CN"/>
        </w:rPr>
        <w:t>《</w:t>
      </w:r>
      <w:r>
        <w:rPr>
          <w:rFonts w:hint="eastAsia" w:ascii="仿宋_GB2312" w:hAnsi="仿宋" w:eastAsia="仿宋_GB2312"/>
          <w:color w:val="000000"/>
          <w:kern w:val="0"/>
          <w:sz w:val="32"/>
          <w:szCs w:val="32"/>
        </w:rPr>
        <w:t>报告书</w:t>
      </w:r>
      <w:r>
        <w:rPr>
          <w:rFonts w:hint="eastAsia" w:ascii="仿宋_GB2312" w:hAnsi="仿宋" w:eastAsia="仿宋_GB2312"/>
          <w:color w:val="000000"/>
          <w:kern w:val="0"/>
          <w:sz w:val="32"/>
          <w:szCs w:val="32"/>
          <w:lang w:eastAsia="zh-CN"/>
        </w:rPr>
        <w:t>》</w:t>
      </w:r>
      <w:r>
        <w:rPr>
          <w:rFonts w:hint="default" w:ascii="仿宋_GB2312" w:hAnsi="仿宋" w:eastAsia="仿宋_GB2312"/>
          <w:color w:val="000000"/>
          <w:kern w:val="0"/>
          <w:sz w:val="32"/>
          <w:szCs w:val="32"/>
        </w:rPr>
        <w:t>和《评估意见》</w:t>
      </w:r>
      <w:r>
        <w:rPr>
          <w:rFonts w:hint="eastAsia" w:ascii="仿宋_GB2312" w:hAnsi="仿宋" w:eastAsia="仿宋_GB2312"/>
          <w:color w:val="000000"/>
          <w:kern w:val="0"/>
          <w:sz w:val="32"/>
          <w:szCs w:val="32"/>
        </w:rPr>
        <w:t>中要求合理设置地下水及土壤监测布点，制定环境监测计划，加强厂区和周边区域地下水及土壤环境质量监</w:t>
      </w:r>
      <w:r>
        <w:rPr>
          <w:rFonts w:hint="eastAsia" w:ascii="仿宋_GB2312" w:hAnsi="仿宋" w:eastAsia="仿宋_GB2312"/>
          <w:color w:val="auto"/>
          <w:kern w:val="0"/>
          <w:sz w:val="32"/>
          <w:szCs w:val="32"/>
        </w:rPr>
        <w:t>控，一旦发现污染情况，必须立即采取措施，防止污染扩散</w:t>
      </w:r>
      <w:r>
        <w:rPr>
          <w:rFonts w:hint="eastAsia" w:ascii="仿宋_GB2312" w:hAnsi="仿宋" w:eastAsia="仿宋_GB2312" w:cs="仿宋"/>
          <w:color w:val="auto"/>
          <w:sz w:val="32"/>
          <w:szCs w:val="32"/>
        </w:rPr>
        <w:t>。</w:t>
      </w:r>
    </w:p>
    <w:p>
      <w:pPr>
        <w:keepNext w:val="0"/>
        <w:keepLines w:val="0"/>
        <w:pageBreakBefore w:val="0"/>
        <w:kinsoku/>
        <w:wordWrap/>
        <w:overflowPunct/>
        <w:topLinePunct w:val="0"/>
        <w:autoSpaceDE w:val="0"/>
        <w:autoSpaceDN/>
        <w:bidi w:val="0"/>
        <w:spacing w:line="520" w:lineRule="exact"/>
        <w:ind w:firstLine="640" w:firstLineChars="200"/>
        <w:jc w:val="left"/>
        <w:textAlignment w:val="auto"/>
        <w:rPr>
          <w:rFonts w:ascii="仿宋_GB2312" w:hAnsi="仿宋" w:eastAsia="仿宋_GB2312" w:cs="仿宋"/>
          <w:sz w:val="32"/>
          <w:szCs w:val="32"/>
        </w:rPr>
      </w:pPr>
      <w:r>
        <w:rPr>
          <w:rFonts w:hint="eastAsia" w:ascii="楷体" w:hAnsi="楷体" w:eastAsia="楷体" w:cs="楷体"/>
          <w:color w:val="000000"/>
          <w:sz w:val="32"/>
          <w:szCs w:val="32"/>
        </w:rPr>
        <w:t>（六）严格落实环境风险防范措施。</w:t>
      </w:r>
      <w:r>
        <w:rPr>
          <w:rFonts w:hint="eastAsia" w:ascii="仿宋_GB2312" w:hAnsi="仿宋_GB2312" w:eastAsia="仿宋_GB2312" w:cs="仿宋_GB2312"/>
          <w:color w:val="000000"/>
          <w:sz w:val="32"/>
          <w:szCs w:val="32"/>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当地生态环境部门备案）应与相邻企业、当地政府进行有效衔接，定期协同有关部门开展应急演练。</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宋体" w:eastAsia="仿宋_GB2312" w:cs="宋体"/>
          <w:kern w:val="0"/>
          <w:sz w:val="32"/>
          <w:szCs w:val="32"/>
          <w:lang w:val="en-US" w:eastAsia="zh-CN" w:bidi="ar-SA"/>
        </w:rPr>
      </w:pPr>
      <w:r>
        <w:rPr>
          <w:rFonts w:hint="eastAsia" w:ascii="楷体" w:hAnsi="楷体" w:eastAsia="楷体" w:cs="楷体"/>
          <w:color w:val="000000"/>
          <w:sz w:val="32"/>
          <w:szCs w:val="32"/>
          <w:lang w:val="en-US" w:eastAsia="zh-CN"/>
        </w:rPr>
        <w:t>（七）落实规范排污口要求。</w:t>
      </w:r>
      <w:r>
        <w:rPr>
          <w:rFonts w:hint="eastAsia" w:ascii="仿宋_GB2312" w:hAnsi="宋体" w:eastAsia="仿宋_GB2312" w:cs="宋体"/>
          <w:color w:val="000000"/>
          <w:kern w:val="0"/>
          <w:sz w:val="32"/>
          <w:szCs w:val="32"/>
          <w:lang w:val="en-US" w:eastAsia="zh-CN" w:bidi="ar-SA"/>
        </w:rPr>
        <w:t>按国家和省、市排污口规范化要求设置各类排污口和标识并建档。</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lang w:val="en-US" w:eastAsia="zh-CN"/>
        </w:rPr>
        <w:t>（八）项目周围规划控制要求。</w:t>
      </w:r>
      <w:r>
        <w:rPr>
          <w:rFonts w:hint="eastAsia" w:ascii="仿宋_GB2312" w:hAnsi="宋体" w:eastAsia="仿宋_GB2312" w:cs="宋体"/>
          <w:kern w:val="0"/>
          <w:sz w:val="32"/>
          <w:szCs w:val="32"/>
          <w:lang w:val="en-US" w:eastAsia="zh-CN" w:bidi="ar-SA"/>
        </w:rPr>
        <w:t>根据《报告书》和《评估意见》结论</w:t>
      </w:r>
      <w:r>
        <w:rPr>
          <w:rFonts w:hint="eastAsia" w:ascii="仿宋_GB2312" w:hAnsi="仿宋_GB2312" w:eastAsia="仿宋_GB2312" w:cs="仿宋_GB2312"/>
          <w:bCs/>
          <w:sz w:val="32"/>
          <w:szCs w:val="32"/>
        </w:rPr>
        <w:t>，确定</w:t>
      </w:r>
      <w:r>
        <w:rPr>
          <w:rFonts w:ascii="仿宋_GB2312" w:hAnsi="仿宋_GB2312" w:eastAsia="仿宋_GB2312" w:cs="仿宋_GB2312"/>
          <w:bCs/>
          <w:sz w:val="32"/>
          <w:szCs w:val="32"/>
        </w:rPr>
        <w:t>项目</w:t>
      </w:r>
      <w:r>
        <w:rPr>
          <w:rFonts w:hint="eastAsia" w:ascii="仿宋_GB2312" w:hAnsi="仿宋_GB2312" w:eastAsia="仿宋_GB2312" w:cs="仿宋_GB2312"/>
          <w:color w:val="auto"/>
          <w:sz w:val="32"/>
          <w:szCs w:val="32"/>
          <w:lang w:eastAsia="zh-CN"/>
        </w:rPr>
        <w:t>车间、各仓库</w:t>
      </w:r>
      <w:r>
        <w:rPr>
          <w:rFonts w:hint="eastAsia" w:ascii="仿宋_GB2312" w:hAnsi="仿宋_GB2312" w:eastAsia="仿宋_GB2312" w:cs="仿宋_GB2312"/>
          <w:bCs/>
          <w:color w:val="000000"/>
          <w:sz w:val="32"/>
          <w:szCs w:val="32"/>
        </w:rPr>
        <w:t>需设置50m的卫生防护距离，</w:t>
      </w:r>
      <w:r>
        <w:rPr>
          <w:rFonts w:hint="eastAsia" w:ascii="仿宋_GB2312" w:hAnsi="仿宋" w:eastAsia="仿宋_GB2312" w:cs="仿宋"/>
          <w:color w:val="000000"/>
          <w:sz w:val="32"/>
          <w:szCs w:val="32"/>
        </w:rPr>
        <w:t>你公司应</w:t>
      </w:r>
      <w:r>
        <w:rPr>
          <w:rFonts w:hint="eastAsia" w:ascii="仿宋_GB2312" w:hAnsi="仿宋" w:eastAsia="仿宋_GB2312" w:cs="仿宋"/>
          <w:color w:val="000000"/>
          <w:sz w:val="32"/>
          <w:szCs w:val="32"/>
          <w:lang w:val="en-US" w:eastAsia="zh-CN"/>
        </w:rPr>
        <w:t>配合规划部门</w:t>
      </w:r>
      <w:r>
        <w:rPr>
          <w:rFonts w:hint="eastAsia" w:ascii="仿宋_GB2312" w:hAnsi="仿宋" w:eastAsia="仿宋_GB2312" w:cs="仿宋"/>
          <w:color w:val="000000"/>
          <w:sz w:val="32"/>
          <w:szCs w:val="32"/>
        </w:rPr>
        <w:t>，严格控制好本项目周边规划，项目卫生防护距离范围内不得新建居民住宅、学校及医院等环境敏感建筑。</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九</w:t>
      </w:r>
      <w:r>
        <w:rPr>
          <w:rFonts w:hint="eastAsia" w:ascii="楷体" w:hAnsi="楷体" w:eastAsia="楷体" w:cs="楷体"/>
          <w:color w:val="000000"/>
          <w:sz w:val="32"/>
          <w:szCs w:val="32"/>
          <w:lang w:eastAsia="zh-CN"/>
        </w:rPr>
        <w:t>）信息公开要求。</w:t>
      </w:r>
      <w:r>
        <w:rPr>
          <w:rFonts w:hint="eastAsia" w:ascii="仿宋_GB2312" w:hAnsi="仿宋" w:eastAsia="仿宋_GB2312" w:cs="仿宋"/>
          <w:sz w:val="32"/>
          <w:szCs w:val="32"/>
        </w:rPr>
        <w:t>你公司应依法实施信息公开，接</w:t>
      </w:r>
      <w:r>
        <w:rPr>
          <w:rFonts w:hint="eastAsia" w:ascii="仿宋_GB2312" w:hAnsi="仿宋" w:eastAsia="仿宋_GB2312" w:cs="仿宋"/>
          <w:sz w:val="32"/>
          <w:szCs w:val="32"/>
          <w:lang w:eastAsia="zh-CN"/>
        </w:rPr>
        <w:t>受</w:t>
      </w:r>
      <w:bookmarkStart w:id="1" w:name="_GoBack"/>
      <w:bookmarkEnd w:id="1"/>
      <w:r>
        <w:rPr>
          <w:rFonts w:hint="eastAsia" w:ascii="仿宋_GB2312" w:hAnsi="仿宋" w:eastAsia="仿宋_GB2312" w:cs="仿宋"/>
          <w:sz w:val="32"/>
          <w:szCs w:val="32"/>
        </w:rPr>
        <w:t>社会监督。项目应定期公示企业环境报告，公布污染物排放和环境管理情况。</w:t>
      </w:r>
    </w:p>
    <w:p>
      <w:pPr>
        <w:keepNext w:val="0"/>
        <w:keepLines w:val="0"/>
        <w:pageBreakBefore w:val="0"/>
        <w:kinsoku/>
        <w:wordWrap/>
        <w:overflowPunct/>
        <w:topLinePunct w:val="0"/>
        <w:autoSpaceDN/>
        <w:bidi w:val="0"/>
        <w:spacing w:line="52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三、项目运行和竣工验收的环保要求</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kinsoku/>
        <w:wordWrap/>
        <w:overflowPunct/>
        <w:topLinePunct w:val="0"/>
        <w:autoSpaceDN/>
        <w:bidi w:val="0"/>
        <w:spacing w:line="52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四、其他环保要求</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kinsoku/>
        <w:wordWrap/>
        <w:overflowPunct/>
        <w:topLinePunct w:val="0"/>
        <w:autoSpaceDN/>
        <w:bidi w:val="0"/>
        <w:spacing w:line="52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val="en-US" w:eastAsia="zh-CN"/>
        </w:rPr>
        <w:t>万载</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val="en-US" w:eastAsia="zh-CN"/>
        </w:rPr>
        <w:t>万载</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ascii="楷体" w:hAnsi="楷体" w:eastAsia="仿宋_GB2312" w:cs="楷体"/>
          <w:color w:val="auto"/>
          <w:sz w:val="32"/>
          <w:szCs w:val="32"/>
          <w:lang w:eastAsia="zh-CN"/>
        </w:rPr>
      </w:pPr>
      <w:r>
        <w:rPr>
          <w:rFonts w:hint="eastAsia" w:ascii="楷体" w:hAnsi="楷体" w:eastAsia="楷体" w:cs="楷体"/>
          <w:color w:val="000000"/>
          <w:sz w:val="32"/>
          <w:szCs w:val="32"/>
        </w:rPr>
        <w:t>（四）其他管理要求。</w:t>
      </w:r>
      <w:r>
        <w:rPr>
          <w:rFonts w:hint="eastAsia" w:ascii="仿宋_GB2312" w:eastAsia="仿宋_GB2312"/>
          <w:color w:val="000000"/>
          <w:sz w:val="32"/>
          <w:szCs w:val="32"/>
        </w:rPr>
        <w:t>项目产品长石粉应有明确可行的下</w:t>
      </w:r>
      <w:r>
        <w:rPr>
          <w:rFonts w:hint="eastAsia" w:ascii="仿宋_GB2312" w:eastAsia="仿宋_GB2312"/>
          <w:color w:val="auto"/>
          <w:sz w:val="32"/>
          <w:szCs w:val="32"/>
        </w:rPr>
        <w:t>游销售渠道。如暂时无法外售，应参照一般工业固体废物管理要求进行收集、贮存、处置，落实防雨、防渗、单独区域储存等措施，并建立专门台账，不得随意倾倒，污染环境。</w:t>
      </w:r>
    </w:p>
    <w:p>
      <w:pPr>
        <w:wordWrap w:val="0"/>
        <w:spacing w:line="500" w:lineRule="exact"/>
        <w:ind w:right="1077"/>
        <w:jc w:val="righ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rPr>
          <w:rFonts w:hint="eastAsia"/>
          <w:lang w:val="en-US" w:eastAsia="zh-CN"/>
        </w:rPr>
      </w:pPr>
    </w:p>
    <w:p>
      <w:pPr>
        <w:pStyle w:val="9"/>
        <w:rPr>
          <w:rFonts w:hint="eastAsia"/>
          <w:lang w:val="en-US" w:eastAsia="zh-CN"/>
        </w:rPr>
      </w:pPr>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pStyle w:val="23"/>
        <w:spacing w:line="560" w:lineRule="exact"/>
        <w:outlineLvl w:val="9"/>
        <w:rPr>
          <w:rFonts w:hint="eastAsia" w:ascii="仿宋_GB2312" w:hAnsi="Calibri" w:eastAsia="仿宋_GB2312" w:cs="Times New Roman"/>
          <w:b w:val="0"/>
          <w:bCs w:val="0"/>
          <w:color w:val="000000"/>
          <w:kern w:val="2"/>
          <w:sz w:val="32"/>
          <w:szCs w:val="32"/>
          <w:lang w:val="en-US" w:eastAsia="zh-CN" w:bidi="ar-SA"/>
        </w:rPr>
      </w:pPr>
    </w:p>
    <w:p>
      <w:pPr>
        <w:pStyle w:val="23"/>
        <w:spacing w:line="560" w:lineRule="exact"/>
        <w:outlineLvl w:val="9"/>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pStyle w:val="21"/>
        <w:rPr>
          <w:rFonts w:hint="eastAsia"/>
          <w:lang w:val="en-US" w:eastAsia="zh-CN"/>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050" w:leftChars="100" w:right="210" w:rightChars="100" w:hanging="840" w:hangingChars="300"/>
        <w:textAlignment w:val="auto"/>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宋体" w:eastAsia="仿宋_GB2312"/>
          <w:spacing w:val="-6"/>
          <w:sz w:val="28"/>
          <w:szCs w:val="28"/>
          <w:lang w:val="en-US" w:eastAsia="zh-CN"/>
        </w:rPr>
        <w:t>万载县人民政府</w:t>
      </w:r>
      <w:r>
        <w:rPr>
          <w:rFonts w:hint="eastAsia" w:ascii="仿宋_GB2312" w:hAnsi="宋体" w:eastAsia="仿宋_GB2312"/>
          <w:spacing w:val="-6"/>
          <w:sz w:val="28"/>
          <w:szCs w:val="28"/>
          <w:lang w:eastAsia="zh-CN"/>
        </w:rPr>
        <w:t>、</w:t>
      </w:r>
      <w:r>
        <w:rPr>
          <w:rFonts w:hint="eastAsia" w:ascii="仿宋_GB2312" w:hAnsi="华文仿宋" w:eastAsia="仿宋_GB2312"/>
          <w:spacing w:val="-6"/>
          <w:sz w:val="28"/>
          <w:szCs w:val="32"/>
        </w:rPr>
        <w:t>宜春市</w:t>
      </w:r>
      <w:r>
        <w:rPr>
          <w:rFonts w:hint="eastAsia" w:ascii="仿宋_GB2312" w:hAnsi="华文仿宋" w:eastAsia="仿宋_GB2312"/>
          <w:spacing w:val="-6"/>
          <w:sz w:val="28"/>
          <w:szCs w:val="32"/>
          <w:lang w:val="en-US" w:eastAsia="zh-CN"/>
        </w:rPr>
        <w:t>万载</w:t>
      </w:r>
      <w:r>
        <w:rPr>
          <w:rFonts w:hint="eastAsia" w:ascii="仿宋_GB2312" w:hAnsi="华文仿宋" w:eastAsia="仿宋_GB2312"/>
          <w:spacing w:val="-6"/>
          <w:sz w:val="28"/>
          <w:szCs w:val="32"/>
        </w:rPr>
        <w:t>生态</w:t>
      </w:r>
      <w:r>
        <w:rPr>
          <w:rFonts w:hint="eastAsia" w:ascii="仿宋_GB2312" w:eastAsia="仿宋_GB2312"/>
          <w:spacing w:val="-6"/>
          <w:sz w:val="28"/>
          <w:szCs w:val="32"/>
        </w:rPr>
        <w:t>环境局，局相关科室，局直属相关</w:t>
      </w:r>
      <w:r>
        <w:rPr>
          <w:rFonts w:hint="eastAsia" w:ascii="仿宋_GB2312" w:hAnsi="宋体" w:eastAsia="仿宋_GB2312"/>
          <w:spacing w:val="-6"/>
          <w:sz w:val="28"/>
          <w:szCs w:val="28"/>
          <w:lang w:val="en-US" w:eastAsia="zh-CN"/>
        </w:rPr>
        <w:t>单位，江西龙翔安全环保技术咨询</w:t>
      </w:r>
      <w:r>
        <w:rPr>
          <w:rFonts w:hint="eastAsia" w:ascii="仿宋_GB2312" w:hAnsi="宋体" w:eastAsia="仿宋_GB2312"/>
          <w:spacing w:val="-6"/>
          <w:sz w:val="28"/>
          <w:szCs w:val="28"/>
          <w:lang w:eastAsia="zh-CN"/>
        </w:rPr>
        <w:t>有限公司</w:t>
      </w:r>
      <w:r>
        <w:rPr>
          <w:rFonts w:hint="eastAsia" w:ascii="仿宋_GB2312" w:hAnsi="华文仿宋" w:eastAsia="仿宋_GB2312"/>
          <w:spacing w:val="-6"/>
          <w:sz w:val="28"/>
          <w:szCs w:val="32"/>
        </w:rPr>
        <w:t>。</w:t>
      </w:r>
      <w:r>
        <w:rPr>
          <w:rFonts w:hint="eastAsia" w:ascii="仿宋_GB2312" w:hAnsi="仿宋_GB2312" w:eastAsia="仿宋_GB2312"/>
          <w:color w:val="000000"/>
          <w:spacing w:val="-6"/>
          <w:sz w:val="28"/>
          <w:szCs w:val="32"/>
        </w:rPr>
        <w:t>　</w:t>
      </w: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keepNext w:val="0"/>
        <w:keepLines w:val="0"/>
        <w:pageBreakBefore w:val="0"/>
        <w:widowControl w:val="0"/>
        <w:tabs>
          <w:tab w:val="left" w:pos="7938"/>
        </w:tabs>
        <w:kinsoku/>
        <w:wordWrap/>
        <w:overflowPunct/>
        <w:topLinePunct w:val="0"/>
        <w:autoSpaceDE/>
        <w:autoSpaceDN/>
        <w:bidi w:val="0"/>
        <w:adjustRightInd/>
        <w:snapToGrid/>
        <w:spacing w:line="520" w:lineRule="exact"/>
        <w:ind w:left="210" w:leftChars="100" w:right="210" w:rightChars="100"/>
        <w:textAlignment w:val="auto"/>
        <w:rPr>
          <w:rFonts w:ascii="仿宋_GB2312" w:eastAsia="仿宋_GB2312"/>
          <w:color w:val="000000"/>
          <w:sz w:val="28"/>
          <w:szCs w:val="32"/>
        </w:rPr>
      </w:pPr>
      <w:r>
        <w:rPr>
          <w:rFonts w:hint="eastAsia" w:ascii="仿宋_GB2312" w:eastAsia="仿宋_GB2312"/>
          <w:color w:val="000000"/>
          <w:sz w:val="28"/>
          <w:szCs w:val="32"/>
        </w:rPr>
        <w:t>宜春市生态环境局秘书科　 　           　 202</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年</w:t>
      </w:r>
      <w:r>
        <w:rPr>
          <w:rFonts w:hint="eastAsia" w:ascii="仿宋_GB2312" w:eastAsia="仿宋_GB2312"/>
          <w:color w:val="000000"/>
          <w:sz w:val="28"/>
          <w:szCs w:val="32"/>
          <w:lang w:val="en-US" w:eastAsia="zh-CN"/>
        </w:rPr>
        <w:t>5</w:t>
      </w:r>
      <w:r>
        <w:rPr>
          <w:rFonts w:hint="eastAsia" w:ascii="仿宋_GB2312" w:eastAsia="仿宋_GB2312"/>
          <w:color w:val="000000"/>
          <w:sz w:val="28"/>
          <w:szCs w:val="32"/>
        </w:rPr>
        <w:t>月</w:t>
      </w:r>
      <w:r>
        <w:rPr>
          <w:rFonts w:hint="eastAsia" w:ascii="仿宋_GB2312" w:eastAsia="仿宋_GB2312"/>
          <w:color w:val="000000"/>
          <w:sz w:val="28"/>
          <w:szCs w:val="32"/>
          <w:lang w:val="en-US" w:eastAsia="zh-CN"/>
        </w:rPr>
        <w:t>5</w:t>
      </w:r>
      <w:r>
        <w:rPr>
          <w:rFonts w:hint="eastAsia" w:ascii="仿宋_GB2312" w:eastAsia="仿宋_GB2312"/>
          <w:color w:val="000000"/>
          <w:sz w:val="28"/>
          <w:szCs w:val="32"/>
        </w:rPr>
        <w:t>日印发</w:t>
      </w:r>
    </w:p>
    <w:p>
      <w:pPr>
        <w:spacing w:line="140" w:lineRule="exact"/>
        <w:rPr>
          <w:rFonts w:ascii="仿宋_GB2312" w:hAnsi="华文仿宋" w:eastAsia="仿宋_GB2312"/>
          <w:spacing w:val="-6"/>
          <w:sz w:val="18"/>
          <w:szCs w:val="32"/>
        </w:rPr>
      </w:pPr>
      <w:r>
        <w:rPr>
          <w:rFonts w:hint="eastAsia" w:ascii="仿宋_GB2312" w:eastAsia="仿宋_GB2312"/>
          <w:color w:val="000000"/>
          <w:sz w:val="28"/>
          <w:szCs w:val="32"/>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p>
                    <w:pPr>
                      <w:pStyle w:val="13"/>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1A1F"/>
    <w:rsid w:val="002D36C8"/>
    <w:rsid w:val="002D4357"/>
    <w:rsid w:val="002E6EC5"/>
    <w:rsid w:val="002F0352"/>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526F5"/>
    <w:rsid w:val="007560D8"/>
    <w:rsid w:val="00771662"/>
    <w:rsid w:val="0077442E"/>
    <w:rsid w:val="00781170"/>
    <w:rsid w:val="00794C9D"/>
    <w:rsid w:val="007C4113"/>
    <w:rsid w:val="007C66F2"/>
    <w:rsid w:val="007D0404"/>
    <w:rsid w:val="007F7109"/>
    <w:rsid w:val="008048A6"/>
    <w:rsid w:val="00807746"/>
    <w:rsid w:val="00812F26"/>
    <w:rsid w:val="00856911"/>
    <w:rsid w:val="00874512"/>
    <w:rsid w:val="008858FF"/>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41E5"/>
    <w:rsid w:val="00BC45AB"/>
    <w:rsid w:val="00BC557B"/>
    <w:rsid w:val="00BD2CE5"/>
    <w:rsid w:val="00BD3CA3"/>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B"/>
    <w:rsid w:val="00FA7567"/>
    <w:rsid w:val="00FC0384"/>
    <w:rsid w:val="00FC07C2"/>
    <w:rsid w:val="00FC1B12"/>
    <w:rsid w:val="00FC3FDC"/>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B572A"/>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9AA9A3"/>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B24D1"/>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3E5F1F"/>
    <w:rsid w:val="1B4648B6"/>
    <w:rsid w:val="1B704E36"/>
    <w:rsid w:val="1B850928"/>
    <w:rsid w:val="1BA209B9"/>
    <w:rsid w:val="1BB147EF"/>
    <w:rsid w:val="1BB7CF60"/>
    <w:rsid w:val="1BD16179"/>
    <w:rsid w:val="1BD72B89"/>
    <w:rsid w:val="1BDEAF20"/>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104B3"/>
    <w:rsid w:val="1DC74215"/>
    <w:rsid w:val="1DE7DC64"/>
    <w:rsid w:val="1DF41A03"/>
    <w:rsid w:val="1E9A6476"/>
    <w:rsid w:val="1EB47D2E"/>
    <w:rsid w:val="1EBFC2A8"/>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DFBB3A"/>
    <w:rsid w:val="1FEDB956"/>
    <w:rsid w:val="1FEE0E62"/>
    <w:rsid w:val="1FFF9B15"/>
    <w:rsid w:val="1FFF9DF5"/>
    <w:rsid w:val="1FFFCFFF"/>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57F93C"/>
    <w:rsid w:val="296F53A2"/>
    <w:rsid w:val="29797096"/>
    <w:rsid w:val="29837114"/>
    <w:rsid w:val="298F6165"/>
    <w:rsid w:val="29AB2E6F"/>
    <w:rsid w:val="29AC13BE"/>
    <w:rsid w:val="29C0187A"/>
    <w:rsid w:val="2A0D6FEB"/>
    <w:rsid w:val="2A7C3107"/>
    <w:rsid w:val="2A826B38"/>
    <w:rsid w:val="2A951FF8"/>
    <w:rsid w:val="2A9F2116"/>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1FFE99"/>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BFF01BC"/>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6BF733"/>
    <w:rsid w:val="3F790CB0"/>
    <w:rsid w:val="3F7B049D"/>
    <w:rsid w:val="3F7EF851"/>
    <w:rsid w:val="3F7F5C6A"/>
    <w:rsid w:val="3F8954B2"/>
    <w:rsid w:val="3F8D0899"/>
    <w:rsid w:val="3F911FB7"/>
    <w:rsid w:val="3F970855"/>
    <w:rsid w:val="3F9B8D70"/>
    <w:rsid w:val="3F9C704E"/>
    <w:rsid w:val="3F9EF683"/>
    <w:rsid w:val="3FAE6D2D"/>
    <w:rsid w:val="3FB765EE"/>
    <w:rsid w:val="3FBD71D2"/>
    <w:rsid w:val="3FBD8D6B"/>
    <w:rsid w:val="3FBE84A1"/>
    <w:rsid w:val="3FC111A5"/>
    <w:rsid w:val="3FC767C0"/>
    <w:rsid w:val="3FCB541B"/>
    <w:rsid w:val="3FE394E7"/>
    <w:rsid w:val="3FFB0E64"/>
    <w:rsid w:val="3FFB4CC3"/>
    <w:rsid w:val="3FFBE772"/>
    <w:rsid w:val="3FFD09BF"/>
    <w:rsid w:val="3FFF180E"/>
    <w:rsid w:val="3FFF3C7C"/>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368A5"/>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EE3207A"/>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9FFE946"/>
    <w:rsid w:val="5A04162B"/>
    <w:rsid w:val="5A091DC0"/>
    <w:rsid w:val="5A145BBF"/>
    <w:rsid w:val="5A81421E"/>
    <w:rsid w:val="5A963AAD"/>
    <w:rsid w:val="5A9E2282"/>
    <w:rsid w:val="5ACFD81A"/>
    <w:rsid w:val="5AD563E4"/>
    <w:rsid w:val="5AFA4BDB"/>
    <w:rsid w:val="5B3A6098"/>
    <w:rsid w:val="5B410D79"/>
    <w:rsid w:val="5B4D177D"/>
    <w:rsid w:val="5B57206F"/>
    <w:rsid w:val="5B5D79F8"/>
    <w:rsid w:val="5B6B7A7F"/>
    <w:rsid w:val="5B7E537A"/>
    <w:rsid w:val="5B8643BE"/>
    <w:rsid w:val="5B9752C3"/>
    <w:rsid w:val="5BA1550F"/>
    <w:rsid w:val="5BAEC8ED"/>
    <w:rsid w:val="5BB25C1D"/>
    <w:rsid w:val="5BBF10B3"/>
    <w:rsid w:val="5BCB0034"/>
    <w:rsid w:val="5BDA3F4B"/>
    <w:rsid w:val="5BDC5203"/>
    <w:rsid w:val="5BF492AF"/>
    <w:rsid w:val="5BFC5543"/>
    <w:rsid w:val="5BFF30F8"/>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A25D5"/>
    <w:rsid w:val="5DFD7F64"/>
    <w:rsid w:val="5DFF94E6"/>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E0E5B"/>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E99A3"/>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6E23EB"/>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D77BC"/>
    <w:rsid w:val="677EA2CA"/>
    <w:rsid w:val="67875BEC"/>
    <w:rsid w:val="6797C3E4"/>
    <w:rsid w:val="67981E55"/>
    <w:rsid w:val="679A30E1"/>
    <w:rsid w:val="67BB5DCF"/>
    <w:rsid w:val="67CF4B12"/>
    <w:rsid w:val="67D56C7D"/>
    <w:rsid w:val="67DB7D86"/>
    <w:rsid w:val="67EDA967"/>
    <w:rsid w:val="67EDB27E"/>
    <w:rsid w:val="67EDBDA0"/>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74A6D"/>
    <w:rsid w:val="6B7D00D8"/>
    <w:rsid w:val="6B7F6011"/>
    <w:rsid w:val="6B84408B"/>
    <w:rsid w:val="6BAE6F4B"/>
    <w:rsid w:val="6BB9765C"/>
    <w:rsid w:val="6BBB38C9"/>
    <w:rsid w:val="6BBD121A"/>
    <w:rsid w:val="6BBDD199"/>
    <w:rsid w:val="6BBE2EC3"/>
    <w:rsid w:val="6BD4BFFA"/>
    <w:rsid w:val="6BDDBC3F"/>
    <w:rsid w:val="6BE03964"/>
    <w:rsid w:val="6BEEC6FD"/>
    <w:rsid w:val="6BF7A4CE"/>
    <w:rsid w:val="6BFF2C4A"/>
    <w:rsid w:val="6BFF6F90"/>
    <w:rsid w:val="6C1C2C64"/>
    <w:rsid w:val="6C5DB040"/>
    <w:rsid w:val="6C6351B9"/>
    <w:rsid w:val="6C6F4811"/>
    <w:rsid w:val="6C745F04"/>
    <w:rsid w:val="6C7BC551"/>
    <w:rsid w:val="6C7FDC0D"/>
    <w:rsid w:val="6C815AFB"/>
    <w:rsid w:val="6C9106CB"/>
    <w:rsid w:val="6CB392BE"/>
    <w:rsid w:val="6CEB81F2"/>
    <w:rsid w:val="6CEDAF30"/>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EE8ED"/>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71261"/>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F2EFD2"/>
    <w:rsid w:val="6FF55067"/>
    <w:rsid w:val="6FF70C7C"/>
    <w:rsid w:val="6FF736B6"/>
    <w:rsid w:val="6FFE666F"/>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2CB5"/>
    <w:rsid w:val="7547410B"/>
    <w:rsid w:val="75670E1B"/>
    <w:rsid w:val="757E22EC"/>
    <w:rsid w:val="757E8488"/>
    <w:rsid w:val="759D5D2B"/>
    <w:rsid w:val="759DDA6E"/>
    <w:rsid w:val="75B57793"/>
    <w:rsid w:val="75B847FC"/>
    <w:rsid w:val="75DFB6E5"/>
    <w:rsid w:val="75E60986"/>
    <w:rsid w:val="75FFAC91"/>
    <w:rsid w:val="76067541"/>
    <w:rsid w:val="76171E85"/>
    <w:rsid w:val="761E1DD9"/>
    <w:rsid w:val="76571F4C"/>
    <w:rsid w:val="766D0A82"/>
    <w:rsid w:val="767F7BF5"/>
    <w:rsid w:val="76824B18"/>
    <w:rsid w:val="769FBAE5"/>
    <w:rsid w:val="769FF50B"/>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1E40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3F10D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78ED9"/>
    <w:rsid w:val="7ADE746F"/>
    <w:rsid w:val="7ADF8D6D"/>
    <w:rsid w:val="7ADFEA57"/>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E73AD"/>
    <w:rsid w:val="7BFF1252"/>
    <w:rsid w:val="7BFF4CBB"/>
    <w:rsid w:val="7BFFBEF3"/>
    <w:rsid w:val="7BFFFB61"/>
    <w:rsid w:val="7C199E8E"/>
    <w:rsid w:val="7C1E4662"/>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A38670"/>
    <w:rsid w:val="7DB44617"/>
    <w:rsid w:val="7DB912C6"/>
    <w:rsid w:val="7DCFA9AF"/>
    <w:rsid w:val="7DE7B160"/>
    <w:rsid w:val="7DEF655E"/>
    <w:rsid w:val="7DEFDD4D"/>
    <w:rsid w:val="7DF55D84"/>
    <w:rsid w:val="7DF5E540"/>
    <w:rsid w:val="7DFFD3A2"/>
    <w:rsid w:val="7E15D1C6"/>
    <w:rsid w:val="7E1861B4"/>
    <w:rsid w:val="7E1E6385"/>
    <w:rsid w:val="7E1FF0C7"/>
    <w:rsid w:val="7E340988"/>
    <w:rsid w:val="7E3D5B49"/>
    <w:rsid w:val="7E3D6278"/>
    <w:rsid w:val="7E55A534"/>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E089F"/>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0159"/>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C5663"/>
    <w:rsid w:val="7FDE6D84"/>
    <w:rsid w:val="7FDF0F57"/>
    <w:rsid w:val="7FDF8A26"/>
    <w:rsid w:val="7FE45506"/>
    <w:rsid w:val="7FE74340"/>
    <w:rsid w:val="7FE777B0"/>
    <w:rsid w:val="7FEA3A9C"/>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B9A55"/>
    <w:rsid w:val="91DFE8F5"/>
    <w:rsid w:val="93DB74AF"/>
    <w:rsid w:val="95752F98"/>
    <w:rsid w:val="97D71DFE"/>
    <w:rsid w:val="98B961D6"/>
    <w:rsid w:val="99ED0C9D"/>
    <w:rsid w:val="99FEE736"/>
    <w:rsid w:val="9A1E0A07"/>
    <w:rsid w:val="9D3EAF1C"/>
    <w:rsid w:val="9D6B2ED6"/>
    <w:rsid w:val="9D7F0DA6"/>
    <w:rsid w:val="9D9F82B4"/>
    <w:rsid w:val="9DBE3653"/>
    <w:rsid w:val="9DBF28CB"/>
    <w:rsid w:val="9DEEA1A7"/>
    <w:rsid w:val="9DFFC56B"/>
    <w:rsid w:val="9EFE4D09"/>
    <w:rsid w:val="9EFFBFDC"/>
    <w:rsid w:val="9F1F0774"/>
    <w:rsid w:val="9F5770BF"/>
    <w:rsid w:val="9F746438"/>
    <w:rsid w:val="9F7F0326"/>
    <w:rsid w:val="9F829BB7"/>
    <w:rsid w:val="9FAE96CE"/>
    <w:rsid w:val="9FBF075C"/>
    <w:rsid w:val="9FBF926B"/>
    <w:rsid w:val="9FFFBA19"/>
    <w:rsid w:val="9FFFF6C8"/>
    <w:rsid w:val="A4F29759"/>
    <w:rsid w:val="A56A5B4C"/>
    <w:rsid w:val="A5FD18B9"/>
    <w:rsid w:val="A5FD887E"/>
    <w:rsid w:val="A69E7D90"/>
    <w:rsid w:val="A798F561"/>
    <w:rsid w:val="A7F5298F"/>
    <w:rsid w:val="A9FBD03D"/>
    <w:rsid w:val="ABF7DC2D"/>
    <w:rsid w:val="ABFFE5E5"/>
    <w:rsid w:val="AD6D9B49"/>
    <w:rsid w:val="ADFA5E98"/>
    <w:rsid w:val="AEAF57D7"/>
    <w:rsid w:val="AEBFBB0B"/>
    <w:rsid w:val="AEF841E1"/>
    <w:rsid w:val="AEFFCADD"/>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944576"/>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AA910C"/>
    <w:rsid w:val="BEBBD8C1"/>
    <w:rsid w:val="BEDB8436"/>
    <w:rsid w:val="BEF7187E"/>
    <w:rsid w:val="BEFB0E83"/>
    <w:rsid w:val="BF3A91C7"/>
    <w:rsid w:val="BF604D9D"/>
    <w:rsid w:val="BF6BD8BA"/>
    <w:rsid w:val="BF76AA92"/>
    <w:rsid w:val="BF76E7B0"/>
    <w:rsid w:val="BF77B18C"/>
    <w:rsid w:val="BF793CE4"/>
    <w:rsid w:val="BF7E4088"/>
    <w:rsid w:val="BF7EDFC0"/>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6B60"/>
    <w:rsid w:val="BFFFF591"/>
    <w:rsid w:val="C57B30B2"/>
    <w:rsid w:val="C5923726"/>
    <w:rsid w:val="C5BF2169"/>
    <w:rsid w:val="C5DF0AA3"/>
    <w:rsid w:val="C7470024"/>
    <w:rsid w:val="C7AD4B17"/>
    <w:rsid w:val="CB339C4C"/>
    <w:rsid w:val="CB5FE9A0"/>
    <w:rsid w:val="CBF68264"/>
    <w:rsid w:val="CBFFBB8F"/>
    <w:rsid w:val="CC6D41A8"/>
    <w:rsid w:val="CCE3DF2C"/>
    <w:rsid w:val="CD79B43A"/>
    <w:rsid w:val="CD9379DD"/>
    <w:rsid w:val="CDD5C00D"/>
    <w:rsid w:val="CDEE0A57"/>
    <w:rsid w:val="CDFD62BF"/>
    <w:rsid w:val="CDFDE3EF"/>
    <w:rsid w:val="CEB93A85"/>
    <w:rsid w:val="CEDF4929"/>
    <w:rsid w:val="CEFA3080"/>
    <w:rsid w:val="CF543888"/>
    <w:rsid w:val="CF7AE5F7"/>
    <w:rsid w:val="CFB78B5A"/>
    <w:rsid w:val="CFDB6519"/>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BE01EE"/>
    <w:rsid w:val="D7D5CC6F"/>
    <w:rsid w:val="D7DE753A"/>
    <w:rsid w:val="D7E09F42"/>
    <w:rsid w:val="D7FB59A0"/>
    <w:rsid w:val="D7FED8D0"/>
    <w:rsid w:val="D7FF672B"/>
    <w:rsid w:val="D7FFF9DF"/>
    <w:rsid w:val="D8A9D188"/>
    <w:rsid w:val="D9BD42E9"/>
    <w:rsid w:val="D9BE4408"/>
    <w:rsid w:val="DABFB485"/>
    <w:rsid w:val="DB2E96B1"/>
    <w:rsid w:val="DB99523A"/>
    <w:rsid w:val="DBB03921"/>
    <w:rsid w:val="DBBFC65C"/>
    <w:rsid w:val="DBCB3E80"/>
    <w:rsid w:val="DBD5E18D"/>
    <w:rsid w:val="DBD7EEC3"/>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7F6046"/>
    <w:rsid w:val="DF8D2CD7"/>
    <w:rsid w:val="DF8FE69E"/>
    <w:rsid w:val="DF9C7BDB"/>
    <w:rsid w:val="DFA13E8B"/>
    <w:rsid w:val="DFAFCA63"/>
    <w:rsid w:val="DFB39FB3"/>
    <w:rsid w:val="DFBDBE68"/>
    <w:rsid w:val="DFBEA04D"/>
    <w:rsid w:val="DFC6161D"/>
    <w:rsid w:val="DFCB2CD1"/>
    <w:rsid w:val="DFCE7609"/>
    <w:rsid w:val="DFD4C987"/>
    <w:rsid w:val="DFD9E5D0"/>
    <w:rsid w:val="DFDD4268"/>
    <w:rsid w:val="DFDFAC6F"/>
    <w:rsid w:val="DFE73EF5"/>
    <w:rsid w:val="DFEC7A3A"/>
    <w:rsid w:val="DFEFA24D"/>
    <w:rsid w:val="DFEFFE04"/>
    <w:rsid w:val="DFF0F891"/>
    <w:rsid w:val="DFF30972"/>
    <w:rsid w:val="DFFB4111"/>
    <w:rsid w:val="DFFBC7E1"/>
    <w:rsid w:val="DFFCACE0"/>
    <w:rsid w:val="DFFDDC8E"/>
    <w:rsid w:val="DFFE1E36"/>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3BC79"/>
    <w:rsid w:val="EBFBA9D6"/>
    <w:rsid w:val="EBFCE636"/>
    <w:rsid w:val="EBFD03CE"/>
    <w:rsid w:val="EBFFD39E"/>
    <w:rsid w:val="EC75EFAF"/>
    <w:rsid w:val="EC7FA350"/>
    <w:rsid w:val="ECF1EE47"/>
    <w:rsid w:val="ED690673"/>
    <w:rsid w:val="ED7E040F"/>
    <w:rsid w:val="EDC312B6"/>
    <w:rsid w:val="EDEBC201"/>
    <w:rsid w:val="EDEC1D5D"/>
    <w:rsid w:val="EDF08611"/>
    <w:rsid w:val="EDF48900"/>
    <w:rsid w:val="EDF71846"/>
    <w:rsid w:val="EDF91812"/>
    <w:rsid w:val="EDFB4858"/>
    <w:rsid w:val="EE33BD15"/>
    <w:rsid w:val="EE3E5393"/>
    <w:rsid w:val="EE7D0F1E"/>
    <w:rsid w:val="EE7F91A3"/>
    <w:rsid w:val="EEF8367A"/>
    <w:rsid w:val="EEFF8CE3"/>
    <w:rsid w:val="EF1BEDAE"/>
    <w:rsid w:val="EF27FB06"/>
    <w:rsid w:val="EF2E6B80"/>
    <w:rsid w:val="EF433FF5"/>
    <w:rsid w:val="EF495D11"/>
    <w:rsid w:val="EF4B19DF"/>
    <w:rsid w:val="EF6E6B32"/>
    <w:rsid w:val="EF6F4391"/>
    <w:rsid w:val="EF773B82"/>
    <w:rsid w:val="EF7FA93E"/>
    <w:rsid w:val="EF87F285"/>
    <w:rsid w:val="EFA54636"/>
    <w:rsid w:val="EFB99481"/>
    <w:rsid w:val="EFBFFBC7"/>
    <w:rsid w:val="EFCF1850"/>
    <w:rsid w:val="EFDE05E6"/>
    <w:rsid w:val="EFDF616C"/>
    <w:rsid w:val="EFF4B0B3"/>
    <w:rsid w:val="EFF5875C"/>
    <w:rsid w:val="EFF74B30"/>
    <w:rsid w:val="EFF7F5AB"/>
    <w:rsid w:val="EFF92E18"/>
    <w:rsid w:val="EFFB9311"/>
    <w:rsid w:val="EFFBBA0B"/>
    <w:rsid w:val="EFFBF828"/>
    <w:rsid w:val="EFFF6F19"/>
    <w:rsid w:val="EFFF8DCC"/>
    <w:rsid w:val="F11FEDF9"/>
    <w:rsid w:val="F17F5E1A"/>
    <w:rsid w:val="F1DFE06D"/>
    <w:rsid w:val="F2899859"/>
    <w:rsid w:val="F2BF5C01"/>
    <w:rsid w:val="F2DCE203"/>
    <w:rsid w:val="F2FBA260"/>
    <w:rsid w:val="F32FE83B"/>
    <w:rsid w:val="F36F7974"/>
    <w:rsid w:val="F3723DB1"/>
    <w:rsid w:val="F3D7D169"/>
    <w:rsid w:val="F3E5CA17"/>
    <w:rsid w:val="F3EA0697"/>
    <w:rsid w:val="F3F2F550"/>
    <w:rsid w:val="F3F5BEE9"/>
    <w:rsid w:val="F3F8EE6C"/>
    <w:rsid w:val="F3FB14F0"/>
    <w:rsid w:val="F3FF05B4"/>
    <w:rsid w:val="F3FFD2DD"/>
    <w:rsid w:val="F4225257"/>
    <w:rsid w:val="F4571BDB"/>
    <w:rsid w:val="F4BF339E"/>
    <w:rsid w:val="F4CF00A8"/>
    <w:rsid w:val="F4EBD455"/>
    <w:rsid w:val="F57EA373"/>
    <w:rsid w:val="F5AB4465"/>
    <w:rsid w:val="F5AF1AAC"/>
    <w:rsid w:val="F5D6D416"/>
    <w:rsid w:val="F5EF5BA1"/>
    <w:rsid w:val="F5FFA048"/>
    <w:rsid w:val="F66E6811"/>
    <w:rsid w:val="F6F715DC"/>
    <w:rsid w:val="F6FC548F"/>
    <w:rsid w:val="F6FF0645"/>
    <w:rsid w:val="F6FFB40C"/>
    <w:rsid w:val="F70F4387"/>
    <w:rsid w:val="F75DEE87"/>
    <w:rsid w:val="F76FC34E"/>
    <w:rsid w:val="F77EAFBC"/>
    <w:rsid w:val="F79BF327"/>
    <w:rsid w:val="F7BB0BC8"/>
    <w:rsid w:val="F7BB5C28"/>
    <w:rsid w:val="F7BB7DA5"/>
    <w:rsid w:val="F7BF4B69"/>
    <w:rsid w:val="F7BFDD02"/>
    <w:rsid w:val="F7C640FC"/>
    <w:rsid w:val="F7CB5DEB"/>
    <w:rsid w:val="F7D30B5E"/>
    <w:rsid w:val="F7D5FA45"/>
    <w:rsid w:val="F7DF177A"/>
    <w:rsid w:val="F7DF1F17"/>
    <w:rsid w:val="F7DFD18F"/>
    <w:rsid w:val="F7E9BB8D"/>
    <w:rsid w:val="F7EF520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DFF882"/>
    <w:rsid w:val="F9FA94DA"/>
    <w:rsid w:val="F9FFCD8A"/>
    <w:rsid w:val="F9FFE9E2"/>
    <w:rsid w:val="FA673975"/>
    <w:rsid w:val="FA6F5FA1"/>
    <w:rsid w:val="FA6F7A3B"/>
    <w:rsid w:val="FA9F3B8F"/>
    <w:rsid w:val="FABB1ADF"/>
    <w:rsid w:val="FAFB5879"/>
    <w:rsid w:val="FAFFE8B1"/>
    <w:rsid w:val="FB0FA5A1"/>
    <w:rsid w:val="FB1B2E8B"/>
    <w:rsid w:val="FB5DDB87"/>
    <w:rsid w:val="FB5F2D39"/>
    <w:rsid w:val="FB5F7A41"/>
    <w:rsid w:val="FB6141D0"/>
    <w:rsid w:val="FB737713"/>
    <w:rsid w:val="FB7620CB"/>
    <w:rsid w:val="FBAD924E"/>
    <w:rsid w:val="FBB7E5DC"/>
    <w:rsid w:val="FBBD5543"/>
    <w:rsid w:val="FBCC4718"/>
    <w:rsid w:val="FBD25553"/>
    <w:rsid w:val="FBD647BE"/>
    <w:rsid w:val="FBDB1119"/>
    <w:rsid w:val="FBE7BEA8"/>
    <w:rsid w:val="FBEE5785"/>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DE72A"/>
    <w:rsid w:val="FDBE483E"/>
    <w:rsid w:val="FDCBF945"/>
    <w:rsid w:val="FDDF292B"/>
    <w:rsid w:val="FDE47190"/>
    <w:rsid w:val="FDEB5CB7"/>
    <w:rsid w:val="FDEB6716"/>
    <w:rsid w:val="FDED9CD2"/>
    <w:rsid w:val="FDEF2A04"/>
    <w:rsid w:val="FDF399A8"/>
    <w:rsid w:val="FDF97ECA"/>
    <w:rsid w:val="FDFBF622"/>
    <w:rsid w:val="FDFE341C"/>
    <w:rsid w:val="FDFF1998"/>
    <w:rsid w:val="FDFF695A"/>
    <w:rsid w:val="FDFFD0E6"/>
    <w:rsid w:val="FDFFF9C0"/>
    <w:rsid w:val="FE2D8208"/>
    <w:rsid w:val="FE39F1BD"/>
    <w:rsid w:val="FE3EDEB0"/>
    <w:rsid w:val="FE3F9217"/>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EFCA68"/>
    <w:rsid w:val="FEF608EA"/>
    <w:rsid w:val="FEF7D53C"/>
    <w:rsid w:val="FEF99CBF"/>
    <w:rsid w:val="FEFBD49E"/>
    <w:rsid w:val="FEFC12E3"/>
    <w:rsid w:val="FEFEA587"/>
    <w:rsid w:val="FEFF7BD4"/>
    <w:rsid w:val="FF1E1442"/>
    <w:rsid w:val="FF3D390A"/>
    <w:rsid w:val="FF3E59B5"/>
    <w:rsid w:val="FF4FE9F1"/>
    <w:rsid w:val="FF5B8D7F"/>
    <w:rsid w:val="FF5D1F29"/>
    <w:rsid w:val="FF659D82"/>
    <w:rsid w:val="FF660C39"/>
    <w:rsid w:val="FF6BA83A"/>
    <w:rsid w:val="FF6C3765"/>
    <w:rsid w:val="FF6F7D74"/>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73AA"/>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paragraph" w:styleId="7">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line="460" w:lineRule="exact"/>
      <w:ind w:firstLine="600" w:firstLineChars="200"/>
    </w:pPr>
    <w:rPr>
      <w:rFonts w:ascii="仿宋_GB2312" w:hAnsi="宋体" w:eastAsia="仿宋_GB2312"/>
      <w:sz w:val="30"/>
      <w:szCs w:val="28"/>
    </w:rPr>
  </w:style>
  <w:style w:type="paragraph" w:styleId="3">
    <w:name w:val="Body Text First Indent 2"/>
    <w:basedOn w:val="1"/>
    <w:next w:val="1"/>
    <w:unhideWhenUsed/>
    <w:qFormat/>
    <w:uiPriority w:val="0"/>
    <w:pPr>
      <w:spacing w:after="120" w:line="240" w:lineRule="auto"/>
      <w:ind w:left="420" w:leftChars="200" w:firstLine="420"/>
    </w:pPr>
  </w:style>
  <w:style w:type="paragraph" w:styleId="8">
    <w:name w:val="annotation text"/>
    <w:basedOn w:val="1"/>
    <w:link w:val="26"/>
    <w:qFormat/>
    <w:uiPriority w:val="0"/>
    <w:pPr>
      <w:jc w:val="left"/>
    </w:pPr>
  </w:style>
  <w:style w:type="paragraph" w:styleId="9">
    <w:name w:val="Body Text"/>
    <w:basedOn w:val="1"/>
    <w:next w:val="1"/>
    <w:qFormat/>
    <w:uiPriority w:val="0"/>
    <w:pPr>
      <w:spacing w:after="120"/>
    </w:pPr>
  </w:style>
  <w:style w:type="paragraph" w:styleId="10">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11">
    <w:name w:val="Plain Text"/>
    <w:basedOn w:val="1"/>
    <w:unhideWhenUsed/>
    <w:qFormat/>
    <w:uiPriority w:val="99"/>
    <w:rPr>
      <w:rFonts w:ascii="宋体" w:hAnsi="Courier New" w:cs="Courier New"/>
    </w:rPr>
  </w:style>
  <w:style w:type="paragraph" w:styleId="12">
    <w:name w:val="Balloon Text"/>
    <w:basedOn w:val="1"/>
    <w:link w:val="28"/>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annotation subject"/>
    <w:basedOn w:val="8"/>
    <w:next w:val="8"/>
    <w:link w:val="27"/>
    <w:qFormat/>
    <w:uiPriority w:val="0"/>
    <w:rPr>
      <w:b/>
      <w:bCs/>
    </w:rPr>
  </w:style>
  <w:style w:type="paragraph" w:styleId="16">
    <w:name w:val="Body Text First Indent"/>
    <w:basedOn w:val="9"/>
    <w:next w:val="1"/>
    <w:unhideWhenUsed/>
    <w:qFormat/>
    <w:uiPriority w:val="99"/>
    <w:pPr>
      <w:ind w:firstLine="420" w:firstLineChars="100"/>
    </w:pPr>
    <w:rPr>
      <w:szCs w:val="22"/>
    </w:rPr>
  </w:style>
  <w:style w:type="character" w:styleId="19">
    <w:name w:val="annotation reference"/>
    <w:basedOn w:val="18"/>
    <w:qFormat/>
    <w:uiPriority w:val="0"/>
    <w:rPr>
      <w:sz w:val="21"/>
      <w:szCs w:val="21"/>
    </w:rPr>
  </w:style>
  <w:style w:type="paragraph" w:customStyle="1" w:styleId="20">
    <w:name w:val="样式 正文文本缩进 + 行距: 1.5 倍行距"/>
    <w:basedOn w:val="10"/>
    <w:qFormat/>
    <w:uiPriority w:val="0"/>
    <w:pPr>
      <w:snapToGrid/>
      <w:spacing w:before="0" w:after="120" w:line="360" w:lineRule="auto"/>
      <w:ind w:left="90" w:leftChars="32" w:firstLine="560" w:firstLineChars="200"/>
    </w:pPr>
    <w:rPr>
      <w:rFonts w:ascii="Times New Roman" w:eastAsia="宋体" w:cs="宋体"/>
    </w:rPr>
  </w:style>
  <w:style w:type="paragraph" w:customStyle="1" w:styleId="21">
    <w:name w:val="Default"/>
    <w:basedOn w:val="22"/>
    <w:next w:val="3"/>
    <w:qFormat/>
    <w:uiPriority w:val="0"/>
    <w:pPr>
      <w:autoSpaceDE w:val="0"/>
      <w:autoSpaceDN w:val="0"/>
      <w:adjustRightInd w:val="0"/>
    </w:pPr>
    <w:rPr>
      <w:rFonts w:ascii="仿宋_GB2312" w:eastAsia="仿宋_GB2312" w:cs="仿宋_GB2312"/>
      <w:sz w:val="24"/>
    </w:rPr>
  </w:style>
  <w:style w:type="paragraph" w:customStyle="1" w:styleId="2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3">
    <w:name w:val="样式 标题 2"/>
    <w:basedOn w:val="5"/>
    <w:next w:val="24"/>
    <w:qFormat/>
    <w:uiPriority w:val="0"/>
    <w:pPr>
      <w:spacing w:before="50" w:after="50"/>
    </w:pPr>
    <w:rPr>
      <w:szCs w:val="28"/>
    </w:rPr>
  </w:style>
  <w:style w:type="paragraph" w:customStyle="1" w:styleId="24">
    <w:name w:val="Default1"/>
    <w:basedOn w:val="25"/>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5">
    <w:name w:val="Normal_14_0"/>
    <w:qFormat/>
    <w:uiPriority w:val="0"/>
    <w:pPr>
      <w:spacing w:before="120" w:after="240"/>
      <w:jc w:val="both"/>
    </w:pPr>
    <w:rPr>
      <w:rFonts w:ascii="Calibri" w:hAnsi="Calibri" w:eastAsia="Calibri" w:cs="Times New Roman"/>
      <w:sz w:val="22"/>
      <w:szCs w:val="22"/>
      <w:lang w:val="ru-RU" w:eastAsia="en-US" w:bidi="ar-SA"/>
    </w:rPr>
  </w:style>
  <w:style w:type="character" w:customStyle="1" w:styleId="26">
    <w:name w:val="批注文字 Char"/>
    <w:basedOn w:val="18"/>
    <w:link w:val="8"/>
    <w:qFormat/>
    <w:uiPriority w:val="0"/>
    <w:rPr>
      <w:kern w:val="2"/>
      <w:sz w:val="21"/>
      <w:szCs w:val="24"/>
    </w:rPr>
  </w:style>
  <w:style w:type="character" w:customStyle="1" w:styleId="27">
    <w:name w:val="批注主题 Char"/>
    <w:basedOn w:val="26"/>
    <w:link w:val="15"/>
    <w:qFormat/>
    <w:uiPriority w:val="0"/>
    <w:rPr>
      <w:b/>
      <w:bCs/>
      <w:kern w:val="2"/>
      <w:sz w:val="21"/>
      <w:szCs w:val="24"/>
    </w:rPr>
  </w:style>
  <w:style w:type="character" w:customStyle="1" w:styleId="28">
    <w:name w:val="批注框文本 Char"/>
    <w:basedOn w:val="18"/>
    <w:link w:val="12"/>
    <w:qFormat/>
    <w:uiPriority w:val="0"/>
    <w:rPr>
      <w:kern w:val="2"/>
      <w:sz w:val="18"/>
      <w:szCs w:val="18"/>
    </w:rPr>
  </w:style>
  <w:style w:type="paragraph" w:customStyle="1" w:styleId="29">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0">
    <w:name w:val="List Paragraph"/>
    <w:basedOn w:val="1"/>
    <w:unhideWhenUsed/>
    <w:qFormat/>
    <w:uiPriority w:val="99"/>
    <w:pPr>
      <w:ind w:firstLine="420" w:firstLineChars="200"/>
    </w:pPr>
  </w:style>
  <w:style w:type="paragraph" w:customStyle="1" w:styleId="31">
    <w:name w:val="小四+首行缩进"/>
    <w:basedOn w:val="1"/>
    <w:qFormat/>
    <w:uiPriority w:val="0"/>
    <w:pPr>
      <w:spacing w:line="360" w:lineRule="auto"/>
      <w:ind w:firstLine="482"/>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753</Words>
  <Characters>4296</Characters>
  <Lines>35</Lines>
  <Paragraphs>10</Paragraphs>
  <TotalTime>1</TotalTime>
  <ScaleCrop>false</ScaleCrop>
  <LinksUpToDate>false</LinksUpToDate>
  <CharactersWithSpaces>5039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2022-03-07T09:25:00Z</dcterms:created>
  <dc:creator>Administrator</dc:creator>
  <cp:lastModifiedBy>admin123</cp:lastModifiedBy>
  <cp:lastPrinted>2023-05-06T01:48:00Z</cp:lastPrinted>
  <dcterms:modified xsi:type="dcterms:W3CDTF">2023-06-16T16:40:26Z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FCBE9B4CC0E04C92A70FAB8A4987C073</vt:lpwstr>
  </property>
</Properties>
</file>