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30</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60288;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adjustRightInd w:val="0"/>
        <w:snapToGrid w:val="0"/>
        <w:spacing w:line="580" w:lineRule="exact"/>
        <w:jc w:val="center"/>
        <w:rPr>
          <w:rFonts w:eastAsia="方正小标宋简体" w:cs="方正小标宋简体"/>
          <w:bCs/>
          <w:color w:val="000000"/>
          <w:w w:val="98"/>
          <w:sz w:val="44"/>
          <w:szCs w:val="44"/>
        </w:rPr>
      </w:pPr>
      <w:r>
        <w:rPr>
          <w:rFonts w:hint="eastAsia" w:ascii="方正小标宋简体" w:hAnsi="宋体" w:eastAsia="方正小标宋简体"/>
          <w:color w:val="000000" w:themeColor="text1"/>
          <w:w w:val="98"/>
          <w:sz w:val="44"/>
          <w:szCs w:val="44"/>
          <w14:textFill>
            <w14:solidFill>
              <w14:schemeClr w14:val="tx1"/>
            </w14:solidFill>
          </w14:textFill>
        </w:rPr>
        <w:t>关于</w:t>
      </w:r>
      <w:r>
        <w:rPr>
          <w:rFonts w:eastAsia="方正小标宋简体" w:cs="方正小标宋简体"/>
          <w:bCs/>
          <w:color w:val="000000"/>
          <w:w w:val="98"/>
          <w:sz w:val="44"/>
          <w:szCs w:val="44"/>
        </w:rPr>
        <w:t>江西百思康瑞药业有限公司年产醋酸可的松250吨、坎利酮中间体60吨、甲泼尼龙30吨、咪唑醛中间体100吨、米非司酮10吨</w:t>
      </w:r>
    </w:p>
    <w:p>
      <w:pPr>
        <w:adjustRightInd w:val="0"/>
        <w:snapToGrid w:val="0"/>
        <w:spacing w:line="580" w:lineRule="exact"/>
        <w:jc w:val="center"/>
        <w:rPr>
          <w:rFonts w:ascii="方正小标宋简体" w:hAnsi="宋体" w:eastAsia="方正小标宋简体"/>
          <w:color w:val="000000" w:themeColor="text1"/>
          <w:w w:val="98"/>
          <w:sz w:val="44"/>
          <w:szCs w:val="44"/>
          <w14:textFill>
            <w14:solidFill>
              <w14:schemeClr w14:val="tx1"/>
            </w14:solidFill>
          </w14:textFill>
        </w:rPr>
      </w:pPr>
      <w:r>
        <w:rPr>
          <w:rFonts w:eastAsia="方正小标宋简体" w:cs="方正小标宋简体"/>
          <w:bCs/>
          <w:color w:val="000000"/>
          <w:w w:val="98"/>
          <w:sz w:val="44"/>
          <w:szCs w:val="44"/>
        </w:rPr>
        <w:t>生产线扩建项目</w:t>
      </w:r>
      <w:r>
        <w:rPr>
          <w:rFonts w:hint="eastAsia" w:ascii="方正小标宋简体" w:hAnsi="宋体" w:eastAsia="方正小标宋简体"/>
          <w:color w:val="000000" w:themeColor="text1"/>
          <w:w w:val="98"/>
          <w:sz w:val="44"/>
          <w:szCs w:val="44"/>
          <w14:textFill>
            <w14:solidFill>
              <w14:schemeClr w14:val="tx1"/>
            </w14:solidFill>
          </w14:textFill>
        </w:rPr>
        <w:t>环境影响报告书的批复</w:t>
      </w:r>
    </w:p>
    <w:p>
      <w:pPr>
        <w:pStyle w:val="30"/>
        <w:pageBreakBefore w:val="0"/>
        <w:kinsoku/>
        <w:overflowPunct/>
        <w:topLinePunct w:val="0"/>
        <w:bidi w:val="0"/>
        <w:snapToGrid w:val="0"/>
        <w:spacing w:line="560" w:lineRule="exact"/>
        <w:jc w:val="center"/>
        <w:textAlignment w:val="auto"/>
        <w:rPr>
          <w:rFonts w:hint="default" w:ascii="方正小标宋简体" w:eastAsia="方正小标宋简体"/>
          <w:color w:val="000000" w:themeColor="text1"/>
          <w:w w:val="90"/>
          <w:kern w:val="2"/>
          <w:sz w:val="44"/>
          <w:szCs w:val="44"/>
          <w14:textFill>
            <w14:solidFill>
              <w14:schemeClr w14:val="tx1"/>
            </w14:solidFill>
          </w14:textFill>
        </w:rPr>
      </w:pPr>
    </w:p>
    <w:p>
      <w:pPr>
        <w:pageBreakBefore w:val="0"/>
        <w:kinsoku/>
        <w:overflowPunct/>
        <w:topLinePunct w:val="0"/>
        <w:autoSpaceDE w:val="0"/>
        <w:bidi w:val="0"/>
        <w:adjustRightInd w:val="0"/>
        <w:snapToGrid w:val="0"/>
        <w:spacing w:line="560" w:lineRule="exact"/>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江西百思康瑞药业有限公司：</w:t>
      </w:r>
    </w:p>
    <w:p>
      <w:pPr>
        <w:pageBreakBefore w:val="0"/>
        <w:kinsoku/>
        <w:overflowPunct/>
        <w:topLinePunct w:val="0"/>
        <w:autoSpaceDE w:val="0"/>
        <w:bidi w:val="0"/>
        <w:adjustRightInd w:val="0"/>
        <w:snapToGrid w:val="0"/>
        <w:spacing w:line="56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你公司《关于请求审批〈江西百思康瑞药业有限公司年产醋酸可的松250吨、坎利酮中间体60吨、甲泼尼龙30吨、咪唑醛中间体100吨、米非司酮10吨生产线扩建项目环境影响报告书〉的请示》以及相关资料收悉，经研究，批复如下：</w:t>
      </w:r>
    </w:p>
    <w:p>
      <w:pPr>
        <w:pageBreakBefore w:val="0"/>
        <w:kinsoku/>
        <w:overflowPunct/>
        <w:topLinePunct w:val="0"/>
        <w:autoSpaceDE w:val="0"/>
        <w:bidi w:val="0"/>
        <w:adjustRightInd w:val="0"/>
        <w:snapToGrid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一、项目建设内容及批复意见</w:t>
      </w:r>
    </w:p>
    <w:p>
      <w:pPr>
        <w:pageBreakBefore w:val="0"/>
        <w:kinsoku/>
        <w:overflowPunct/>
        <w:topLinePunct w:val="0"/>
        <w:bidi w:val="0"/>
        <w:adjustRightInd w:val="0"/>
        <w:snapToGrid w:val="0"/>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江西百思康瑞药业有限公司年产醋酸可的松250吨、坎利酮中间体60吨、甲泼尼龙30吨、咪唑醛中间体100吨、米非司酮10吨生产线扩建项目位于江西上高高新技术产业园黄金堆化工集中区</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中心地理坐标为：</w:t>
      </w:r>
      <w:r>
        <w:rPr>
          <w:rFonts w:ascii="仿宋_GB2312" w:hAnsi="仿宋_GB2312" w:eastAsia="仿宋_GB2312" w:cs="仿宋_GB2312"/>
          <w:bCs/>
          <w:color w:val="000000"/>
          <w:sz w:val="32"/>
          <w:szCs w:val="32"/>
        </w:rPr>
        <w:t>东经115°01′05″、北纬28°15′57″，总占地面积48669.74m</w:t>
      </w:r>
      <w:r>
        <w:rPr>
          <w:rFonts w:ascii="仿宋_GB2312" w:hAnsi="仿宋_GB2312" w:eastAsia="仿宋_GB2312" w:cs="仿宋_GB2312"/>
          <w:bCs/>
          <w:color w:val="000000"/>
          <w:sz w:val="32"/>
          <w:szCs w:val="32"/>
          <w:vertAlign w:val="superscript"/>
        </w:rPr>
        <w:t>2</w:t>
      </w:r>
      <w:r>
        <w:rPr>
          <w:rFonts w:ascii="仿宋_GB2312" w:hAnsi="仿宋_GB2312" w:eastAsia="仿宋_GB2312" w:cs="仿宋_GB2312"/>
          <w:bCs/>
          <w:color w:val="000000"/>
          <w:sz w:val="32"/>
          <w:szCs w:val="32"/>
        </w:rPr>
        <w:t>(约73亩)</w:t>
      </w:r>
      <w:r>
        <w:rPr>
          <w:rFonts w:hint="eastAsia" w:ascii="仿宋_GB2312" w:hAnsi="仿宋_GB2312" w:eastAsia="仿宋_GB2312" w:cs="仿宋_GB2312"/>
          <w:bCs/>
          <w:color w:val="000000"/>
          <w:sz w:val="32"/>
          <w:szCs w:val="32"/>
        </w:rPr>
        <w:t>。</w:t>
      </w:r>
      <w:r>
        <w:rPr>
          <w:rFonts w:ascii="仿宋_GB2312" w:hAnsi="仿宋_GB2312" w:eastAsia="仿宋_GB2312" w:cs="仿宋_GB2312"/>
          <w:bCs/>
          <w:color w:val="000000"/>
          <w:sz w:val="32"/>
          <w:szCs w:val="32"/>
        </w:rPr>
        <w:t>厂址东面紧邻园区道路，隔道路为上高金安实业有限公司和江西百思康瑞药业有限公司一厂区，南面为江西正梦新材料有限公司，西面为上高高能电源科技有限公司，北面紧邻园区道路，隔道路为江西华广实业有限公司</w:t>
      </w:r>
      <w:r>
        <w:rPr>
          <w:rFonts w:hint="eastAsia" w:ascii="仿宋_GB2312" w:hAnsi="仿宋_GB2312" w:eastAsia="仿宋_GB2312" w:cs="仿宋_GB2312"/>
          <w:bCs/>
          <w:color w:val="000000"/>
          <w:sz w:val="32"/>
          <w:szCs w:val="32"/>
        </w:rPr>
        <w:t>。</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pacing w:val="4"/>
          <w:kern w:val="24"/>
          <w:sz w:val="32"/>
          <w:szCs w:val="32"/>
          <w:lang w:val="zh-CN"/>
        </w:rPr>
      </w:pPr>
      <w:r>
        <w:rPr>
          <w:rFonts w:hint="eastAsia" w:ascii="仿宋_GB2312" w:hAnsi="仿宋_GB2312" w:eastAsia="仿宋_GB2312" w:cs="仿宋_GB2312"/>
          <w:sz w:val="32"/>
          <w:szCs w:val="32"/>
        </w:rPr>
        <w:t>本项目属</w:t>
      </w:r>
      <w:r>
        <w:rPr>
          <w:rFonts w:ascii="仿宋_GB2312" w:hAnsi="仿宋_GB2312" w:eastAsia="仿宋_GB2312" w:cs="仿宋_GB2312"/>
          <w:sz w:val="32"/>
          <w:szCs w:val="32"/>
        </w:rPr>
        <w:t>改扩建</w:t>
      </w:r>
      <w:r>
        <w:rPr>
          <w:rFonts w:hint="eastAsia" w:ascii="仿宋_GB2312" w:hAnsi="仿宋_GB2312" w:eastAsia="仿宋_GB2312" w:cs="仿宋_GB2312"/>
          <w:sz w:val="32"/>
          <w:szCs w:val="32"/>
        </w:rPr>
        <w:t>工程。</w:t>
      </w:r>
      <w:r>
        <w:rPr>
          <w:rFonts w:hint="eastAsia" w:ascii="仿宋_GB2312" w:hAnsi="仿宋_GB2312" w:eastAsia="仿宋_GB2312" w:cs="仿宋_GB2312"/>
          <w:bCs/>
          <w:color w:val="000000"/>
          <w:sz w:val="32"/>
          <w:szCs w:val="32"/>
        </w:rPr>
        <w:t>主要建设内容：</w:t>
      </w:r>
      <w:r>
        <w:rPr>
          <w:rFonts w:hint="eastAsia" w:ascii="仿宋_GB2312" w:hAnsi="仿宋_GB2312" w:eastAsia="仿宋_GB2312" w:cs="仿宋_GB2312"/>
          <w:bCs/>
          <w:sz w:val="32"/>
          <w:szCs w:val="32"/>
        </w:rPr>
        <w:t>主体工程包括新建101车间，依托已建102车间，新建精包干车间(103车间，预留)、回收车间(104车间)；贮运工程包括新建储罐区(201)、</w:t>
      </w:r>
      <w:r>
        <w:rPr>
          <w:rFonts w:ascii="仿宋_GB2312" w:hAnsi="仿宋_GB2312" w:eastAsia="仿宋_GB2312" w:cs="仿宋_GB2312"/>
          <w:bCs/>
          <w:sz w:val="32"/>
          <w:szCs w:val="32"/>
        </w:rPr>
        <w:t>甲类仓库二(203)</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甲类仓库三(204)、甲类仓库四(205)、丙类仓库（206）</w:t>
      </w:r>
      <w:r>
        <w:rPr>
          <w:rFonts w:hint="eastAsia" w:ascii="仿宋_GB2312" w:hAnsi="仿宋_GB2312" w:eastAsia="仿宋_GB2312" w:cs="仿宋_GB2312"/>
          <w:bCs/>
          <w:sz w:val="32"/>
          <w:szCs w:val="32"/>
        </w:rPr>
        <w:t>，依托已建</w:t>
      </w:r>
      <w:r>
        <w:rPr>
          <w:rFonts w:ascii="仿宋_GB2312" w:hAnsi="仿宋_GB2312" w:eastAsia="仿宋_GB2312" w:cs="仿宋_GB2312"/>
          <w:bCs/>
          <w:sz w:val="32"/>
          <w:szCs w:val="32"/>
        </w:rPr>
        <w:t>甲类仓库一(202)</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甲类仓库五(207)</w:t>
      </w:r>
      <w:r>
        <w:rPr>
          <w:rFonts w:hint="eastAsia" w:ascii="仿宋_GB2312" w:hAnsi="仿宋_GB2312" w:eastAsia="仿宋_GB2312" w:cs="仿宋_GB2312"/>
          <w:bCs/>
          <w:sz w:val="32"/>
          <w:szCs w:val="32"/>
        </w:rPr>
        <w:t>；公用工程包括依托已建</w:t>
      </w:r>
      <w:r>
        <w:rPr>
          <w:rFonts w:ascii="仿宋_GB2312" w:hAnsi="仿宋_GB2312" w:eastAsia="仿宋_GB2312" w:cs="仿宋_GB2312"/>
          <w:bCs/>
          <w:sz w:val="32"/>
          <w:szCs w:val="32"/>
        </w:rPr>
        <w:t>公用工程车间（301）</w:t>
      </w:r>
      <w:r>
        <w:rPr>
          <w:rFonts w:hint="eastAsia" w:ascii="仿宋_GB2312" w:hAnsi="仿宋_GB2312" w:eastAsia="仿宋_GB2312" w:cs="仿宋_GB2312"/>
          <w:bCs/>
          <w:sz w:val="32"/>
          <w:szCs w:val="32"/>
        </w:rPr>
        <w:t>，新建</w:t>
      </w:r>
      <w:r>
        <w:rPr>
          <w:rFonts w:ascii="仿宋_GB2312" w:hAnsi="仿宋_GB2312" w:eastAsia="仿宋_GB2312" w:cs="仿宋_GB2312"/>
          <w:bCs/>
          <w:sz w:val="32"/>
          <w:szCs w:val="32"/>
        </w:rPr>
        <w:t>发配电间（302）、消防水池及泵房(305)、锅炉房(预留)、循环水池(310)</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综合楼（401）、控制室（402）、门卫一（403）、岗亭（404）</w:t>
      </w:r>
      <w:r>
        <w:rPr>
          <w:rFonts w:hint="eastAsia" w:ascii="仿宋_GB2312" w:hAnsi="仿宋_GB2312" w:eastAsia="仿宋_GB2312" w:cs="仿宋_GB2312"/>
          <w:bCs/>
          <w:sz w:val="32"/>
          <w:szCs w:val="32"/>
        </w:rPr>
        <w:t>等；环保工程包括新建废气治理设施（包括</w:t>
      </w:r>
      <w:r>
        <w:rPr>
          <w:rFonts w:ascii="仿宋_GB2312" w:hAnsi="仿宋_GB2312" w:eastAsia="仿宋_GB2312" w:cs="仿宋_GB2312"/>
          <w:bCs/>
          <w:sz w:val="32"/>
          <w:szCs w:val="32"/>
        </w:rPr>
        <w:t>RTO</w:t>
      </w:r>
      <w:r>
        <w:rPr>
          <w:rFonts w:hint="eastAsia" w:ascii="仿宋_GB2312" w:hAnsi="仿宋_GB2312" w:eastAsia="仿宋_GB2312" w:cs="仿宋_GB2312"/>
          <w:bCs/>
          <w:sz w:val="32"/>
          <w:szCs w:val="32"/>
        </w:rPr>
        <w:t>）、噪声防治设施、危废暂存间、一般固废暂存间及相应防渗措施、污水预处理设施、污水处理区（预留）、雨污分流设施、事故应急池和初期雨水池、</w:t>
      </w:r>
      <w:r>
        <w:rPr>
          <w:rFonts w:ascii="仿宋_GB2312" w:hAnsi="仿宋_GB2312" w:eastAsia="仿宋_GB2312" w:cs="仿宋_GB2312"/>
          <w:bCs/>
          <w:sz w:val="32"/>
          <w:szCs w:val="32"/>
        </w:rPr>
        <w:t>环保分析中心（308）、监测房（311）</w:t>
      </w:r>
      <w:r>
        <w:rPr>
          <w:rFonts w:hint="eastAsia" w:ascii="仿宋_GB2312" w:hAnsi="仿宋_GB2312" w:eastAsia="仿宋_GB2312" w:cs="仿宋_GB2312"/>
          <w:bCs/>
          <w:sz w:val="32"/>
          <w:szCs w:val="32"/>
        </w:rPr>
        <w:t>，改建现有工程污水处理站等</w:t>
      </w:r>
      <w:r>
        <w:rPr>
          <w:rFonts w:hint="eastAsia" w:ascii="仿宋_GB2312" w:hAnsi="仿宋_GB2312" w:eastAsia="仿宋_GB2312" w:cs="仿宋_GB2312"/>
          <w:spacing w:val="4"/>
          <w:kern w:val="24"/>
          <w:sz w:val="32"/>
          <w:szCs w:val="32"/>
          <w:lang w:val="zh-CN"/>
        </w:rPr>
        <w:t>。</w:t>
      </w:r>
    </w:p>
    <w:p>
      <w:pPr>
        <w:pStyle w:val="29"/>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仿宋_GB2312" w:hAnsi="仿宋_GB2312" w:eastAsia="仿宋_GB2312" w:cs="仿宋_GB2312"/>
          <w:b w:val="0"/>
          <w:bCs w:val="0"/>
          <w:color w:val="000000" w:themeColor="text1"/>
          <w:szCs w:val="32"/>
          <w14:textFill>
            <w14:solidFill>
              <w14:schemeClr w14:val="tx1"/>
            </w14:solidFill>
          </w14:textFill>
        </w:rPr>
      </w:pPr>
      <w:r>
        <w:rPr>
          <w:rFonts w:hint="eastAsia" w:ascii="仿宋_GB2312" w:hAnsi="仿宋_GB2312" w:eastAsia="仿宋_GB2312" w:cs="仿宋_GB2312"/>
          <w:b w:val="0"/>
          <w:bCs w:val="0"/>
          <w:color w:val="000000" w:themeColor="text1"/>
          <w:szCs w:val="32"/>
          <w14:textFill>
            <w14:solidFill>
              <w14:schemeClr w14:val="tx1"/>
            </w14:solidFill>
          </w14:textFill>
        </w:rPr>
        <w:t>项目产品方案：醋酸可的松250t/a、坎利酮中间体60 t/a、甲泼尼龙30 t/a、咪唑醛中间体100 t/a、米非司酮10 t/a。</w:t>
      </w:r>
    </w:p>
    <w:p>
      <w:pPr>
        <w:pageBreakBefore w:val="0"/>
        <w:kinsoku/>
        <w:overflowPunct/>
        <w:topLinePunct w:val="0"/>
        <w:bidi w:val="0"/>
        <w:adjustRightInd w:val="0"/>
        <w:snapToGrid w:val="0"/>
        <w:spacing w:line="560" w:lineRule="exact"/>
        <w:ind w:firstLine="640" w:firstLineChars="200"/>
        <w:jc w:val="left"/>
        <w:textAlignment w:val="auto"/>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项目总投资</w:t>
      </w:r>
      <w:r>
        <w:rPr>
          <w:rFonts w:ascii="仿宋_GB2312" w:hAnsi="仿宋_GB2312" w:eastAsia="仿宋_GB2312" w:cs="仿宋_GB2312"/>
          <w:bCs/>
          <w:snapToGrid w:val="0"/>
          <w:sz w:val="32"/>
          <w:szCs w:val="32"/>
        </w:rPr>
        <w:t>为26000万元，其中环保投资2165万元，占总投资的8.3%</w:t>
      </w:r>
    </w:p>
    <w:p>
      <w:pPr>
        <w:pageBreakBefore w:val="0"/>
        <w:kinsoku/>
        <w:overflowPunct/>
        <w:topLinePunct w:val="0"/>
        <w:bidi w:val="0"/>
        <w:adjustRightInd w:val="0"/>
        <w:snapToGrid w:val="0"/>
        <w:spacing w:line="560" w:lineRule="exact"/>
        <w:ind w:firstLine="640" w:firstLineChars="200"/>
        <w:jc w:val="left"/>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你公司应全面落实</w:t>
      </w:r>
      <w:r>
        <w:rPr>
          <w:rFonts w:hint="eastAsia" w:ascii="仿宋_GB2312" w:hAnsi="仿宋_GB2312" w:eastAsia="仿宋_GB2312" w:cs="仿宋_GB2312"/>
          <w:bCs/>
          <w:snapToGrid w:val="0"/>
          <w:color w:val="000000"/>
          <w:sz w:val="32"/>
          <w:szCs w:val="32"/>
        </w:rPr>
        <w:t>《</w:t>
      </w:r>
      <w:r>
        <w:rPr>
          <w:rFonts w:hint="eastAsia" w:ascii="仿宋_GB2312" w:hAnsi="仿宋_GB2312" w:eastAsia="仿宋_GB2312" w:cs="仿宋_GB2312"/>
          <w:bCs/>
          <w:color w:val="000000"/>
          <w:sz w:val="32"/>
          <w:szCs w:val="32"/>
        </w:rPr>
        <w:t>江西百思康瑞药业有限公司年产醋酸可的松250吨、坎利酮中间体60吨、甲泼尼龙30吨、咪唑醛中间体100吨、米非司酮10吨生产线扩建项目</w:t>
      </w:r>
      <w:r>
        <w:rPr>
          <w:rFonts w:hint="eastAsia" w:ascii="仿宋_GB2312" w:hAnsi="仿宋_GB2312" w:eastAsia="仿宋_GB2312" w:cs="仿宋_GB2312"/>
          <w:bCs/>
          <w:snapToGrid w:val="0"/>
          <w:color w:val="000000"/>
          <w:sz w:val="32"/>
          <w:szCs w:val="32"/>
        </w:rPr>
        <w:t>环境影响报告书</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以下简称《报告书》）、《</w:t>
      </w:r>
      <w:r>
        <w:rPr>
          <w:rFonts w:hint="eastAsia" w:ascii="仿宋_GB2312" w:hAnsi="仿宋_GB2312" w:eastAsia="仿宋_GB2312" w:cs="仿宋_GB2312"/>
          <w:bCs/>
          <w:color w:val="000000"/>
          <w:sz w:val="32"/>
          <w:szCs w:val="32"/>
        </w:rPr>
        <w:t>江西百思康瑞药业有限公司年产醋酸可的松250吨、坎利酮中间体60吨、甲泼尼龙30吨、咪唑醛中间体100吨、米非司酮10吨生产线扩建项目</w:t>
      </w:r>
      <w:r>
        <w:rPr>
          <w:rFonts w:hint="eastAsia" w:ascii="仿宋_GB2312" w:hAnsi="仿宋_GB2312" w:eastAsia="仿宋_GB2312" w:cs="仿宋_GB2312"/>
          <w:color w:val="000000" w:themeColor="text1"/>
          <w:sz w:val="32"/>
          <w:szCs w:val="32"/>
          <w14:textFill>
            <w14:solidFill>
              <w14:schemeClr w14:val="tx1"/>
            </w14:solidFill>
          </w14:textFill>
        </w:rPr>
        <w:t>环境影响报告书</w:t>
      </w:r>
      <w:r>
        <w:rPr>
          <w:rFonts w:hint="eastAsia" w:ascii="仿宋_GB2312" w:eastAsia="仿宋_GB2312"/>
          <w:color w:val="000000" w:themeColor="text1"/>
          <w:sz w:val="32"/>
          <w:szCs w:val="32"/>
          <w14:textFill>
            <w14:solidFill>
              <w14:schemeClr w14:val="tx1"/>
            </w14:solidFill>
          </w14:textFill>
        </w:rPr>
        <w:t>评估意见》（以下简称《评估意见》）</w:t>
      </w:r>
      <w:r>
        <w:rPr>
          <w:rFonts w:hint="eastAsia" w:ascii="仿宋_GB2312" w:hAnsi="仿宋_GB2312" w:eastAsia="仿宋_GB2312" w:cs="仿宋_GB2312"/>
          <w:color w:val="000000" w:themeColor="text1"/>
          <w:sz w:val="32"/>
          <w:szCs w:val="32"/>
          <w14:textFill>
            <w14:solidFill>
              <w14:schemeClr w14:val="tx1"/>
            </w14:solidFill>
          </w14:textFill>
        </w:rPr>
        <w:t>提出的各项污染防治措施、以新带老措施以及环境风险防范措施，缓解和控制不利环境影响。从环境保护角度，我局原则同意环境影响报告书中所列工程性质、地点、规模、生产工艺和环境保护对策措施</w:t>
      </w:r>
      <w:r>
        <w:rPr>
          <w:rFonts w:hint="eastAsia" w:ascii="仿宋_GB2312" w:eastAsia="仿宋_GB2312"/>
          <w:color w:val="000000" w:themeColor="text1"/>
          <w:sz w:val="32"/>
          <w:szCs w:val="32"/>
          <w14:textFill>
            <w14:solidFill>
              <w14:schemeClr w14:val="tx1"/>
            </w14:solidFill>
          </w14:textFill>
        </w:rPr>
        <w:t>。</w:t>
      </w:r>
    </w:p>
    <w:p>
      <w:pPr>
        <w:pageBreakBefore w:val="0"/>
        <w:kinsoku/>
        <w:overflowPunct/>
        <w:topLinePunct w:val="0"/>
        <w:autoSpaceDE w:val="0"/>
        <w:bidi w:val="0"/>
        <w:adjustRightInd w:val="0"/>
        <w:snapToGrid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二、污染防治措施及要求</w:t>
      </w:r>
    </w:p>
    <w:p>
      <w:pPr>
        <w:pageBreakBefore w:val="0"/>
        <w:kinsoku/>
        <w:overflowPunct/>
        <w:topLinePunct w:val="0"/>
        <w:autoSpaceDE w:val="0"/>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项目在工程设计、建设和生产过程中必须认真落实《报告书》和《评估意见》提出的各项环保要求，并重点做好以下几项工作：</w:t>
      </w:r>
    </w:p>
    <w:p>
      <w:pPr>
        <w:pageBreakBefore w:val="0"/>
        <w:numPr>
          <w:ilvl w:val="0"/>
          <w:numId w:val="1"/>
        </w:numPr>
        <w:kinsoku/>
        <w:overflowPunct/>
        <w:topLinePunct w:val="0"/>
        <w:autoSpaceDE w:val="0"/>
        <w:bidi w:val="0"/>
        <w:spacing w:line="560" w:lineRule="exact"/>
        <w:ind w:firstLine="640" w:firstLineChars="200"/>
        <w:textAlignment w:val="auto"/>
        <w:rPr>
          <w:rFonts w:eastAsia="仿宋_GB2312"/>
          <w:bCs/>
          <w:sz w:val="32"/>
          <w:szCs w:val="32"/>
        </w:rPr>
      </w:pPr>
      <w:r>
        <w:rPr>
          <w:rFonts w:eastAsia="楷体"/>
          <w:color w:val="000000"/>
          <w:sz w:val="32"/>
          <w:szCs w:val="32"/>
        </w:rPr>
        <w:t>严格落实水污染防治措施。</w:t>
      </w:r>
      <w:r>
        <w:rPr>
          <w:rFonts w:eastAsia="仿宋_GB2312"/>
          <w:sz w:val="32"/>
          <w:szCs w:val="32"/>
        </w:rPr>
        <w:t>按“清污分流、雨污分流、分质处理、一水多用”原则，合理制定废水</w:t>
      </w:r>
      <w:r>
        <w:rPr>
          <w:rFonts w:hint="eastAsia" w:eastAsia="仿宋_GB2312"/>
          <w:sz w:val="32"/>
          <w:szCs w:val="32"/>
        </w:rPr>
        <w:t>收集、处理方案。项目产生的废水主要为</w:t>
      </w:r>
      <w:r>
        <w:rPr>
          <w:rFonts w:hint="eastAsia" w:ascii="仿宋_GB2312" w:hAnsi="仿宋_GB2312" w:eastAsia="仿宋_GB2312" w:cs="仿宋_GB2312"/>
          <w:bCs/>
          <w:color w:val="000000"/>
          <w:sz w:val="32"/>
          <w:szCs w:val="32"/>
        </w:rPr>
        <w:t>高浓高盐废水、含氰废水、含铬废水、高浓低盐废水、低浓低盐废水、地面冲洗废水、</w:t>
      </w:r>
      <w:r>
        <w:rPr>
          <w:rFonts w:ascii="仿宋_GB2312" w:hAnsi="仿宋_GB2312" w:eastAsia="仿宋_GB2312" w:cs="仿宋_GB2312"/>
          <w:bCs/>
          <w:color w:val="000000"/>
          <w:sz w:val="32"/>
          <w:szCs w:val="32"/>
        </w:rPr>
        <w:t>废气处理废水、设备清洗废水</w:t>
      </w:r>
      <w:r>
        <w:rPr>
          <w:rFonts w:hint="eastAsia" w:ascii="仿宋_GB2312" w:hAnsi="仿宋_GB2312" w:eastAsia="仿宋_GB2312" w:cs="仿宋_GB2312"/>
          <w:bCs/>
          <w:color w:val="000000"/>
          <w:sz w:val="32"/>
          <w:szCs w:val="32"/>
        </w:rPr>
        <w:t>，</w:t>
      </w:r>
      <w:r>
        <w:rPr>
          <w:rFonts w:ascii="仿宋_GB2312" w:hAnsi="仿宋_GB2312" w:eastAsia="仿宋_GB2312" w:cs="仿宋_GB2312"/>
          <w:bCs/>
          <w:color w:val="000000"/>
          <w:sz w:val="32"/>
          <w:szCs w:val="32"/>
        </w:rPr>
        <w:t>真空泵废水、</w:t>
      </w:r>
      <w:r>
        <w:rPr>
          <w:rFonts w:hint="eastAsia" w:ascii="仿宋_GB2312" w:hAnsi="仿宋_GB2312" w:eastAsia="仿宋_GB2312" w:cs="仿宋_GB2312"/>
          <w:bCs/>
          <w:color w:val="000000"/>
          <w:sz w:val="32"/>
          <w:szCs w:val="32"/>
        </w:rPr>
        <w:t>实验室</w:t>
      </w:r>
      <w:r>
        <w:rPr>
          <w:rFonts w:ascii="仿宋_GB2312" w:hAnsi="仿宋_GB2312" w:eastAsia="仿宋_GB2312" w:cs="仿宋_GB2312"/>
          <w:bCs/>
          <w:color w:val="000000"/>
          <w:sz w:val="32"/>
          <w:szCs w:val="32"/>
        </w:rPr>
        <w:t>质检废水</w:t>
      </w:r>
      <w:r>
        <w:rPr>
          <w:rFonts w:hint="eastAsia" w:eastAsia="仿宋_GB2312"/>
          <w:bCs/>
          <w:sz w:val="32"/>
          <w:szCs w:val="32"/>
        </w:rPr>
        <w:t>等。</w:t>
      </w:r>
    </w:p>
    <w:p>
      <w:pPr>
        <w:pStyle w:val="30"/>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eastAsia="仿宋_GB2312" w:cs="仿宋_GB2312"/>
          <w:bCs/>
          <w:snapToGrid w:val="0"/>
          <w:color w:val="000000" w:themeColor="text1"/>
          <w:sz w:val="32"/>
          <w:szCs w:val="32"/>
          <w14:textFill>
            <w14:solidFill>
              <w14:schemeClr w14:val="tx1"/>
            </w14:solidFill>
          </w14:textFill>
        </w:rPr>
      </w:pPr>
      <w:r>
        <w:rPr>
          <w:rFonts w:ascii="仿宋_GB2312" w:hAnsi="仿宋_GB2312" w:eastAsia="仿宋_GB2312" w:cs="仿宋_GB2312"/>
          <w:bCs/>
          <w:sz w:val="32"/>
          <w:szCs w:val="32"/>
        </w:rPr>
        <w:t>高浓高盐废水</w:t>
      </w:r>
      <w:r>
        <w:rPr>
          <w:rFonts w:hint="eastAsia" w:ascii="仿宋_GB2312" w:hAnsi="仿宋_GB2312" w:eastAsia="仿宋_GB2312" w:cs="仿宋_GB2312"/>
          <w:bCs/>
          <w:sz w:val="32"/>
          <w:szCs w:val="32"/>
          <w:lang w:val="en-US" w:eastAsia="zh-CN"/>
        </w:rPr>
        <w:t>在二厂区</w:t>
      </w:r>
      <w:r>
        <w:rPr>
          <w:rFonts w:ascii="仿宋_GB2312" w:hAnsi="仿宋_GB2312" w:eastAsia="仿宋_GB2312" w:cs="仿宋_GB2312"/>
          <w:bCs/>
          <w:sz w:val="32"/>
          <w:szCs w:val="32"/>
        </w:rPr>
        <w:t>经三效蒸发预处理，含氰废水</w:t>
      </w:r>
      <w:r>
        <w:rPr>
          <w:rFonts w:hint="eastAsia" w:ascii="仿宋_GB2312" w:hAnsi="仿宋_GB2312" w:eastAsia="仿宋_GB2312" w:cs="仿宋_GB2312"/>
          <w:bCs/>
          <w:sz w:val="32"/>
          <w:szCs w:val="32"/>
          <w:lang w:val="en-US" w:eastAsia="zh-CN"/>
        </w:rPr>
        <w:t>在二厂区</w:t>
      </w:r>
      <w:r>
        <w:rPr>
          <w:rFonts w:ascii="仿宋_GB2312" w:hAnsi="仿宋_GB2312" w:eastAsia="仿宋_GB2312" w:cs="仿宋_GB2312"/>
          <w:bCs/>
          <w:sz w:val="32"/>
          <w:szCs w:val="32"/>
        </w:rPr>
        <w:t>经“双氧水”破氰预处理，含铬废水</w:t>
      </w:r>
      <w:r>
        <w:rPr>
          <w:rFonts w:hint="eastAsia" w:ascii="仿宋_GB2312" w:hAnsi="仿宋_GB2312" w:eastAsia="仿宋_GB2312" w:cs="仿宋_GB2312"/>
          <w:bCs/>
          <w:sz w:val="32"/>
          <w:szCs w:val="32"/>
          <w:lang w:val="en-US" w:eastAsia="zh-CN"/>
        </w:rPr>
        <w:t>在二厂区</w:t>
      </w:r>
      <w:r>
        <w:rPr>
          <w:rFonts w:ascii="仿宋_GB2312" w:hAnsi="仿宋_GB2312" w:eastAsia="仿宋_GB2312" w:cs="仿宋_GB2312"/>
          <w:bCs/>
          <w:sz w:val="32"/>
          <w:szCs w:val="32"/>
        </w:rPr>
        <w:t>经“亚硫酸钠+氢氧化钠”预处理，经预处理后的高浓废水进入</w:t>
      </w:r>
      <w:r>
        <w:rPr>
          <w:rFonts w:hint="eastAsia" w:ascii="仿宋_GB2312" w:hAnsi="仿宋_GB2312" w:eastAsia="仿宋_GB2312" w:cs="仿宋_GB2312"/>
          <w:bCs/>
          <w:sz w:val="32"/>
          <w:szCs w:val="32"/>
          <w:lang w:val="en-US" w:eastAsia="zh-CN"/>
        </w:rPr>
        <w:t>一厂区</w:t>
      </w:r>
      <w:r>
        <w:rPr>
          <w:rFonts w:ascii="仿宋_GB2312" w:hAnsi="仿宋_GB2312" w:eastAsia="仿宋_GB2312" w:cs="仿宋_GB2312"/>
          <w:bCs/>
          <w:sz w:val="32"/>
          <w:szCs w:val="32"/>
        </w:rPr>
        <w:t>高浓废水收集池、M预生化池、混凝气浮处理，再</w:t>
      </w:r>
      <w:r>
        <w:rPr>
          <w:rFonts w:hint="eastAsia" w:ascii="仿宋_GB2312" w:hAnsi="仿宋_GB2312" w:eastAsia="仿宋_GB2312" w:cs="仿宋_GB2312"/>
          <w:bCs/>
          <w:sz w:val="32"/>
          <w:szCs w:val="32"/>
          <w:lang w:val="en-US" w:eastAsia="zh-CN"/>
        </w:rPr>
        <w:t>和一厂区项目废水</w:t>
      </w:r>
      <w:r>
        <w:rPr>
          <w:rFonts w:ascii="仿宋_GB2312" w:hAnsi="仿宋_GB2312" w:eastAsia="仿宋_GB2312" w:cs="仿宋_GB2312"/>
          <w:bCs/>
          <w:sz w:val="32"/>
          <w:szCs w:val="32"/>
        </w:rPr>
        <w:t>一同进入综合调节池，经“复式兼氧池+兼氧沉淀池+一级A/O+二沉池+二级A/O池+终沉池”或其他更为成熟稳定</w:t>
      </w:r>
      <w:r>
        <w:rPr>
          <w:rFonts w:hint="eastAsia" w:ascii="仿宋_GB2312" w:hAnsi="仿宋_GB2312" w:eastAsia="仿宋_GB2312" w:cs="仿宋_GB2312"/>
          <w:bCs/>
          <w:sz w:val="32"/>
          <w:szCs w:val="32"/>
          <w:lang w:val="en-US" w:eastAsia="zh-CN"/>
        </w:rPr>
        <w:t>工艺</w:t>
      </w:r>
      <w:r>
        <w:rPr>
          <w:rFonts w:ascii="仿宋_GB2312" w:hAnsi="仿宋_GB2312" w:eastAsia="仿宋_GB2312" w:cs="仿宋_GB2312"/>
          <w:bCs/>
          <w:sz w:val="32"/>
          <w:szCs w:val="32"/>
        </w:rPr>
        <w:t>综合处理后，废水中pH、COD、BOD、</w:t>
      </w:r>
      <w:r>
        <w:rPr>
          <w:rFonts w:ascii="仿宋_GB2312" w:hAnsi="仿宋_GB2312" w:eastAsia="仿宋_GB2312" w:cs="仿宋_GB2312"/>
          <w:bCs/>
          <w:snapToGrid w:val="0"/>
          <w:sz w:val="32"/>
          <w:szCs w:val="32"/>
        </w:rPr>
        <w:t>氨氮、SS、总磷、总氮、色度、全盐量执行园区污水处理厂接管标准，二氯甲烷、急性毒性执行《化学合成类制药工业水污染物排放标准》（GB21904-2008）表2要求；硫化物、苯胺类、甲苯、总锌、总铜、六价铬及总铬（含铬废水预处理车间排口）执行《污水综合排放标准》（GB8978-1996）要求限值；氯化物、</w:t>
      </w:r>
      <w:r>
        <w:rPr>
          <w:rFonts w:ascii="仿宋_GB2312" w:hAnsi="仿宋_GB2312" w:eastAsia="仿宋_GB2312" w:cs="仿宋_GB2312"/>
          <w:bCs/>
          <w:snapToGrid w:val="0"/>
          <w:color w:val="000000" w:themeColor="text1"/>
          <w:sz w:val="32"/>
          <w:szCs w:val="32"/>
          <w14:textFill>
            <w14:solidFill>
              <w14:schemeClr w14:val="tx1"/>
            </w14:solidFill>
          </w14:textFill>
        </w:rPr>
        <w:t>硫酸盐达到《污水排入城镇下水道水质标准》（</w:t>
      </w:r>
      <w:bookmarkStart w:id="0" w:name="OLE_LINK19"/>
      <w:r>
        <w:rPr>
          <w:rFonts w:ascii="仿宋_GB2312" w:hAnsi="仿宋_GB2312" w:eastAsia="仿宋_GB2312" w:cs="仿宋_GB2312"/>
          <w:bCs/>
          <w:snapToGrid w:val="0"/>
          <w:color w:val="000000" w:themeColor="text1"/>
          <w:sz w:val="32"/>
          <w:szCs w:val="32"/>
          <w14:textFill>
            <w14:solidFill>
              <w14:schemeClr w14:val="tx1"/>
            </w14:solidFill>
          </w14:textFill>
        </w:rPr>
        <w:t>GB/T 31962-2015</w:t>
      </w:r>
      <w:bookmarkEnd w:id="0"/>
      <w:r>
        <w:rPr>
          <w:rFonts w:ascii="仿宋_GB2312" w:hAnsi="仿宋_GB2312" w:eastAsia="仿宋_GB2312" w:cs="仿宋_GB2312"/>
          <w:bCs/>
          <w:snapToGrid w:val="0"/>
          <w:color w:val="000000" w:themeColor="text1"/>
          <w:sz w:val="32"/>
          <w:szCs w:val="32"/>
          <w14:textFill>
            <w14:solidFill>
              <w14:schemeClr w14:val="tx1"/>
            </w14:solidFill>
          </w14:textFill>
        </w:rPr>
        <w:t>）中B等级标准限值，苯乙烯执行《水污染物综合排放标准（北京市地方标准）》（DB11/307-2013）表3排入公共污水处理系统的水污染物排放限值。由园区污水管网排入园区污水处理厂深度处理后尾水排入锦江。</w:t>
      </w:r>
    </w:p>
    <w:p>
      <w:pPr>
        <w:pStyle w:val="30"/>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eastAsia="仿宋_GB2312" w:cs="仿宋_GB2312"/>
          <w:color w:val="000000" w:themeColor="text1"/>
          <w:kern w:val="2"/>
          <w:sz w:val="32"/>
          <w:szCs w:val="32"/>
          <w14:textFill>
            <w14:solidFill>
              <w14:schemeClr w14:val="tx1"/>
            </w14:solidFill>
          </w14:textFill>
        </w:rPr>
      </w:pPr>
      <w:r>
        <w:rPr>
          <w:rFonts w:ascii="仿宋_GB2312" w:hAnsi="仿宋_GB2312" w:eastAsia="仿宋_GB2312" w:cs="仿宋_GB2312"/>
          <w:color w:val="000000" w:themeColor="text1"/>
          <w:kern w:val="2"/>
          <w:sz w:val="32"/>
          <w:szCs w:val="32"/>
          <w14:textFill>
            <w14:solidFill>
              <w14:schemeClr w14:val="tx1"/>
            </w14:solidFill>
          </w14:textFill>
        </w:rPr>
        <w:t>全厂</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一厂区和二厂区</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ascii="仿宋_GB2312" w:hAnsi="仿宋_GB2312" w:eastAsia="仿宋_GB2312" w:cs="仿宋_GB2312"/>
          <w:color w:val="000000" w:themeColor="text1"/>
          <w:kern w:val="2"/>
          <w:sz w:val="32"/>
          <w:szCs w:val="32"/>
          <w14:textFill>
            <w14:solidFill>
              <w14:schemeClr w14:val="tx1"/>
            </w14:solidFill>
          </w14:textFill>
        </w:rPr>
        <w:t>污水总排口排放量为COD≤7</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1</w:t>
      </w:r>
      <w:r>
        <w:rPr>
          <w:rFonts w:ascii="仿宋_GB2312" w:hAnsi="仿宋_GB2312" w:eastAsia="仿宋_GB2312" w:cs="仿宋_GB2312"/>
          <w:color w:val="000000" w:themeColor="text1"/>
          <w:kern w:val="2"/>
          <w:sz w:val="32"/>
          <w:szCs w:val="32"/>
          <w14:textFill>
            <w14:solidFill>
              <w14:schemeClr w14:val="tx1"/>
            </w14:solidFill>
          </w14:textFill>
        </w:rPr>
        <w:t>.0</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56</w:t>
      </w:r>
      <w:r>
        <w:rPr>
          <w:rFonts w:ascii="仿宋_GB2312" w:hAnsi="仿宋_GB2312" w:eastAsia="仿宋_GB2312" w:cs="仿宋_GB2312"/>
          <w:color w:val="000000" w:themeColor="text1"/>
          <w:kern w:val="2"/>
          <w:sz w:val="32"/>
          <w:szCs w:val="32"/>
          <w14:textFill>
            <w14:solidFill>
              <w14:schemeClr w14:val="tx1"/>
            </w14:solidFill>
          </w14:textFill>
        </w:rPr>
        <w:t>t/a，NH</w:t>
      </w:r>
      <w:r>
        <w:rPr>
          <w:rFonts w:ascii="仿宋_GB2312" w:hAnsi="仿宋_GB2312" w:eastAsia="仿宋_GB2312" w:cs="仿宋_GB2312"/>
          <w:color w:val="000000" w:themeColor="text1"/>
          <w:kern w:val="2"/>
          <w:sz w:val="32"/>
          <w:szCs w:val="32"/>
          <w:vertAlign w:val="subscript"/>
          <w14:textFill>
            <w14:solidFill>
              <w14:schemeClr w14:val="tx1"/>
            </w14:solidFill>
          </w14:textFill>
        </w:rPr>
        <w:t>3</w:t>
      </w:r>
      <w:r>
        <w:rPr>
          <w:rFonts w:ascii="仿宋_GB2312" w:hAnsi="仿宋_GB2312" w:eastAsia="仿宋_GB2312" w:cs="仿宋_GB2312"/>
          <w:color w:val="000000" w:themeColor="text1"/>
          <w:kern w:val="2"/>
          <w:sz w:val="32"/>
          <w:szCs w:val="32"/>
          <w14:textFill>
            <w14:solidFill>
              <w14:schemeClr w14:val="tx1"/>
            </w14:solidFill>
          </w14:textFill>
        </w:rPr>
        <w:t>-N≤</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1.137</w:t>
      </w:r>
      <w:r>
        <w:rPr>
          <w:rFonts w:ascii="仿宋_GB2312" w:hAnsi="仿宋_GB2312" w:eastAsia="仿宋_GB2312" w:cs="仿宋_GB2312"/>
          <w:color w:val="000000" w:themeColor="text1"/>
          <w:kern w:val="2"/>
          <w:sz w:val="32"/>
          <w:szCs w:val="32"/>
          <w14:textFill>
            <w14:solidFill>
              <w14:schemeClr w14:val="tx1"/>
            </w14:solidFill>
          </w14:textFill>
        </w:rPr>
        <w:t>t/a,总铬≤3kg/a,上高县工业园污水处理厂处理达标后尾水中污染物排放量为：COD≤7.03t/a、NH</w:t>
      </w:r>
      <w:r>
        <w:rPr>
          <w:rFonts w:ascii="仿宋_GB2312" w:hAnsi="仿宋_GB2312" w:eastAsia="仿宋_GB2312" w:cs="仿宋_GB2312"/>
          <w:color w:val="000000" w:themeColor="text1"/>
          <w:kern w:val="2"/>
          <w:sz w:val="32"/>
          <w:szCs w:val="32"/>
          <w:vertAlign w:val="subscript"/>
          <w14:textFill>
            <w14:solidFill>
              <w14:schemeClr w14:val="tx1"/>
            </w14:solidFill>
          </w14:textFill>
        </w:rPr>
        <w:t>3</w:t>
      </w:r>
      <w:r>
        <w:rPr>
          <w:rFonts w:ascii="仿宋_GB2312" w:hAnsi="仿宋_GB2312" w:eastAsia="仿宋_GB2312" w:cs="仿宋_GB2312"/>
          <w:color w:val="000000" w:themeColor="text1"/>
          <w:kern w:val="2"/>
          <w:sz w:val="32"/>
          <w:szCs w:val="32"/>
          <w14:textFill>
            <w14:solidFill>
              <w14:schemeClr w14:val="tx1"/>
            </w14:solidFill>
          </w14:textFill>
        </w:rPr>
        <w:t>-N≤0.703t/a,总铬≤3kg/a。</w:t>
      </w:r>
    </w:p>
    <w:p>
      <w:pPr>
        <w:pageBreakBefore w:val="0"/>
        <w:kinsoku/>
        <w:overflowPunct/>
        <w:topLinePunct w:val="0"/>
        <w:bidi w:val="0"/>
        <w:spacing w:line="560" w:lineRule="exact"/>
        <w:ind w:firstLine="640" w:firstLineChars="200"/>
        <w:textAlignment w:val="auto"/>
        <w:rPr>
          <w:rFonts w:eastAsia="仿宋_GB2312"/>
          <w:bCs/>
          <w:color w:val="000000" w:themeColor="text1"/>
          <w:sz w:val="32"/>
          <w:szCs w:val="32"/>
          <w14:textFill>
            <w14:solidFill>
              <w14:schemeClr w14:val="tx1"/>
            </w14:solidFill>
          </w14:textFill>
        </w:rPr>
      </w:pPr>
      <w:r>
        <w:rPr>
          <w:rFonts w:eastAsia="楷体"/>
          <w:color w:val="000000" w:themeColor="text1"/>
          <w:sz w:val="32"/>
          <w:szCs w:val="32"/>
          <w14:textFill>
            <w14:solidFill>
              <w14:schemeClr w14:val="tx1"/>
            </w14:solidFill>
          </w14:textFill>
        </w:rPr>
        <w:t>（二）严格落实大气污染防治措施。</w:t>
      </w:r>
      <w:r>
        <w:rPr>
          <w:rFonts w:eastAsia="仿宋_GB2312"/>
          <w:bCs/>
          <w:color w:val="000000" w:themeColor="text1"/>
          <w:sz w:val="32"/>
          <w:szCs w:val="32"/>
          <w14:textFill>
            <w14:solidFill>
              <w14:schemeClr w14:val="tx1"/>
            </w14:solidFill>
          </w14:textFill>
        </w:rPr>
        <w:t>项目</w:t>
      </w:r>
      <w:r>
        <w:rPr>
          <w:rFonts w:hint="eastAsia" w:ascii="仿宋_GB2312" w:hAnsi="宋体" w:eastAsia="仿宋_GB2312"/>
          <w:color w:val="000000" w:themeColor="text1"/>
          <w:sz w:val="32"/>
          <w14:textFill>
            <w14:solidFill>
              <w14:schemeClr w14:val="tx1"/>
            </w14:solidFill>
          </w14:textFill>
        </w:rPr>
        <w:t>运营期废气主要为</w:t>
      </w:r>
      <w:r>
        <w:rPr>
          <w:rFonts w:hint="eastAsia" w:ascii="仿宋_GB2312" w:eastAsia="仿宋_GB2312"/>
          <w:color w:val="000000" w:themeColor="text1"/>
          <w:sz w:val="32"/>
          <w:szCs w:val="32"/>
          <w14:textFill>
            <w14:solidFill>
              <w14:schemeClr w14:val="tx1"/>
            </w14:solidFill>
          </w14:textFill>
        </w:rPr>
        <w:t>车间工艺废气、污水处理废气、真空泵废气、储罐区和危废暂存间废气、RTO装置废气、以及生产车间、污水处理站等单元未收集到的无组织排放废气</w:t>
      </w:r>
      <w:r>
        <w:rPr>
          <w:rFonts w:hint="eastAsia" w:ascii="仿宋_GB2312" w:hAnsi="宋体" w:eastAsia="仿宋_GB2312"/>
          <w:color w:val="000000" w:themeColor="text1"/>
          <w:sz w:val="32"/>
          <w14:textFill>
            <w14:solidFill>
              <w14:schemeClr w14:val="tx1"/>
            </w14:solidFill>
          </w14:textFill>
        </w:rPr>
        <w:t>。</w:t>
      </w:r>
    </w:p>
    <w:p>
      <w:pPr>
        <w:pStyle w:val="30"/>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eastAsia="仿宋_GB2312" w:cs="仿宋_GB2312"/>
          <w:bCs/>
          <w:snapToGrid w:val="0"/>
          <w:color w:val="000000" w:themeColor="text1"/>
          <w:kern w:val="2"/>
          <w:sz w:val="32"/>
          <w:szCs w:val="32"/>
          <w14:textFill>
            <w14:solidFill>
              <w14:schemeClr w14:val="tx1"/>
            </w14:solidFill>
          </w14:textFill>
        </w:rPr>
      </w:pPr>
      <w:r>
        <w:rPr>
          <w:rFonts w:ascii="仿宋_GB2312" w:eastAsia="仿宋_GB2312"/>
          <w:color w:val="000000" w:themeColor="text1"/>
          <w:kern w:val="2"/>
          <w:sz w:val="32"/>
          <w:szCs w:val="32"/>
          <w14:textFill>
            <w14:solidFill>
              <w14:schemeClr w14:val="tx1"/>
            </w14:solidFill>
          </w14:textFill>
        </w:rPr>
        <w:t>项目车间除含氢废气、铬酸雾外的其他工艺废气与危废暂存间、罐区废气、污水处理站废气经预处理后并入RTO焚烧系统废气总管，进RTO系统焚烧处理。RTO焚烧系统采用“一级碱液喷淋+一级水喷淋+RTO燃烧+急冷+一级水喷淋+一级碱液喷淋+活性炭吸附”或其他更为成熟稳定工艺处理，</w:t>
      </w:r>
      <w:r>
        <w:rPr>
          <w:rFonts w:ascii="仿宋_GB2312" w:hAnsi="仿宋_GB2312" w:eastAsia="仿宋_GB2312" w:cs="仿宋_GB2312"/>
          <w:bCs/>
          <w:color w:val="000000" w:themeColor="text1"/>
          <w:sz w:val="32"/>
          <w:szCs w:val="32"/>
          <w14:textFill>
            <w14:solidFill>
              <w14:schemeClr w14:val="tx1"/>
            </w14:solidFill>
          </w14:textFill>
        </w:rPr>
        <w:t>甲苯、甲醇、二氯甲烷、三氯甲烷、丙酮、乙酸乙酯、乙腈、非甲烷总烃、TVOC执行《挥发性有机物排放标准 第3部分 医药制造业》（DB36/1101.3-2019）排放限值；四氢呋喃、溴乙烷、DMF、吡啶、二氯乙烷、一氯甲烷、苯乙烯、乙苯执行《挥发性有机物排放标准 第2部分 有机化工业》（DB36/1101.2-2019）；氯气、氰化氢、颗粒物、氯化氢、硫化氢、氨气执行《制药工业大气污染物排放标准》（GB37823-2019）中标准限值，RTO燃烧废气中SO</w:t>
      </w:r>
      <w:r>
        <w:rPr>
          <w:rFonts w:ascii="仿宋_GB2312" w:hAnsi="仿宋_GB2312" w:eastAsia="仿宋_GB2312" w:cs="仿宋_GB2312"/>
          <w:bCs/>
          <w:color w:val="000000" w:themeColor="text1"/>
          <w:sz w:val="32"/>
          <w:szCs w:val="32"/>
          <w:vertAlign w:val="subscript"/>
          <w14:textFill>
            <w14:solidFill>
              <w14:schemeClr w14:val="tx1"/>
            </w14:solidFill>
          </w14:textFill>
        </w:rPr>
        <w:t>2</w:t>
      </w:r>
      <w:r>
        <w:rPr>
          <w:rFonts w:ascii="仿宋_GB2312" w:hAnsi="仿宋_GB2312" w:eastAsia="仿宋_GB2312" w:cs="仿宋_GB2312"/>
          <w:bCs/>
          <w:color w:val="000000" w:themeColor="text1"/>
          <w:sz w:val="32"/>
          <w:szCs w:val="32"/>
          <w14:textFill>
            <w14:solidFill>
              <w14:schemeClr w14:val="tx1"/>
            </w14:solidFill>
          </w14:textFill>
        </w:rPr>
        <w:t>、NO</w:t>
      </w:r>
      <w:r>
        <w:rPr>
          <w:rFonts w:ascii="仿宋_GB2312" w:hAnsi="仿宋_GB2312" w:eastAsia="仿宋_GB2312" w:cs="仿宋_GB2312"/>
          <w:bCs/>
          <w:color w:val="000000" w:themeColor="text1"/>
          <w:sz w:val="32"/>
          <w:szCs w:val="32"/>
          <w:vertAlign w:val="subscript"/>
          <w14:textFill>
            <w14:solidFill>
              <w14:schemeClr w14:val="tx1"/>
            </w14:solidFill>
          </w14:textFill>
        </w:rPr>
        <w:t>x</w:t>
      </w:r>
      <w:r>
        <w:rPr>
          <w:rFonts w:ascii="仿宋_GB2312" w:hAnsi="仿宋_GB2312" w:eastAsia="仿宋_GB2312" w:cs="仿宋_GB2312"/>
          <w:bCs/>
          <w:color w:val="000000" w:themeColor="text1"/>
          <w:sz w:val="32"/>
          <w:szCs w:val="32"/>
          <w14:textFill>
            <w14:solidFill>
              <w14:schemeClr w14:val="tx1"/>
            </w14:solidFill>
          </w14:textFill>
        </w:rPr>
        <w:t>、二噁英类执行《制药工业大气污染物排放标准》（GB37823-2019）中燃烧装置排放限值；硫酸雾执行《大气污染物综合排放标准》（GB16297-1996）表2二级标准；异丙醇、乙酸、三乙胺、乙烯、戊腈、甲酸执行《大气污染物综合排放标准》（上海市地方标准）（DB31/933-2015）。含氢废气采用“深冷+水喷淋+二级酸洗”或其他更为成熟稳定处理工艺，处理后非甲烷总烃、TVOC执行《挥发性有机物排放标准 第3部分 医药制造业》（DB36/1101.3-2019）排放限值；四氢呋喃、苯乙烯执行《挥发性有机物排放标准 第2部分 有机化工业》（DB36/1101.2-2019），氨气执行《制药工业大气污染物排放标准》（GB37823-2019）中标准限值，乙酸执行《大气污染物综合排放标准》（上海市地方标准）（DB31/933-2015）。</w:t>
      </w:r>
      <w:r>
        <w:rPr>
          <w:rFonts w:ascii="仿宋_GB2312" w:hAnsi="仿宋_GB2312" w:eastAsia="仿宋_GB2312" w:cs="仿宋_GB2312"/>
          <w:bCs/>
          <w:color w:val="000000" w:themeColor="text1"/>
          <w:kern w:val="2"/>
          <w:sz w:val="32"/>
          <w:szCs w:val="32"/>
          <w14:textFill>
            <w14:solidFill>
              <w14:schemeClr w14:val="tx1"/>
            </w14:solidFill>
          </w14:textFill>
        </w:rPr>
        <w:t>铬酸雾废气采用“铬酸雾回收器+亚硫酸钠喷淋”或其他更为成熟稳定方式进行处理，处理后铬酸雾、硫酸雾执行《大气污染物综合排放标准》（GB16297-1996）表2二级标准，二氯甲烷、TVOC执行《挥发性有机物排放标准 第3部分 医药制造业》（DB36/1101.3-2019）排放限</w:t>
      </w:r>
      <w:r>
        <w:rPr>
          <w:rFonts w:ascii="仿宋_GB2312" w:hAnsi="仿宋_GB2312" w:eastAsia="仿宋_GB2312" w:cs="仿宋_GB2312"/>
          <w:bCs/>
          <w:snapToGrid w:val="0"/>
          <w:color w:val="000000" w:themeColor="text1"/>
          <w:kern w:val="2"/>
          <w:sz w:val="32"/>
          <w:szCs w:val="32"/>
          <w14:textFill>
            <w14:solidFill>
              <w14:schemeClr w14:val="tx1"/>
            </w14:solidFill>
          </w14:textFill>
        </w:rPr>
        <w:t>值，异丙醇执行《大气污染物综合排放标准》（上海市地方标准）（DB31/933-2015）。</w:t>
      </w:r>
    </w:p>
    <w:p>
      <w:pPr>
        <w:pStyle w:val="30"/>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仿宋_GB2312" w:hAnsi="仿宋_GB2312" w:eastAsia="仿宋_GB2312" w:cs="仿宋_GB2312"/>
          <w:bCs/>
          <w:color w:val="000000" w:themeColor="text1"/>
          <w:sz w:val="32"/>
          <w:szCs w:val="32"/>
          <w14:textFill>
            <w14:solidFill>
              <w14:schemeClr w14:val="tx1"/>
            </w14:solidFill>
          </w14:textFill>
        </w:rPr>
      </w:pPr>
      <w:r>
        <w:rPr>
          <w:rFonts w:ascii="仿宋_GB2312" w:hAnsi="仿宋_GB2312" w:eastAsia="仿宋_GB2312" w:cs="仿宋_GB2312"/>
          <w:bCs/>
          <w:color w:val="000000" w:themeColor="text1"/>
          <w:sz w:val="32"/>
          <w:szCs w:val="32"/>
          <w14:textFill>
            <w14:solidFill>
              <w14:schemeClr w14:val="tx1"/>
            </w14:solidFill>
          </w14:textFill>
        </w:rPr>
        <w:t>项目无组织废气主要为生产车间内车间物料转运和物料贮存无组织废气、污水处理站、危废暂存间、原料库等未收集到的废气。采取加强各类废气集气管道管理，杜绝跑冒滴漏现象发生、加强厂区绿化等措施，减少无组织废气排放。项目无组织废气中甲苯、甲醇、二氯甲烷、三氯甲烷、丙酮、乙酸乙酯、乙腈、非甲烷总烃、VOCs执行《挥发性有机物排放标准 第3部分 医药制造业》（DB36/1101.3-2019）无组织限值，氯气、氰化氢、氯化氢执行《制药工业大气污染物排放标准》（GB37823-2019）中无组织限值，氨气、硫化氢满足《恶臭污染物排放标准》（GB14554-93）中无组织限值，硫酸雾、粉尘、铬酸雾执行《大气污染物综合排放标准》（GB16297-1996）表2中无组织限值。</w:t>
      </w:r>
    </w:p>
    <w:p>
      <w:pPr>
        <w:pStyle w:val="30"/>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color w:val="000000" w:themeColor="text1"/>
          <w14:textFill>
            <w14:solidFill>
              <w14:schemeClr w14:val="tx1"/>
            </w14:solidFill>
          </w14:textFill>
        </w:rPr>
      </w:pPr>
      <w:r>
        <w:rPr>
          <w:rFonts w:ascii="仿宋_GB2312" w:hAnsi="仿宋_GB2312" w:eastAsia="仿宋_GB2312" w:cs="仿宋_GB2312"/>
          <w:bCs/>
          <w:color w:val="000000" w:themeColor="text1"/>
          <w:kern w:val="2"/>
          <w:sz w:val="32"/>
          <w:szCs w:val="32"/>
          <w14:textFill>
            <w14:solidFill>
              <w14:schemeClr w14:val="tx1"/>
            </w14:solidFill>
          </w14:textFill>
        </w:rPr>
        <w:t>本项目厂区废气排放量为VOCs≤2.345t/a ,NOx≤2.716t/a。</w:t>
      </w:r>
    </w:p>
    <w:p>
      <w:pPr>
        <w:pageBreakBefore w:val="0"/>
        <w:kinsoku/>
        <w:wordWrap w:val="0"/>
        <w:overflowPunct/>
        <w:topLinePunct w:val="0"/>
        <w:autoSpaceDE w:val="0"/>
        <w:bidi w:val="0"/>
        <w:adjustRightInd w:val="0"/>
        <w:snapToGrid w:val="0"/>
        <w:spacing w:line="560"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楷体"/>
          <w:color w:val="000000" w:themeColor="text1"/>
          <w:sz w:val="32"/>
          <w:szCs w:val="32"/>
          <w14:textFill>
            <w14:solidFill>
              <w14:schemeClr w14:val="tx1"/>
            </w14:solidFill>
          </w14:textFill>
        </w:rPr>
        <w:t>（三）严格落实固体废物分类处置和综合利用措施。</w:t>
      </w:r>
      <w:r>
        <w:rPr>
          <w:rFonts w:eastAsia="仿宋_GB2312"/>
          <w:color w:val="000000" w:themeColor="text1"/>
          <w:sz w:val="32"/>
          <w:szCs w:val="32"/>
          <w14:textFill>
            <w14:solidFill>
              <w14:schemeClr w14:val="tx1"/>
            </w14:solidFill>
          </w14:textFill>
        </w:rPr>
        <w:t>应按“资源化、减量化、无害化”处置原则，认真落实固废分类收集、处置和综合利用措施。产生的一般工业固体废物应合法处置，生活垃圾收集后由当地环卫部门统一清运处置。</w:t>
      </w:r>
    </w:p>
    <w:p>
      <w:pPr>
        <w:pStyle w:val="3"/>
        <w:pageBreakBefore w:val="0"/>
        <w:widowControl/>
        <w:shd w:val="clear" w:color="auto" w:fill="FFFFFF"/>
        <w:kinsoku/>
        <w:wordWrap w:val="0"/>
        <w:overflowPunct/>
        <w:topLinePunct w:val="0"/>
        <w:bidi w:val="0"/>
        <w:spacing w:beforeAutospacing="0" w:afterAutospacing="0" w:line="560" w:lineRule="exact"/>
        <w:ind w:firstLine="640" w:firstLineChars="200"/>
        <w:textAlignment w:val="auto"/>
        <w:rPr>
          <w:rFonts w:hint="eastAsia" w:ascii="仿宋_GB2312" w:hAnsi="仿宋_GB2312" w:eastAsia="仿宋_GB2312" w:cs="仿宋_GB2312"/>
          <w:b w:val="0"/>
          <w:color w:val="000000" w:themeColor="text1"/>
          <w:kern w:val="2"/>
          <w:sz w:val="32"/>
          <w:szCs w:val="32"/>
          <w14:textFill>
            <w14:solidFill>
              <w14:schemeClr w14:val="tx1"/>
            </w14:solidFill>
          </w14:textFill>
        </w:rPr>
      </w:pPr>
      <w:r>
        <w:rPr>
          <w:rFonts w:hint="default" w:ascii="Times New Roman" w:hAnsi="Times New Roman" w:eastAsia="仿宋_GB2312"/>
          <w:b w:val="0"/>
          <w:color w:val="000000" w:themeColor="text1"/>
          <w:kern w:val="2"/>
          <w:sz w:val="32"/>
          <w:szCs w:val="32"/>
          <w14:textFill>
            <w14:solidFill>
              <w14:schemeClr w14:val="tx1"/>
            </w14:solidFill>
          </w14:textFill>
        </w:rPr>
        <w:t>应在厂区内设置足够容积的一般工业固体废物暂存库和危</w:t>
      </w:r>
      <w:r>
        <w:rPr>
          <w:rFonts w:hint="eastAsia" w:ascii="仿宋_GB2312" w:hAnsi="仿宋_GB2312" w:eastAsia="仿宋_GB2312" w:cs="仿宋_GB2312"/>
          <w:b w:val="0"/>
          <w:color w:val="000000" w:themeColor="text1"/>
          <w:kern w:val="2"/>
          <w:sz w:val="32"/>
          <w:szCs w:val="32"/>
          <w14:textFill>
            <w14:solidFill>
              <w14:schemeClr w14:val="tx1"/>
            </w14:solidFill>
          </w14:textFill>
        </w:rPr>
        <w:t>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pageBreakBefore w:val="0"/>
        <w:kinsoku/>
        <w:overflowPunct/>
        <w:topLinePunct w:val="0"/>
        <w:autoSpaceDE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eastAsia="楷体"/>
          <w:color w:val="000000" w:themeColor="text1"/>
          <w:sz w:val="32"/>
          <w:szCs w:val="32"/>
          <w14:textFill>
            <w14:solidFill>
              <w14:schemeClr w14:val="tx1"/>
            </w14:solidFill>
          </w14:textFill>
        </w:rPr>
        <w:t>（四）严格落实噪声污染防治措施。</w:t>
      </w:r>
      <w:r>
        <w:rPr>
          <w:rFonts w:hint="eastAsia" w:eastAsia="仿宋_GB2312"/>
          <w:color w:val="000000" w:themeColor="text1"/>
          <w:sz w:val="32"/>
          <w:szCs w:val="32"/>
          <w14:textFill>
            <w14:solidFill>
              <w14:schemeClr w14:val="tx1"/>
            </w14:solidFill>
          </w14:textFill>
        </w:rPr>
        <w:t>应采取合理布局，选用低噪声设备，将高噪声设备安置于室内，采用基础减振，利用建筑物隔声屏蔽；对风机等较高噪音设备则采取加装消音器，或采用隔声罩封闭，以及加强厂区内绿化</w:t>
      </w:r>
      <w:r>
        <w:rPr>
          <w:rFonts w:eastAsia="仿宋_GB2312"/>
          <w:color w:val="000000" w:themeColor="text1"/>
          <w:sz w:val="32"/>
          <w:szCs w:val="32"/>
          <w14:textFill>
            <w14:solidFill>
              <w14:schemeClr w14:val="tx1"/>
            </w14:solidFill>
          </w14:textFill>
        </w:rPr>
        <w:t>，厂界噪声需</w:t>
      </w:r>
      <w:r>
        <w:rPr>
          <w:rFonts w:hint="eastAsia" w:eastAsia="仿宋_GB2312"/>
          <w:color w:val="000000" w:themeColor="text1"/>
          <w:sz w:val="32"/>
          <w:szCs w:val="32"/>
          <w14:textFill>
            <w14:solidFill>
              <w14:schemeClr w14:val="tx1"/>
            </w14:solidFill>
          </w14:textFill>
        </w:rPr>
        <w:t>执行</w:t>
      </w:r>
      <w:r>
        <w:rPr>
          <w:rFonts w:eastAsia="仿宋_GB2312"/>
          <w:color w:val="000000" w:themeColor="text1"/>
          <w:sz w:val="32"/>
          <w:szCs w:val="32"/>
          <w14:textFill>
            <w14:solidFill>
              <w14:schemeClr w14:val="tx1"/>
            </w14:solidFill>
          </w14:textFill>
        </w:rPr>
        <w:t>《工</w:t>
      </w:r>
      <w:r>
        <w:rPr>
          <w:rFonts w:hint="eastAsia" w:ascii="仿宋_GB2312" w:hAnsi="仿宋_GB2312" w:eastAsia="仿宋_GB2312" w:cs="仿宋_GB2312"/>
          <w:color w:val="000000" w:themeColor="text1"/>
          <w:sz w:val="32"/>
          <w:szCs w:val="32"/>
          <w14:textFill>
            <w14:solidFill>
              <w14:schemeClr w14:val="tx1"/>
            </w14:solidFill>
          </w14:textFill>
        </w:rPr>
        <w:t>业企业厂界环境噪声排放标准》（GB 12348-2008）中3类标准要求。</w:t>
      </w:r>
    </w:p>
    <w:p>
      <w:pPr>
        <w:pageBreakBefore w:val="0"/>
        <w:kinsoku/>
        <w:overflowPunct/>
        <w:topLinePunct w:val="0"/>
        <w:autoSpaceDE w:val="0"/>
        <w:bidi w:val="0"/>
        <w:spacing w:line="560"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楷体"/>
          <w:color w:val="000000" w:themeColor="text1"/>
          <w:sz w:val="32"/>
          <w:szCs w:val="32"/>
          <w14:textFill>
            <w14:solidFill>
              <w14:schemeClr w14:val="tx1"/>
            </w14:solidFill>
          </w14:textFill>
        </w:rPr>
        <w:t>（五）严格落实土壤和地下水污染防治措施。</w:t>
      </w:r>
      <w:r>
        <w:rPr>
          <w:rFonts w:eastAsia="仿宋_GB2312"/>
          <w:color w:val="000000" w:themeColor="text1"/>
          <w:sz w:val="32"/>
          <w:szCs w:val="32"/>
          <w14:textFill>
            <w14:solidFill>
              <w14:schemeClr w14:val="tx1"/>
            </w14:solidFill>
          </w14:textFill>
        </w:rPr>
        <w:t>按“源头控制、分区防治、污染监控、应急响应”相结合的原则做好土壤和地下水污染防治工作，从污染物的产生、入渗、扩散、应急响应全阶段进行控制，严格做好分区防渗措施。</w:t>
      </w:r>
      <w:r>
        <w:rPr>
          <w:rFonts w:eastAsia="仿宋_GB2312"/>
          <w:color w:val="000000" w:themeColor="text1"/>
          <w:kern w:val="0"/>
          <w:sz w:val="32"/>
          <w:szCs w:val="32"/>
          <w14:textFill>
            <w14:solidFill>
              <w14:schemeClr w14:val="tx1"/>
            </w14:solidFill>
          </w14:textFill>
        </w:rPr>
        <w:t>按照《报告书》和《评估意见》中要求合理设置地下水及土壤监测布点，制定环境监测计划，加强厂区和周边区域地下水及土壤环境质量监控，一旦发现污染情况，必须立即采取措施，防止污染扩散</w:t>
      </w:r>
      <w:r>
        <w:rPr>
          <w:rFonts w:eastAsia="仿宋_GB2312"/>
          <w:color w:val="000000" w:themeColor="text1"/>
          <w:sz w:val="32"/>
          <w:szCs w:val="32"/>
          <w14:textFill>
            <w14:solidFill>
              <w14:schemeClr w14:val="tx1"/>
            </w14:solidFill>
          </w14:textFill>
        </w:rPr>
        <w:t>。</w:t>
      </w:r>
    </w:p>
    <w:p>
      <w:pPr>
        <w:pageBreakBefore w:val="0"/>
        <w:kinsoku/>
        <w:overflowPunct/>
        <w:topLinePunct w:val="0"/>
        <w:autoSpaceDE w:val="0"/>
        <w:bidi w:val="0"/>
        <w:spacing w:line="560" w:lineRule="exact"/>
        <w:ind w:firstLine="640" w:firstLineChars="200"/>
        <w:jc w:val="left"/>
        <w:textAlignment w:val="auto"/>
        <w:rPr>
          <w:rFonts w:eastAsia="仿宋_GB2312"/>
          <w:color w:val="000000" w:themeColor="text1"/>
          <w:sz w:val="32"/>
          <w:szCs w:val="32"/>
          <w14:textFill>
            <w14:solidFill>
              <w14:schemeClr w14:val="tx1"/>
            </w14:solidFill>
          </w14:textFill>
        </w:rPr>
      </w:pPr>
      <w:r>
        <w:rPr>
          <w:rFonts w:eastAsia="楷体"/>
          <w:color w:val="000000" w:themeColor="text1"/>
          <w:sz w:val="32"/>
          <w:szCs w:val="32"/>
          <w14:textFill>
            <w14:solidFill>
              <w14:schemeClr w14:val="tx1"/>
            </w14:solidFill>
          </w14:textFill>
        </w:rPr>
        <w:t>（六）严格落实环境风险防范措施。</w:t>
      </w:r>
      <w:r>
        <w:rPr>
          <w:rFonts w:eastAsia="仿宋_GB2312"/>
          <w:color w:val="000000" w:themeColor="text1"/>
          <w:sz w:val="32"/>
          <w:szCs w:val="32"/>
          <w14:textFill>
            <w14:solidFill>
              <w14:schemeClr w14:val="tx1"/>
            </w14:solidFill>
          </w14:textFill>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pageBreakBefore w:val="0"/>
        <w:kinsoku/>
        <w:overflowPunct/>
        <w:topLinePunct w:val="0"/>
        <w:autoSpaceDE w:val="0"/>
        <w:bidi w:val="0"/>
        <w:spacing w:line="560" w:lineRule="exact"/>
        <w:ind w:firstLine="640" w:firstLineChars="200"/>
        <w:textAlignment w:val="auto"/>
        <w:rPr>
          <w:rFonts w:eastAsia="仿宋_GB2312"/>
          <w:color w:val="000000" w:themeColor="text1"/>
          <w:kern w:val="0"/>
          <w:sz w:val="32"/>
          <w:szCs w:val="32"/>
          <w14:textFill>
            <w14:solidFill>
              <w14:schemeClr w14:val="tx1"/>
            </w14:solidFill>
          </w14:textFill>
        </w:rPr>
      </w:pPr>
      <w:r>
        <w:rPr>
          <w:rFonts w:eastAsia="楷体"/>
          <w:color w:val="000000" w:themeColor="text1"/>
          <w:sz w:val="32"/>
          <w:szCs w:val="32"/>
          <w14:textFill>
            <w14:solidFill>
              <w14:schemeClr w14:val="tx1"/>
            </w14:solidFill>
          </w14:textFill>
        </w:rPr>
        <w:t>（七）落实规范排污口要求。</w:t>
      </w:r>
      <w:r>
        <w:rPr>
          <w:rFonts w:hint="eastAsia" w:eastAsia="仿宋_GB2312"/>
          <w:color w:val="000000" w:themeColor="text1"/>
          <w:sz w:val="32"/>
          <w:szCs w:val="32"/>
          <w14:textFill>
            <w14:solidFill>
              <w14:schemeClr w14:val="tx1"/>
            </w14:solidFill>
          </w14:textFill>
        </w:rPr>
        <w:t>你公司应按要求设置废水、废气在线监控设施，并</w:t>
      </w:r>
      <w:r>
        <w:rPr>
          <w:rFonts w:hint="eastAsia" w:eastAsia="仿宋_GB2312"/>
          <w:color w:val="000000" w:themeColor="text1"/>
          <w:sz w:val="32"/>
          <w:szCs w:val="32"/>
          <w:lang w:eastAsia="zh-CN"/>
          <w14:textFill>
            <w14:solidFill>
              <w14:schemeClr w14:val="tx1"/>
            </w14:solidFill>
          </w14:textFill>
        </w:rPr>
        <w:t>与</w:t>
      </w:r>
      <w:bookmarkStart w:id="1" w:name="_GoBack"/>
      <w:bookmarkEnd w:id="1"/>
      <w:r>
        <w:rPr>
          <w:rFonts w:hint="eastAsia" w:eastAsia="仿宋_GB2312"/>
          <w:color w:val="000000" w:themeColor="text1"/>
          <w:sz w:val="32"/>
          <w:szCs w:val="32"/>
          <w14:textFill>
            <w14:solidFill>
              <w14:schemeClr w14:val="tx1"/>
            </w14:solidFill>
          </w14:textFill>
        </w:rPr>
        <w:t>当地生态环境部门联网，同时按国家有关规定设置规范的污染物排放并建档，并设置永久监测采样口。</w:t>
      </w:r>
    </w:p>
    <w:p>
      <w:pPr>
        <w:pageBreakBefore w:val="0"/>
        <w:kinsoku/>
        <w:overflowPunct/>
        <w:topLinePunct w:val="0"/>
        <w:bidi w:val="0"/>
        <w:adjustRightInd w:val="0"/>
        <w:snapToGrid w:val="0"/>
        <w:spacing w:line="560" w:lineRule="exact"/>
        <w:ind w:firstLine="640" w:firstLineChars="200"/>
        <w:textAlignment w:val="auto"/>
        <w:rPr>
          <w:rFonts w:eastAsia="仿宋_GB2312" w:cs="仿宋"/>
          <w:color w:val="000000" w:themeColor="text1"/>
          <w:sz w:val="32"/>
          <w:szCs w:val="32"/>
          <w14:textFill>
            <w14:solidFill>
              <w14:schemeClr w14:val="tx1"/>
            </w14:solidFill>
          </w14:textFill>
        </w:rPr>
      </w:pPr>
      <w:r>
        <w:rPr>
          <w:rFonts w:eastAsia="楷体"/>
          <w:color w:val="000000" w:themeColor="text1"/>
          <w:sz w:val="32"/>
          <w:szCs w:val="32"/>
          <w14:textFill>
            <w14:solidFill>
              <w14:schemeClr w14:val="tx1"/>
            </w14:solidFill>
          </w14:textFill>
        </w:rPr>
        <w:t>（八）项目周围规划控制要求。</w:t>
      </w:r>
      <w:r>
        <w:rPr>
          <w:rFonts w:eastAsia="仿宋_GB2312"/>
          <w:color w:val="000000" w:themeColor="text1"/>
          <w:sz w:val="32"/>
          <w:szCs w:val="32"/>
          <w14:textFill>
            <w14:solidFill>
              <w14:schemeClr w14:val="tx1"/>
            </w14:solidFill>
          </w14:textFill>
        </w:rPr>
        <w:t>根据《报告书》和《评估</w:t>
      </w:r>
      <w:r>
        <w:rPr>
          <w:rFonts w:hint="eastAsia" w:ascii="仿宋_GB2312" w:hAnsi="仿宋_GB2312" w:eastAsia="仿宋_GB2312" w:cs="仿宋_GB2312"/>
          <w:color w:val="000000" w:themeColor="text1"/>
          <w:sz w:val="32"/>
          <w:szCs w:val="32"/>
          <w14:textFill>
            <w14:solidFill>
              <w14:schemeClr w14:val="tx1"/>
            </w14:solidFill>
          </w14:textFill>
        </w:rPr>
        <w:t>意见》结论，</w:t>
      </w:r>
      <w:r>
        <w:rPr>
          <w:rFonts w:hint="eastAsia" w:ascii="仿宋_GB2312" w:hAnsi="仿宋_GB2312" w:eastAsia="仿宋_GB2312" w:cs="仿宋_GB2312"/>
          <w:bCs/>
          <w:color w:val="000000" w:themeColor="text1"/>
          <w:sz w:val="32"/>
          <w:szCs w:val="32"/>
          <w14:textFill>
            <w14:solidFill>
              <w14:schemeClr w14:val="tx1"/>
            </w14:solidFill>
          </w14:textFill>
        </w:rPr>
        <w:t>确定本项目</w:t>
      </w:r>
      <w:r>
        <w:rPr>
          <w:rFonts w:hint="eastAsia" w:ascii="仿宋_GB2312" w:hAnsi="仿宋_GB2312" w:eastAsia="仿宋_GB2312" w:cs="仿宋_GB2312"/>
          <w:color w:val="000000" w:themeColor="text1"/>
          <w:sz w:val="32"/>
          <w:szCs w:val="32"/>
          <w14:textFill>
            <w14:solidFill>
              <w14:schemeClr w14:val="tx1"/>
            </w14:solidFill>
          </w14:textFill>
        </w:rPr>
        <w:t>的卫生防护距离为101车间200m，102车间、104车间、污水处理站、危废暂存库、原料仓库(202甲类仓库一)卫生防护距离为50m</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你公司应配合规划部门，严格控制好本项目周边规划，项目卫生防护距离范围内不得新建居</w:t>
      </w:r>
      <w:r>
        <w:rPr>
          <w:rFonts w:hint="eastAsia" w:eastAsia="仿宋_GB2312" w:cs="仿宋"/>
          <w:color w:val="000000" w:themeColor="text1"/>
          <w:sz w:val="32"/>
          <w:szCs w:val="32"/>
          <w14:textFill>
            <w14:solidFill>
              <w14:schemeClr w14:val="tx1"/>
            </w14:solidFill>
          </w14:textFill>
        </w:rPr>
        <w:t>民住宅、学校及医院等环境敏感建筑。</w:t>
      </w:r>
    </w:p>
    <w:p>
      <w:pPr>
        <w:pStyle w:val="9"/>
        <w:pageBreakBefore w:val="0"/>
        <w:kinsoku/>
        <w:overflowPunct/>
        <w:topLinePunct w:val="0"/>
        <w:bidi w:val="0"/>
        <w:spacing w:line="560" w:lineRule="exact"/>
        <w:textAlignment w:val="auto"/>
        <w:rPr>
          <w:rFonts w:ascii="仿宋_GB2312" w:hAnsi="仿宋_GB2312" w:cs="仿宋_GB2312"/>
          <w:bCs/>
          <w:snapToGrid w:val="0"/>
          <w:color w:val="000000" w:themeColor="text1"/>
          <w:szCs w:val="32"/>
          <w14:textFill>
            <w14:solidFill>
              <w14:schemeClr w14:val="tx1"/>
            </w14:solidFill>
          </w14:textFill>
        </w:rPr>
      </w:pPr>
      <w:r>
        <w:rPr>
          <w:rFonts w:eastAsia="楷体"/>
          <w:color w:val="000000" w:themeColor="text1"/>
          <w:szCs w:val="32"/>
          <w14:textFill>
            <w14:solidFill>
              <w14:schemeClr w14:val="tx1"/>
            </w14:solidFill>
          </w14:textFill>
        </w:rPr>
        <w:t>（九）现有问题改进措施要求。</w:t>
      </w:r>
      <w:r>
        <w:rPr>
          <w:rFonts w:ascii="仿宋_GB2312" w:hAnsi="仿宋_GB2312" w:cs="仿宋_GB2312"/>
          <w:bCs/>
          <w:snapToGrid w:val="0"/>
          <w:color w:val="000000" w:themeColor="text1"/>
          <w:szCs w:val="32"/>
          <w14:textFill>
            <w14:solidFill>
              <w14:schemeClr w14:val="tx1"/>
            </w14:solidFill>
          </w14:textFill>
        </w:rPr>
        <w:t>对现有厂区内物料采取集中分类堆放处置，同时加强提高厂内管理人员的环境管理水平。现有厂区建立健全的“雨污分流、清污分流制”排水系统。对现有污水处理站工艺进行技改，扩大污水处理站规模，以满足全厂(一厂区和二厂区)废水处理要求。</w:t>
      </w:r>
    </w:p>
    <w:p>
      <w:pPr>
        <w:pageBreakBefore w:val="0"/>
        <w:numPr>
          <w:ilvl w:val="0"/>
          <w:numId w:val="2"/>
        </w:numPr>
        <w:kinsoku/>
        <w:overflowPunct/>
        <w:topLinePunct w:val="0"/>
        <w:autoSpaceDE w:val="0"/>
        <w:bidi w:val="0"/>
        <w:adjustRightInd w:val="0"/>
        <w:snapToGrid w:val="0"/>
        <w:spacing w:line="560"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楷体"/>
          <w:color w:val="000000" w:themeColor="text1"/>
          <w:sz w:val="32"/>
          <w:szCs w:val="32"/>
          <w14:textFill>
            <w14:solidFill>
              <w14:schemeClr w14:val="tx1"/>
            </w14:solidFill>
          </w14:textFill>
        </w:rPr>
        <w:t>信息公开要求。</w:t>
      </w:r>
      <w:r>
        <w:rPr>
          <w:rFonts w:eastAsia="仿宋_GB2312"/>
          <w:color w:val="000000" w:themeColor="text1"/>
          <w:sz w:val="32"/>
          <w:szCs w:val="32"/>
          <w14:textFill>
            <w14:solidFill>
              <w14:schemeClr w14:val="tx1"/>
            </w14:solidFill>
          </w14:textFill>
        </w:rPr>
        <w:t>你公司应依法实施信息公开，接</w:t>
      </w:r>
      <w:r>
        <w:rPr>
          <w:rFonts w:hint="eastAsia" w:eastAsia="仿宋_GB2312"/>
          <w:color w:val="000000" w:themeColor="text1"/>
          <w:sz w:val="32"/>
          <w:szCs w:val="32"/>
          <w14:textFill>
            <w14:solidFill>
              <w14:schemeClr w14:val="tx1"/>
            </w14:solidFill>
          </w14:textFill>
        </w:rPr>
        <w:t>受</w:t>
      </w:r>
      <w:r>
        <w:rPr>
          <w:rFonts w:eastAsia="仿宋_GB2312"/>
          <w:color w:val="000000" w:themeColor="text1"/>
          <w:sz w:val="32"/>
          <w:szCs w:val="32"/>
          <w14:textFill>
            <w14:solidFill>
              <w14:schemeClr w14:val="tx1"/>
            </w14:solidFill>
          </w14:textFill>
        </w:rPr>
        <w:t>社会监督。项目应定期公示企业环境报告，公布污染物排放和环境管理情况。</w:t>
      </w:r>
    </w:p>
    <w:p>
      <w:pPr>
        <w:pageBreakBefore w:val="0"/>
        <w:kinsoku/>
        <w:overflowPunct/>
        <w:topLinePunct w:val="0"/>
        <w:autoSpaceDE w:val="0"/>
        <w:bidi w:val="0"/>
        <w:adjustRightInd w:val="0"/>
        <w:snapToGrid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三、项目试运行和竣工验收的环保要求</w:t>
      </w:r>
    </w:p>
    <w:p>
      <w:pPr>
        <w:pageBreakBefore w:val="0"/>
        <w:kinsoku/>
        <w:overflowPunct/>
        <w:topLinePunct w:val="0"/>
        <w:autoSpaceDE w:val="0"/>
        <w:bidi w:val="0"/>
        <w:adjustRightInd w:val="0"/>
        <w:snapToGrid w:val="0"/>
        <w:spacing w:line="56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本项目建设必须严格执行环境保护设施与主体工程同时设计、同时施工、同时投入使用的环境保护“三同时”制度，落实《报告书》提出的各项环境保护措施。项目建成投入生产后，你公司应当按照相关规定要求，对配套建设的环境保护设施进行验收，编制验收报告，并依法向社会公开。你单位在环境保护设施验收过程中，应当如实查验、监测、记载建设项目环境保护设施的建设和调试情况，不得弄虚作假。项目经验收合格后方可正式投入运行。</w:t>
      </w:r>
    </w:p>
    <w:p>
      <w:pPr>
        <w:pageBreakBefore w:val="0"/>
        <w:kinsoku/>
        <w:overflowPunct/>
        <w:topLinePunct w:val="0"/>
        <w:autoSpaceDE w:val="0"/>
        <w:bidi w:val="0"/>
        <w:adjustRightInd w:val="0"/>
        <w:snapToGrid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四、其他环保要求</w:t>
      </w:r>
    </w:p>
    <w:p>
      <w:pPr>
        <w:pageBreakBefore w:val="0"/>
        <w:kinsoku/>
        <w:overflowPunct/>
        <w:topLinePunct w:val="0"/>
        <w:autoSpaceDE w:val="0"/>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（一）项目变更环保要求。</w:t>
      </w:r>
      <w:r>
        <w:rPr>
          <w:rFonts w:hint="eastAsia" w:ascii="仿宋_GB2312" w:hAnsi="Calibri" w:eastAsia="仿宋_GB2312"/>
          <w:color w:val="000000" w:themeColor="text1"/>
          <w:sz w:val="32"/>
          <w:szCs w:val="32"/>
          <w14:textFill>
            <w14:solidFill>
              <w14:schemeClr w14:val="tx1"/>
            </w14:solidFill>
          </w14:textFill>
        </w:rPr>
        <w:t>本项目批准后，若项目建设性质、规模、地点、内容、采用的生产工艺或者防治污染的措施等发生重大变化应重新报批环境影响评价文件，审批后超过5年方动工建设的，应当报我局重新审核。</w:t>
      </w:r>
    </w:p>
    <w:p>
      <w:pPr>
        <w:pageBreakBefore w:val="0"/>
        <w:kinsoku/>
        <w:overflowPunct/>
        <w:topLinePunct w:val="0"/>
        <w:bidi w:val="0"/>
        <w:spacing w:line="560" w:lineRule="exact"/>
        <w:ind w:firstLine="640" w:firstLineChars="200"/>
        <w:textAlignment w:val="auto"/>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（二）排污许可要求。</w:t>
      </w:r>
      <w:r>
        <w:rPr>
          <w:rFonts w:hint="eastAsia" w:ascii="仿宋_GB2312" w:hAnsi="仿宋_GB2312" w:eastAsia="仿宋_GB2312" w:cs="仿宋_GB2312"/>
          <w:bCs/>
          <w:color w:val="000000" w:themeColor="text1"/>
          <w:sz w:val="32"/>
          <w:szCs w:val="32"/>
          <w14:textFill>
            <w14:solidFill>
              <w14:schemeClr w14:val="tx1"/>
            </w14:solidFill>
          </w14:textFill>
        </w:rPr>
        <w:t>你公司应在启动生产设施或者发生实际排污之前申请取得排污许可证或填报排污登记表。</w:t>
      </w:r>
    </w:p>
    <w:p>
      <w:pPr>
        <w:pageBreakBefore w:val="0"/>
        <w:kinsoku/>
        <w:overflowPunct/>
        <w:topLinePunct w:val="0"/>
        <w:autoSpaceDE w:val="0"/>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（三）日常环保监管。</w:t>
      </w:r>
      <w:r>
        <w:rPr>
          <w:rFonts w:hint="eastAsia" w:ascii="仿宋_GB2312" w:eastAsia="仿宋_GB2312"/>
          <w:color w:val="000000" w:themeColor="text1"/>
          <w:sz w:val="32"/>
          <w:szCs w:val="32"/>
          <w14:textFill>
            <w14:solidFill>
              <w14:schemeClr w14:val="tx1"/>
            </w14:solidFill>
          </w14:textFill>
        </w:rPr>
        <w:t>请宜春市生态环境保护综合执法支队和宜春市上高生态环境局加强对该项目的环境监管，你公司应在收到本批复后20个工作日内，将批准后的《报告书》送至宜春市上高生态环境局并按规定接受各级生态环境主管部门的监督检查。涉及项目安全等问题，以相关单位和部门编制、批准的报告文件为准。</w:t>
      </w:r>
    </w:p>
    <w:p>
      <w:pPr>
        <w:pStyle w:val="29"/>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仿宋_GB2312" w:hAnsi="仿宋_GB2312" w:eastAsia="仿宋_GB2312" w:cs="仿宋_GB2312"/>
          <w:color w:val="000000" w:themeColor="text1"/>
          <w14:textFill>
            <w14:solidFill>
              <w14:schemeClr w14:val="tx1"/>
            </w14:solidFill>
          </w14:textFill>
        </w:rPr>
      </w:pPr>
      <w:r>
        <w:rPr>
          <w:rFonts w:hint="eastAsia" w:ascii="楷体" w:hAnsi="楷体" w:eastAsia="楷体" w:cs="楷体"/>
          <w:b w:val="0"/>
          <w:bCs w:val="0"/>
          <w:color w:val="000000" w:themeColor="text1"/>
          <w:szCs w:val="32"/>
          <w14:textFill>
            <w14:solidFill>
              <w14:schemeClr w14:val="tx1"/>
            </w14:solidFill>
          </w14:textFill>
        </w:rPr>
        <w:t>（四）副产品管理要求。</w:t>
      </w:r>
      <w:r>
        <w:rPr>
          <w:rFonts w:hint="eastAsia" w:ascii="仿宋_GB2312" w:hAnsi="仿宋_GB2312" w:eastAsia="仿宋_GB2312" w:cs="仿宋_GB2312"/>
          <w:b w:val="0"/>
          <w:bCs w:val="0"/>
          <w:color w:val="000000" w:themeColor="text1"/>
          <w:szCs w:val="32"/>
          <w14:textFill>
            <w14:solidFill>
              <w14:schemeClr w14:val="tx1"/>
            </w14:solidFill>
          </w14:textFill>
        </w:rPr>
        <w:t>项目副产品应满足相应的国家或行业质量标准，且在仅作为外售企业原材料使用的条件下，方可作为副产品外售，并建立专门台账；若不满足质量标准则判定为固废，并按固废管理要求进行属性判定，按固废类别要求处置。</w:t>
      </w:r>
    </w:p>
    <w:p>
      <w:pPr>
        <w:autoSpaceDE w:val="0"/>
        <w:adjustRightInd w:val="0"/>
        <w:snapToGrid w:val="0"/>
        <w:spacing w:line="600" w:lineRule="exact"/>
        <w:ind w:firstLine="640" w:firstLineChars="200"/>
        <w:rPr>
          <w:rFonts w:ascii="仿宋_GB2312" w:hAnsi="华文仿宋" w:eastAsia="仿宋_GB2312"/>
          <w:color w:val="000000" w:themeColor="text1"/>
          <w:sz w:val="32"/>
          <w:szCs w:val="32"/>
          <w14:textFill>
            <w14:solidFill>
              <w14:schemeClr w14:val="tx1"/>
            </w14:solidFill>
          </w14:textFill>
        </w:rPr>
      </w:pPr>
    </w:p>
    <w:p>
      <w:pPr>
        <w:pStyle w:val="30"/>
        <w:rPr>
          <w:rFonts w:hint="default" w:ascii="仿宋_GB2312" w:hAnsi="华文仿宋"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right="840" w:rightChars="400"/>
        <w:jc w:val="right"/>
        <w:textAlignment w:val="auto"/>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宜春市生态环境局</w:t>
      </w:r>
    </w:p>
    <w:p>
      <w:pPr>
        <w:keepNext w:val="0"/>
        <w:keepLines w:val="0"/>
        <w:pageBreakBefore w:val="0"/>
        <w:widowControl w:val="0"/>
        <w:tabs>
          <w:tab w:val="left" w:pos="7513"/>
          <w:tab w:val="left" w:pos="7655"/>
          <w:tab w:val="left" w:pos="7797"/>
        </w:tabs>
        <w:kinsoku/>
        <w:wordWrap/>
        <w:overflowPunct/>
        <w:topLinePunct w:val="0"/>
        <w:autoSpaceDE/>
        <w:autoSpaceDN/>
        <w:bidi w:val="0"/>
        <w:adjustRightInd w:val="0"/>
        <w:snapToGrid w:val="0"/>
        <w:spacing w:line="580" w:lineRule="exact"/>
        <w:ind w:right="840" w:rightChars="400"/>
        <w:jc w:val="righ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27</w:t>
      </w:r>
      <w:r>
        <w:rPr>
          <w:rFonts w:hint="eastAsia" w:ascii="仿宋_GB2312" w:eastAsia="仿宋_GB2312"/>
          <w:color w:val="000000" w:themeColor="text1"/>
          <w:sz w:val="32"/>
          <w:szCs w:val="32"/>
          <w14:textFill>
            <w14:solidFill>
              <w14:schemeClr w14:val="tx1"/>
            </w14:solidFill>
          </w14:textFill>
        </w:rPr>
        <w:t>日</w:t>
      </w:r>
    </w:p>
    <w:p>
      <w:pPr>
        <w:adjustRightInd w:val="0"/>
        <w:snapToGrid w:val="0"/>
        <w:spacing w:line="580" w:lineRule="exact"/>
        <w:rPr>
          <w:rFonts w:hint="eastAsia" w:ascii="仿宋_GB2312" w:hAnsi="华文仿宋" w:eastAsia="仿宋_GB2312"/>
          <w:color w:val="000000" w:themeColor="text1"/>
          <w:sz w:val="32"/>
          <w:szCs w:val="32"/>
          <w14:textFill>
            <w14:solidFill>
              <w14:schemeClr w14:val="tx1"/>
            </w14:solidFill>
          </w14:textFill>
        </w:rPr>
      </w:pPr>
    </w:p>
    <w:p>
      <w:pPr>
        <w:adjustRightInd w:val="0"/>
        <w:snapToGrid w:val="0"/>
        <w:spacing w:line="580" w:lineRule="exact"/>
        <w:rPr>
          <w:rFonts w:hint="eastAsia"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（此件主动公开）</w:t>
      </w:r>
    </w:p>
    <w:p>
      <w:pPr>
        <w:spacing w:line="140" w:lineRule="exact"/>
        <w:rPr>
          <w:rFonts w:hint="eastAsia" w:ascii="仿宋_GB2312" w:eastAsia="仿宋_GB2312"/>
          <w:color w:val="000000" w:themeColor="text1"/>
          <w:sz w:val="28"/>
          <w:szCs w:val="32"/>
          <w:u w:val="single"/>
          <w14:textFill>
            <w14:solidFill>
              <w14:schemeClr w14:val="tx1"/>
            </w14:solidFill>
          </w14:textFill>
        </w:rPr>
      </w:pPr>
    </w:p>
    <w:p>
      <w:pPr>
        <w:spacing w:line="140" w:lineRule="exact"/>
        <w:rPr>
          <w:rFonts w:hint="eastAsia" w:ascii="仿宋_GB2312" w:eastAsia="仿宋_GB2312"/>
          <w:color w:val="000000" w:themeColor="text1"/>
          <w:sz w:val="28"/>
          <w:szCs w:val="32"/>
          <w:u w:val="single"/>
          <w14:textFill>
            <w14:solidFill>
              <w14:schemeClr w14:val="tx1"/>
            </w14:solidFill>
          </w14:textFill>
        </w:rPr>
      </w:pPr>
    </w:p>
    <w:p>
      <w:pPr>
        <w:spacing w:line="140" w:lineRule="exact"/>
        <w:rPr>
          <w:rFonts w:hint="eastAsia" w:ascii="仿宋_GB2312" w:eastAsia="仿宋_GB2312"/>
          <w:color w:val="000000" w:themeColor="text1"/>
          <w:sz w:val="28"/>
          <w:szCs w:val="32"/>
          <w:u w:val="single"/>
          <w14:textFill>
            <w14:solidFill>
              <w14:schemeClr w14:val="tx1"/>
            </w14:solidFill>
          </w14:textFill>
        </w:rPr>
      </w:pPr>
    </w:p>
    <w:p>
      <w:pPr>
        <w:spacing w:line="1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28"/>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95" w:beforeLines="30" w:line="460" w:lineRule="exact"/>
        <w:ind w:left="1050" w:leftChars="100" w:right="210" w:rightChars="100" w:hanging="840" w:hangingChars="300"/>
        <w:textAlignment w:val="auto"/>
        <w:rPr>
          <w:rFonts w:ascii="仿宋_GB2312" w:hAnsi="仿宋_GB2312" w:eastAsia="仿宋_GB2312"/>
          <w:b w:val="0"/>
          <w:bCs/>
          <w:color w:val="000000" w:themeColor="text1"/>
          <w:spacing w:val="-6"/>
          <w:sz w:val="28"/>
          <w:szCs w:val="32"/>
          <w14:textFill>
            <w14:solidFill>
              <w14:schemeClr w14:val="tx1"/>
            </w14:solidFill>
          </w14:textFill>
        </w:rPr>
      </w:pPr>
      <w:r>
        <w:rPr>
          <w:rFonts w:hint="eastAsia" w:ascii="仿宋_GB2312" w:hAnsi="宋体" w:eastAsia="仿宋_GB2312"/>
          <w:b w:val="0"/>
          <w:bCs/>
          <w:color w:val="000000" w:themeColor="text1"/>
          <w:sz w:val="28"/>
          <w:szCs w:val="32"/>
          <w14:textFill>
            <w14:solidFill>
              <w14:schemeClr w14:val="tx1"/>
            </w14:solidFill>
          </w14:textFill>
        </w:rPr>
        <w:t xml:space="preserve">抄送: </w:t>
      </w:r>
      <w:r>
        <w:rPr>
          <w:rFonts w:hint="eastAsia" w:ascii="仿宋_GB2312" w:hAnsi="宋体" w:eastAsia="仿宋_GB2312"/>
          <w:bCs/>
          <w:color w:val="000000" w:themeColor="text1"/>
          <w:sz w:val="28"/>
          <w:szCs w:val="32"/>
          <w14:textFill>
            <w14:solidFill>
              <w14:schemeClr w14:val="tx1"/>
            </w14:solidFill>
          </w14:textFill>
        </w:rPr>
        <w:t>市自然资源局，上高县人民政府，宜春市上高生态环境局</w:t>
      </w:r>
      <w:r>
        <w:rPr>
          <w:rFonts w:hint="eastAsia" w:ascii="仿宋_GB2312" w:hAnsi="华文仿宋" w:eastAsia="仿宋_GB2312"/>
          <w:color w:val="000000" w:themeColor="text1"/>
          <w:spacing w:val="-6"/>
          <w:sz w:val="28"/>
          <w:szCs w:val="32"/>
          <w14:textFill>
            <w14:solidFill>
              <w14:schemeClr w14:val="tx1"/>
            </w14:solidFill>
          </w14:textFill>
        </w:rPr>
        <w:t>，局相关科室，市综合执法支</w:t>
      </w:r>
      <w:r>
        <w:rPr>
          <w:rFonts w:hint="eastAsia" w:ascii="仿宋_GB2312" w:hAnsi="宋体" w:eastAsia="仿宋_GB2312"/>
          <w:bCs/>
          <w:color w:val="000000" w:themeColor="text1"/>
          <w:sz w:val="28"/>
          <w:szCs w:val="32"/>
          <w14:textFill>
            <w14:solidFill>
              <w14:schemeClr w14:val="tx1"/>
            </w14:solidFill>
          </w14:textFill>
        </w:rPr>
        <w:t>队，市环境工程评估中心，江西兴晟生态环境有限公司</w:t>
      </w:r>
      <w:r>
        <w:rPr>
          <w:rFonts w:hint="eastAsia" w:ascii="仿宋_GB2312" w:hAnsi="宋体" w:eastAsia="仿宋_GB2312" w:cs="Times New Roman"/>
          <w:b w:val="0"/>
          <w:bCs/>
          <w:color w:val="000000" w:themeColor="text1"/>
          <w:sz w:val="28"/>
          <w:szCs w:val="32"/>
          <w:lang w:val="en-US" w:eastAsia="zh-CN"/>
          <w14:textFill>
            <w14:solidFill>
              <w14:schemeClr w14:val="tx1"/>
            </w14:solidFill>
          </w14:textFill>
        </w:rPr>
        <w:t>。　</w:t>
      </w:r>
    </w:p>
    <w:p>
      <w:pPr>
        <w:spacing w:line="140" w:lineRule="exact"/>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28"/>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95" w:beforeLines="30" w:line="460" w:lineRule="exact"/>
        <w:ind w:left="1050" w:leftChars="100" w:right="210" w:rightChars="100" w:hanging="840" w:hangingChars="300"/>
        <w:textAlignment w:val="auto"/>
        <w:rPr>
          <w:rFonts w:hint="eastAsia" w:ascii="仿宋_GB2312" w:hAnsi="宋体" w:eastAsia="仿宋_GB2312"/>
          <w:b w:val="0"/>
          <w:bCs/>
          <w:color w:val="000000" w:themeColor="text1"/>
          <w:sz w:val="28"/>
          <w:szCs w:val="32"/>
          <w14:textFill>
            <w14:solidFill>
              <w14:schemeClr w14:val="tx1"/>
            </w14:solidFill>
          </w14:textFill>
        </w:rPr>
      </w:pPr>
      <w:r>
        <w:rPr>
          <w:rFonts w:hint="eastAsia" w:ascii="仿宋_GB2312" w:hAnsi="宋体" w:eastAsia="仿宋_GB2312"/>
          <w:b w:val="0"/>
          <w:bCs/>
          <w:color w:val="000000" w:themeColor="text1"/>
          <w:sz w:val="28"/>
          <w:szCs w:val="32"/>
          <w14:textFill>
            <w14:solidFill>
              <w14:schemeClr w14:val="tx1"/>
            </w14:solidFill>
          </w14:textFill>
        </w:rPr>
        <w:t>宜春市生态环境局秘书科</w:t>
      </w:r>
      <w:r>
        <w:rPr>
          <w:rFonts w:hint="eastAsia" w:ascii="仿宋_GB2312" w:hAnsi="宋体" w:eastAsia="仿宋_GB2312"/>
          <w:b w:val="0"/>
          <w:bCs/>
          <w:color w:val="000000" w:themeColor="text1"/>
          <w:sz w:val="28"/>
          <w:szCs w:val="32"/>
          <w:lang w:val="en-US" w:eastAsia="zh-CN"/>
          <w14:textFill>
            <w14:solidFill>
              <w14:schemeClr w14:val="tx1"/>
            </w14:solidFill>
          </w14:textFill>
        </w:rPr>
        <w:t xml:space="preserve"> </w:t>
      </w:r>
      <w:r>
        <w:rPr>
          <w:rFonts w:hint="eastAsia" w:ascii="仿宋_GB2312" w:hAnsi="宋体" w:eastAsia="仿宋_GB2312"/>
          <w:b w:val="0"/>
          <w:bCs/>
          <w:color w:val="000000" w:themeColor="text1"/>
          <w:sz w:val="28"/>
          <w:szCs w:val="32"/>
          <w14:textFill>
            <w14:solidFill>
              <w14:schemeClr w14:val="tx1"/>
            </w14:solidFill>
          </w14:textFill>
        </w:rPr>
        <w:t xml:space="preserve">　 　  </w:t>
      </w:r>
      <w:r>
        <w:rPr>
          <w:rFonts w:hint="eastAsia" w:ascii="仿宋_GB2312" w:hAnsi="宋体" w:eastAsia="仿宋_GB2312"/>
          <w:b w:val="0"/>
          <w:bCs/>
          <w:color w:val="000000" w:themeColor="text1"/>
          <w:sz w:val="28"/>
          <w:szCs w:val="32"/>
          <w:lang w:val="en-US" w:eastAsia="zh-CN"/>
          <w14:textFill>
            <w14:solidFill>
              <w14:schemeClr w14:val="tx1"/>
            </w14:solidFill>
          </w14:textFill>
        </w:rPr>
        <w:t xml:space="preserve"> </w:t>
      </w:r>
      <w:r>
        <w:rPr>
          <w:rFonts w:hint="eastAsia" w:ascii="仿宋_GB2312" w:hAnsi="宋体" w:eastAsia="仿宋_GB2312"/>
          <w:b w:val="0"/>
          <w:bCs/>
          <w:color w:val="000000" w:themeColor="text1"/>
          <w:sz w:val="28"/>
          <w:szCs w:val="32"/>
          <w14:textFill>
            <w14:solidFill>
              <w14:schemeClr w14:val="tx1"/>
            </w14:solidFill>
          </w14:textFill>
        </w:rPr>
        <w:t xml:space="preserve">     　 202</w:t>
      </w:r>
      <w:r>
        <w:rPr>
          <w:rFonts w:hint="eastAsia" w:ascii="仿宋_GB2312" w:hAnsi="宋体" w:eastAsia="仿宋_GB2312"/>
          <w:b w:val="0"/>
          <w:bCs/>
          <w:color w:val="000000" w:themeColor="text1"/>
          <w:sz w:val="28"/>
          <w:szCs w:val="32"/>
          <w:lang w:val="en-US" w:eastAsia="zh-CN"/>
          <w14:textFill>
            <w14:solidFill>
              <w14:schemeClr w14:val="tx1"/>
            </w14:solidFill>
          </w14:textFill>
        </w:rPr>
        <w:t>3</w:t>
      </w:r>
      <w:r>
        <w:rPr>
          <w:rFonts w:hint="eastAsia" w:ascii="仿宋_GB2312" w:hAnsi="宋体" w:eastAsia="仿宋_GB2312"/>
          <w:b w:val="0"/>
          <w:bCs/>
          <w:color w:val="000000" w:themeColor="text1"/>
          <w:sz w:val="28"/>
          <w:szCs w:val="32"/>
          <w14:textFill>
            <w14:solidFill>
              <w14:schemeClr w14:val="tx1"/>
            </w14:solidFill>
          </w14:textFill>
        </w:rPr>
        <w:t>年</w:t>
      </w:r>
      <w:r>
        <w:rPr>
          <w:rFonts w:hint="eastAsia" w:ascii="仿宋_GB2312" w:hAnsi="宋体" w:eastAsia="仿宋_GB2312"/>
          <w:b w:val="0"/>
          <w:bCs/>
          <w:color w:val="000000" w:themeColor="text1"/>
          <w:sz w:val="28"/>
          <w:szCs w:val="32"/>
          <w:lang w:val="en-US" w:eastAsia="zh-CN"/>
          <w14:textFill>
            <w14:solidFill>
              <w14:schemeClr w14:val="tx1"/>
            </w14:solidFill>
          </w14:textFill>
        </w:rPr>
        <w:t>3</w:t>
      </w:r>
      <w:r>
        <w:rPr>
          <w:rFonts w:hint="eastAsia" w:ascii="仿宋_GB2312" w:hAnsi="宋体" w:eastAsia="仿宋_GB2312"/>
          <w:b w:val="0"/>
          <w:bCs/>
          <w:color w:val="000000" w:themeColor="text1"/>
          <w:sz w:val="28"/>
          <w:szCs w:val="32"/>
          <w14:textFill>
            <w14:solidFill>
              <w14:schemeClr w14:val="tx1"/>
            </w14:solidFill>
          </w14:textFill>
        </w:rPr>
        <w:t>月</w:t>
      </w:r>
      <w:r>
        <w:rPr>
          <w:rFonts w:hint="eastAsia" w:ascii="仿宋_GB2312" w:hAnsi="宋体" w:eastAsia="仿宋_GB2312"/>
          <w:b w:val="0"/>
          <w:bCs/>
          <w:color w:val="000000" w:themeColor="text1"/>
          <w:sz w:val="28"/>
          <w:szCs w:val="32"/>
          <w:lang w:val="en-US" w:eastAsia="zh-CN"/>
          <w14:textFill>
            <w14:solidFill>
              <w14:schemeClr w14:val="tx1"/>
            </w14:solidFill>
          </w14:textFill>
        </w:rPr>
        <w:t>27</w:t>
      </w:r>
      <w:r>
        <w:rPr>
          <w:rFonts w:hint="eastAsia" w:ascii="仿宋_GB2312" w:hAnsi="宋体" w:eastAsia="仿宋_GB2312"/>
          <w:b w:val="0"/>
          <w:bCs/>
          <w:color w:val="000000" w:themeColor="text1"/>
          <w:sz w:val="28"/>
          <w:szCs w:val="32"/>
          <w14:textFill>
            <w14:solidFill>
              <w14:schemeClr w14:val="tx1"/>
            </w14:solidFill>
          </w14:textFill>
        </w:rPr>
        <w:t>日印发</w:t>
      </w:r>
    </w:p>
    <w:p>
      <w:pPr>
        <w:spacing w:line="14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28"/>
          <w:szCs w:val="32"/>
          <w:u w:val="single"/>
          <w14:textFill>
            <w14:solidFill>
              <w14:schemeClr w14:val="tx1"/>
            </w14:solidFill>
          </w14:textFill>
        </w:rPr>
        <w:t xml:space="preserve">                                                  　　          </w:t>
      </w:r>
    </w:p>
    <w:sectPr>
      <w:headerReference r:id="rId3" w:type="default"/>
      <w:footerReference r:id="rId4" w:type="default"/>
      <w:footerReference r:id="rId5" w:type="even"/>
      <w:pgSz w:w="11850" w:h="16784"/>
      <w:pgMar w:top="2098" w:right="1587" w:bottom="1984" w:left="1587" w:header="851" w:footer="1701" w:gutter="0"/>
      <w:pgNumType w:fmt="decimal"/>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roman"/>
    <w:pitch w:val="default"/>
    <w:sig w:usb0="00000000" w:usb1="00000000" w:usb2="00000009" w:usb3="00000000" w:csb0="400001FF" w:csb1="FFFF0000"/>
  </w:font>
  <w:font w:name="宋体">
    <w:panose1 w:val="02010600030101010101"/>
    <w:charset w:val="88"/>
    <w:family w:val="modern"/>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MingLiU">
    <w:altName w:val="宋体"/>
    <w:panose1 w:val="02010609000101010101"/>
    <w:charset w:val="88"/>
    <w:family w:val="modern"/>
    <w:pitch w:val="default"/>
    <w:sig w:usb0="00000000" w:usb1="00000000" w:usb2="00000010" w:usb3="00000000" w:csb0="00100000"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汉仪仿宋简">
    <w:panose1 w:val="02010600000101010101"/>
    <w:charset w:val="86"/>
    <w:family w:val="auto"/>
    <w:pitch w:val="default"/>
    <w:sig w:usb0="00000001" w:usb1="080E0800" w:usb2="00000002"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6</w:t>
    </w:r>
    <w:r>
      <w:rPr>
        <w:rFonts w:hint="eastAsia" w:ascii="仿宋_GB2312" w:eastAsia="仿宋_GB2312"/>
        <w:sz w:val="28"/>
        <w:szCs w:val="28"/>
      </w:rPr>
      <w:fldChar w:fldCharType="end"/>
    </w:r>
    <w:r>
      <w:rPr>
        <w:rFonts w:hint="eastAsia" w:ascii="仿宋_GB2312" w:eastAsia="仿宋_GB2312"/>
        <w:sz w:val="28"/>
        <w:szCs w:val="28"/>
      </w:rPr>
      <w:t>－</w: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8119E"/>
    <w:multiLevelType w:val="singleLevel"/>
    <w:tmpl w:val="9628119E"/>
    <w:lvl w:ilvl="0" w:tentative="0">
      <w:start w:val="10"/>
      <w:numFmt w:val="chineseCounting"/>
      <w:suff w:val="nothing"/>
      <w:lvlText w:val="（%1）"/>
      <w:lvlJc w:val="left"/>
      <w:rPr>
        <w:rFonts w:hint="eastAsia"/>
      </w:rPr>
    </w:lvl>
  </w:abstractNum>
  <w:abstractNum w:abstractNumId="1">
    <w:nsid w:val="C14E56E8"/>
    <w:multiLevelType w:val="singleLevel"/>
    <w:tmpl w:val="C14E56E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7"/>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79"/>
    <w:rsid w:val="00000F2D"/>
    <w:rsid w:val="00001154"/>
    <w:rsid w:val="000031C6"/>
    <w:rsid w:val="0000381E"/>
    <w:rsid w:val="000058F4"/>
    <w:rsid w:val="00010CD8"/>
    <w:rsid w:val="00011F3E"/>
    <w:rsid w:val="00011FCD"/>
    <w:rsid w:val="00012B3E"/>
    <w:rsid w:val="00012C93"/>
    <w:rsid w:val="000151C5"/>
    <w:rsid w:val="00015374"/>
    <w:rsid w:val="000167D7"/>
    <w:rsid w:val="00020363"/>
    <w:rsid w:val="000207B8"/>
    <w:rsid w:val="000218B9"/>
    <w:rsid w:val="00021C97"/>
    <w:rsid w:val="000226CC"/>
    <w:rsid w:val="00022C60"/>
    <w:rsid w:val="000232EA"/>
    <w:rsid w:val="00024C28"/>
    <w:rsid w:val="00026741"/>
    <w:rsid w:val="000305B9"/>
    <w:rsid w:val="00032125"/>
    <w:rsid w:val="00033299"/>
    <w:rsid w:val="0003353A"/>
    <w:rsid w:val="00040903"/>
    <w:rsid w:val="000411C9"/>
    <w:rsid w:val="0004280C"/>
    <w:rsid w:val="000430A5"/>
    <w:rsid w:val="0004356E"/>
    <w:rsid w:val="00045C8B"/>
    <w:rsid w:val="00047B50"/>
    <w:rsid w:val="000511E7"/>
    <w:rsid w:val="00051284"/>
    <w:rsid w:val="00052133"/>
    <w:rsid w:val="00054969"/>
    <w:rsid w:val="000550E9"/>
    <w:rsid w:val="00055D48"/>
    <w:rsid w:val="00060975"/>
    <w:rsid w:val="00063879"/>
    <w:rsid w:val="0006658D"/>
    <w:rsid w:val="00067E98"/>
    <w:rsid w:val="00074072"/>
    <w:rsid w:val="00074222"/>
    <w:rsid w:val="00075ED7"/>
    <w:rsid w:val="00076D6F"/>
    <w:rsid w:val="00081933"/>
    <w:rsid w:val="00081D76"/>
    <w:rsid w:val="00082A90"/>
    <w:rsid w:val="00084DFD"/>
    <w:rsid w:val="000858A5"/>
    <w:rsid w:val="00087BCC"/>
    <w:rsid w:val="00092017"/>
    <w:rsid w:val="000A0F71"/>
    <w:rsid w:val="000A16DC"/>
    <w:rsid w:val="000A1C23"/>
    <w:rsid w:val="000A226A"/>
    <w:rsid w:val="000A22B3"/>
    <w:rsid w:val="000A239D"/>
    <w:rsid w:val="000A7610"/>
    <w:rsid w:val="000B1454"/>
    <w:rsid w:val="000B48D1"/>
    <w:rsid w:val="000B6078"/>
    <w:rsid w:val="000B672E"/>
    <w:rsid w:val="000B6A0C"/>
    <w:rsid w:val="000C064E"/>
    <w:rsid w:val="000C09EC"/>
    <w:rsid w:val="000C12E9"/>
    <w:rsid w:val="000C1B03"/>
    <w:rsid w:val="000C2697"/>
    <w:rsid w:val="000C5AA8"/>
    <w:rsid w:val="000D0614"/>
    <w:rsid w:val="000D3252"/>
    <w:rsid w:val="000D5456"/>
    <w:rsid w:val="000D64FA"/>
    <w:rsid w:val="000D77AE"/>
    <w:rsid w:val="000E003D"/>
    <w:rsid w:val="000E17E3"/>
    <w:rsid w:val="000E32A3"/>
    <w:rsid w:val="000E56C1"/>
    <w:rsid w:val="000F26E0"/>
    <w:rsid w:val="000F27D5"/>
    <w:rsid w:val="000F3A8F"/>
    <w:rsid w:val="000F55A1"/>
    <w:rsid w:val="000F6A51"/>
    <w:rsid w:val="000F74AF"/>
    <w:rsid w:val="00101A5A"/>
    <w:rsid w:val="00102B87"/>
    <w:rsid w:val="0010397B"/>
    <w:rsid w:val="001054FF"/>
    <w:rsid w:val="00105B6E"/>
    <w:rsid w:val="0011066D"/>
    <w:rsid w:val="0011201C"/>
    <w:rsid w:val="00117732"/>
    <w:rsid w:val="00117F93"/>
    <w:rsid w:val="001204D6"/>
    <w:rsid w:val="00121744"/>
    <w:rsid w:val="00124E9E"/>
    <w:rsid w:val="00125A75"/>
    <w:rsid w:val="001275B5"/>
    <w:rsid w:val="00132083"/>
    <w:rsid w:val="00133049"/>
    <w:rsid w:val="0013472F"/>
    <w:rsid w:val="00136AC0"/>
    <w:rsid w:val="00136B1C"/>
    <w:rsid w:val="00137999"/>
    <w:rsid w:val="001408BD"/>
    <w:rsid w:val="00141159"/>
    <w:rsid w:val="00143265"/>
    <w:rsid w:val="00146D47"/>
    <w:rsid w:val="00147F35"/>
    <w:rsid w:val="001517EE"/>
    <w:rsid w:val="00155926"/>
    <w:rsid w:val="00155DB3"/>
    <w:rsid w:val="001577E5"/>
    <w:rsid w:val="00157CB1"/>
    <w:rsid w:val="0016086F"/>
    <w:rsid w:val="001610AB"/>
    <w:rsid w:val="001647E4"/>
    <w:rsid w:val="001678DC"/>
    <w:rsid w:val="00170AE5"/>
    <w:rsid w:val="0017101C"/>
    <w:rsid w:val="00172DC4"/>
    <w:rsid w:val="00173883"/>
    <w:rsid w:val="001776F1"/>
    <w:rsid w:val="0017780A"/>
    <w:rsid w:val="00182746"/>
    <w:rsid w:val="0018330B"/>
    <w:rsid w:val="0018714E"/>
    <w:rsid w:val="0019312D"/>
    <w:rsid w:val="00195A3E"/>
    <w:rsid w:val="0019701F"/>
    <w:rsid w:val="001A0DDE"/>
    <w:rsid w:val="001A6FAD"/>
    <w:rsid w:val="001A78D1"/>
    <w:rsid w:val="001A7C8C"/>
    <w:rsid w:val="001B021F"/>
    <w:rsid w:val="001B1153"/>
    <w:rsid w:val="001B141D"/>
    <w:rsid w:val="001B19F7"/>
    <w:rsid w:val="001B23F9"/>
    <w:rsid w:val="001B2921"/>
    <w:rsid w:val="001B2CF1"/>
    <w:rsid w:val="001B40AD"/>
    <w:rsid w:val="001B56FF"/>
    <w:rsid w:val="001B6605"/>
    <w:rsid w:val="001B7FCE"/>
    <w:rsid w:val="001C2838"/>
    <w:rsid w:val="001C2DF7"/>
    <w:rsid w:val="001C44F1"/>
    <w:rsid w:val="001C53E0"/>
    <w:rsid w:val="001D1A10"/>
    <w:rsid w:val="001D230A"/>
    <w:rsid w:val="001D3ECB"/>
    <w:rsid w:val="001D4871"/>
    <w:rsid w:val="001D5A6F"/>
    <w:rsid w:val="001D6893"/>
    <w:rsid w:val="001D7389"/>
    <w:rsid w:val="001E46D6"/>
    <w:rsid w:val="001E4775"/>
    <w:rsid w:val="001E4CAA"/>
    <w:rsid w:val="001E4EB2"/>
    <w:rsid w:val="001F148F"/>
    <w:rsid w:val="001F158F"/>
    <w:rsid w:val="001F1BFB"/>
    <w:rsid w:val="001F1E3D"/>
    <w:rsid w:val="001F4307"/>
    <w:rsid w:val="001F46E5"/>
    <w:rsid w:val="001F7EF0"/>
    <w:rsid w:val="00201217"/>
    <w:rsid w:val="002018D9"/>
    <w:rsid w:val="0020780A"/>
    <w:rsid w:val="00210376"/>
    <w:rsid w:val="002109DC"/>
    <w:rsid w:val="00211814"/>
    <w:rsid w:val="00211A17"/>
    <w:rsid w:val="00212F7F"/>
    <w:rsid w:val="002140A2"/>
    <w:rsid w:val="002142A8"/>
    <w:rsid w:val="00214C25"/>
    <w:rsid w:val="00220A01"/>
    <w:rsid w:val="00220EF4"/>
    <w:rsid w:val="002236FF"/>
    <w:rsid w:val="00225445"/>
    <w:rsid w:val="002256C1"/>
    <w:rsid w:val="002278EF"/>
    <w:rsid w:val="002313A5"/>
    <w:rsid w:val="00233BC7"/>
    <w:rsid w:val="00235489"/>
    <w:rsid w:val="0023588C"/>
    <w:rsid w:val="002367E3"/>
    <w:rsid w:val="00237395"/>
    <w:rsid w:val="00237D3F"/>
    <w:rsid w:val="00242EEE"/>
    <w:rsid w:val="0024323F"/>
    <w:rsid w:val="00244C0E"/>
    <w:rsid w:val="00246FB3"/>
    <w:rsid w:val="00251026"/>
    <w:rsid w:val="0025516F"/>
    <w:rsid w:val="002554E2"/>
    <w:rsid w:val="00260802"/>
    <w:rsid w:val="00262BED"/>
    <w:rsid w:val="00262EF5"/>
    <w:rsid w:val="00263F62"/>
    <w:rsid w:val="00264183"/>
    <w:rsid w:val="002664F3"/>
    <w:rsid w:val="00267817"/>
    <w:rsid w:val="0027137D"/>
    <w:rsid w:val="00272BC2"/>
    <w:rsid w:val="0027413E"/>
    <w:rsid w:val="00277A6A"/>
    <w:rsid w:val="00282633"/>
    <w:rsid w:val="00283B6D"/>
    <w:rsid w:val="00284A03"/>
    <w:rsid w:val="002854AA"/>
    <w:rsid w:val="00285814"/>
    <w:rsid w:val="00287013"/>
    <w:rsid w:val="00290310"/>
    <w:rsid w:val="00290DB7"/>
    <w:rsid w:val="002933BA"/>
    <w:rsid w:val="00294023"/>
    <w:rsid w:val="002967FF"/>
    <w:rsid w:val="002971F9"/>
    <w:rsid w:val="002A037D"/>
    <w:rsid w:val="002A500E"/>
    <w:rsid w:val="002A55D4"/>
    <w:rsid w:val="002A5D03"/>
    <w:rsid w:val="002A70B5"/>
    <w:rsid w:val="002A7164"/>
    <w:rsid w:val="002A7801"/>
    <w:rsid w:val="002A7AEA"/>
    <w:rsid w:val="002B17B7"/>
    <w:rsid w:val="002B1EF3"/>
    <w:rsid w:val="002B2C04"/>
    <w:rsid w:val="002B3442"/>
    <w:rsid w:val="002B3CC0"/>
    <w:rsid w:val="002B6BD1"/>
    <w:rsid w:val="002C06B8"/>
    <w:rsid w:val="002C388A"/>
    <w:rsid w:val="002C72A5"/>
    <w:rsid w:val="002D1ED2"/>
    <w:rsid w:val="002D2263"/>
    <w:rsid w:val="002D4EE8"/>
    <w:rsid w:val="002D5226"/>
    <w:rsid w:val="002D61FA"/>
    <w:rsid w:val="002D7747"/>
    <w:rsid w:val="002E0167"/>
    <w:rsid w:val="002E12A6"/>
    <w:rsid w:val="002E1B26"/>
    <w:rsid w:val="002E2F94"/>
    <w:rsid w:val="002E3EA8"/>
    <w:rsid w:val="002E5CD3"/>
    <w:rsid w:val="002F0B7A"/>
    <w:rsid w:val="002F3F91"/>
    <w:rsid w:val="002F5431"/>
    <w:rsid w:val="00301AAE"/>
    <w:rsid w:val="003025FE"/>
    <w:rsid w:val="00304406"/>
    <w:rsid w:val="0030590A"/>
    <w:rsid w:val="003068B1"/>
    <w:rsid w:val="003132CB"/>
    <w:rsid w:val="00316C43"/>
    <w:rsid w:val="00322348"/>
    <w:rsid w:val="003229D8"/>
    <w:rsid w:val="003238EC"/>
    <w:rsid w:val="00324082"/>
    <w:rsid w:val="003254DA"/>
    <w:rsid w:val="0032627D"/>
    <w:rsid w:val="0032656F"/>
    <w:rsid w:val="003265CB"/>
    <w:rsid w:val="00330CF1"/>
    <w:rsid w:val="00331F86"/>
    <w:rsid w:val="003320D5"/>
    <w:rsid w:val="003326E6"/>
    <w:rsid w:val="00333484"/>
    <w:rsid w:val="003336EF"/>
    <w:rsid w:val="00334BB8"/>
    <w:rsid w:val="003373BD"/>
    <w:rsid w:val="003412F7"/>
    <w:rsid w:val="003414D2"/>
    <w:rsid w:val="00344BD9"/>
    <w:rsid w:val="003450F4"/>
    <w:rsid w:val="003529CD"/>
    <w:rsid w:val="003537E4"/>
    <w:rsid w:val="00354E01"/>
    <w:rsid w:val="0036274E"/>
    <w:rsid w:val="00363DD0"/>
    <w:rsid w:val="00364B61"/>
    <w:rsid w:val="00365412"/>
    <w:rsid w:val="00371557"/>
    <w:rsid w:val="003724A0"/>
    <w:rsid w:val="00376151"/>
    <w:rsid w:val="00376BD2"/>
    <w:rsid w:val="00382D29"/>
    <w:rsid w:val="00383B61"/>
    <w:rsid w:val="003858F0"/>
    <w:rsid w:val="00393DBD"/>
    <w:rsid w:val="0039478C"/>
    <w:rsid w:val="00394B83"/>
    <w:rsid w:val="003955AC"/>
    <w:rsid w:val="003972A6"/>
    <w:rsid w:val="003A0FEF"/>
    <w:rsid w:val="003A2A97"/>
    <w:rsid w:val="003A35A0"/>
    <w:rsid w:val="003A47FC"/>
    <w:rsid w:val="003A6F1A"/>
    <w:rsid w:val="003B13EE"/>
    <w:rsid w:val="003B1B83"/>
    <w:rsid w:val="003B4FB2"/>
    <w:rsid w:val="003B7DB2"/>
    <w:rsid w:val="003C00B0"/>
    <w:rsid w:val="003C212C"/>
    <w:rsid w:val="003C2EF4"/>
    <w:rsid w:val="003C6E65"/>
    <w:rsid w:val="003D21D9"/>
    <w:rsid w:val="003D40C4"/>
    <w:rsid w:val="003D5AA6"/>
    <w:rsid w:val="003D6B0A"/>
    <w:rsid w:val="003E0325"/>
    <w:rsid w:val="003E1024"/>
    <w:rsid w:val="003E21F2"/>
    <w:rsid w:val="003E3A64"/>
    <w:rsid w:val="003E3BF7"/>
    <w:rsid w:val="003E41BA"/>
    <w:rsid w:val="003E60EB"/>
    <w:rsid w:val="003E682A"/>
    <w:rsid w:val="003E7D60"/>
    <w:rsid w:val="003F2199"/>
    <w:rsid w:val="003F3C12"/>
    <w:rsid w:val="003F43F0"/>
    <w:rsid w:val="003F582A"/>
    <w:rsid w:val="003F7F15"/>
    <w:rsid w:val="00401A1B"/>
    <w:rsid w:val="0040209F"/>
    <w:rsid w:val="00403269"/>
    <w:rsid w:val="00403F79"/>
    <w:rsid w:val="00404F18"/>
    <w:rsid w:val="004072FC"/>
    <w:rsid w:val="0041118D"/>
    <w:rsid w:val="0041207B"/>
    <w:rsid w:val="00412239"/>
    <w:rsid w:val="0041290A"/>
    <w:rsid w:val="00414DE1"/>
    <w:rsid w:val="00415469"/>
    <w:rsid w:val="00415FD3"/>
    <w:rsid w:val="00420603"/>
    <w:rsid w:val="00421A98"/>
    <w:rsid w:val="004226B3"/>
    <w:rsid w:val="00423A2A"/>
    <w:rsid w:val="00425D20"/>
    <w:rsid w:val="00425F8F"/>
    <w:rsid w:val="004269DF"/>
    <w:rsid w:val="00430E6D"/>
    <w:rsid w:val="00430E94"/>
    <w:rsid w:val="004341C5"/>
    <w:rsid w:val="004367E1"/>
    <w:rsid w:val="00437FD7"/>
    <w:rsid w:val="004402E2"/>
    <w:rsid w:val="00441447"/>
    <w:rsid w:val="00442389"/>
    <w:rsid w:val="0044313B"/>
    <w:rsid w:val="00444B54"/>
    <w:rsid w:val="0044681B"/>
    <w:rsid w:val="00447720"/>
    <w:rsid w:val="00454AF4"/>
    <w:rsid w:val="00454E85"/>
    <w:rsid w:val="00455C74"/>
    <w:rsid w:val="004573B2"/>
    <w:rsid w:val="004626A7"/>
    <w:rsid w:val="00462C97"/>
    <w:rsid w:val="00465E93"/>
    <w:rsid w:val="00466E55"/>
    <w:rsid w:val="004704A8"/>
    <w:rsid w:val="00470599"/>
    <w:rsid w:val="00470C28"/>
    <w:rsid w:val="00471091"/>
    <w:rsid w:val="00473DA8"/>
    <w:rsid w:val="004740D3"/>
    <w:rsid w:val="00477A97"/>
    <w:rsid w:val="004821A9"/>
    <w:rsid w:val="00482FE7"/>
    <w:rsid w:val="00483D41"/>
    <w:rsid w:val="00483FCE"/>
    <w:rsid w:val="00483FE1"/>
    <w:rsid w:val="00487AA3"/>
    <w:rsid w:val="00491169"/>
    <w:rsid w:val="0049172E"/>
    <w:rsid w:val="004955F2"/>
    <w:rsid w:val="00495739"/>
    <w:rsid w:val="00496D5D"/>
    <w:rsid w:val="004A01A5"/>
    <w:rsid w:val="004A07D1"/>
    <w:rsid w:val="004A0BDA"/>
    <w:rsid w:val="004A1A16"/>
    <w:rsid w:val="004A25ED"/>
    <w:rsid w:val="004A3784"/>
    <w:rsid w:val="004A4030"/>
    <w:rsid w:val="004A6223"/>
    <w:rsid w:val="004A68F4"/>
    <w:rsid w:val="004B2CE6"/>
    <w:rsid w:val="004B2FBA"/>
    <w:rsid w:val="004B3203"/>
    <w:rsid w:val="004B464B"/>
    <w:rsid w:val="004B6FBF"/>
    <w:rsid w:val="004B701C"/>
    <w:rsid w:val="004B796E"/>
    <w:rsid w:val="004C35AE"/>
    <w:rsid w:val="004C4652"/>
    <w:rsid w:val="004C54C9"/>
    <w:rsid w:val="004C596F"/>
    <w:rsid w:val="004C690D"/>
    <w:rsid w:val="004C7B11"/>
    <w:rsid w:val="004D0E12"/>
    <w:rsid w:val="004D1167"/>
    <w:rsid w:val="004D2577"/>
    <w:rsid w:val="004D2652"/>
    <w:rsid w:val="004D56F3"/>
    <w:rsid w:val="004D69DB"/>
    <w:rsid w:val="004E0315"/>
    <w:rsid w:val="004E128B"/>
    <w:rsid w:val="004E1F91"/>
    <w:rsid w:val="004E214F"/>
    <w:rsid w:val="004E4B25"/>
    <w:rsid w:val="004E61AD"/>
    <w:rsid w:val="004E72D3"/>
    <w:rsid w:val="004F0342"/>
    <w:rsid w:val="004F06A7"/>
    <w:rsid w:val="004F0D53"/>
    <w:rsid w:val="004F1345"/>
    <w:rsid w:val="004F2CD7"/>
    <w:rsid w:val="004F4400"/>
    <w:rsid w:val="004F7048"/>
    <w:rsid w:val="004F791B"/>
    <w:rsid w:val="004F7D55"/>
    <w:rsid w:val="0050056A"/>
    <w:rsid w:val="00500F9B"/>
    <w:rsid w:val="00503405"/>
    <w:rsid w:val="00503419"/>
    <w:rsid w:val="00504888"/>
    <w:rsid w:val="00505818"/>
    <w:rsid w:val="00521355"/>
    <w:rsid w:val="0052191C"/>
    <w:rsid w:val="005233F3"/>
    <w:rsid w:val="005264FF"/>
    <w:rsid w:val="00530739"/>
    <w:rsid w:val="005313E7"/>
    <w:rsid w:val="00531604"/>
    <w:rsid w:val="00531A22"/>
    <w:rsid w:val="00532786"/>
    <w:rsid w:val="005328D5"/>
    <w:rsid w:val="005336E1"/>
    <w:rsid w:val="00534A93"/>
    <w:rsid w:val="00534AAD"/>
    <w:rsid w:val="00534D4F"/>
    <w:rsid w:val="0054170A"/>
    <w:rsid w:val="00543637"/>
    <w:rsid w:val="00543E53"/>
    <w:rsid w:val="00545006"/>
    <w:rsid w:val="00546156"/>
    <w:rsid w:val="00546BC2"/>
    <w:rsid w:val="005512E5"/>
    <w:rsid w:val="00553620"/>
    <w:rsid w:val="0055372F"/>
    <w:rsid w:val="00553983"/>
    <w:rsid w:val="00555CD8"/>
    <w:rsid w:val="0056277B"/>
    <w:rsid w:val="00566B90"/>
    <w:rsid w:val="00567CE0"/>
    <w:rsid w:val="00571D1A"/>
    <w:rsid w:val="0057284F"/>
    <w:rsid w:val="005728F3"/>
    <w:rsid w:val="00573F79"/>
    <w:rsid w:val="00574F60"/>
    <w:rsid w:val="00576ADB"/>
    <w:rsid w:val="00577FEC"/>
    <w:rsid w:val="00583CB4"/>
    <w:rsid w:val="005852FE"/>
    <w:rsid w:val="005865F3"/>
    <w:rsid w:val="0059207D"/>
    <w:rsid w:val="0059348B"/>
    <w:rsid w:val="0059481B"/>
    <w:rsid w:val="0059605D"/>
    <w:rsid w:val="005A0E09"/>
    <w:rsid w:val="005A1E66"/>
    <w:rsid w:val="005A204F"/>
    <w:rsid w:val="005A32B3"/>
    <w:rsid w:val="005A3BAD"/>
    <w:rsid w:val="005A4ADA"/>
    <w:rsid w:val="005A633E"/>
    <w:rsid w:val="005B0CA4"/>
    <w:rsid w:val="005B1426"/>
    <w:rsid w:val="005B58F5"/>
    <w:rsid w:val="005B64AB"/>
    <w:rsid w:val="005B67EA"/>
    <w:rsid w:val="005C02B4"/>
    <w:rsid w:val="005C188A"/>
    <w:rsid w:val="005C229E"/>
    <w:rsid w:val="005C2816"/>
    <w:rsid w:val="005C3C8C"/>
    <w:rsid w:val="005C4F3E"/>
    <w:rsid w:val="005C5E5C"/>
    <w:rsid w:val="005C6BCE"/>
    <w:rsid w:val="005D162F"/>
    <w:rsid w:val="005D1DDB"/>
    <w:rsid w:val="005D25F2"/>
    <w:rsid w:val="005D297D"/>
    <w:rsid w:val="005D2DDA"/>
    <w:rsid w:val="005D3146"/>
    <w:rsid w:val="005D4746"/>
    <w:rsid w:val="005D4A67"/>
    <w:rsid w:val="005D54AF"/>
    <w:rsid w:val="005D5514"/>
    <w:rsid w:val="005D7633"/>
    <w:rsid w:val="005E03D4"/>
    <w:rsid w:val="005E0492"/>
    <w:rsid w:val="005E04F5"/>
    <w:rsid w:val="005E12A1"/>
    <w:rsid w:val="005E408C"/>
    <w:rsid w:val="005E4301"/>
    <w:rsid w:val="005E6456"/>
    <w:rsid w:val="005E76A7"/>
    <w:rsid w:val="005F19D0"/>
    <w:rsid w:val="005F31F9"/>
    <w:rsid w:val="005F35BD"/>
    <w:rsid w:val="006023BA"/>
    <w:rsid w:val="00602890"/>
    <w:rsid w:val="006054FE"/>
    <w:rsid w:val="00605FAA"/>
    <w:rsid w:val="0060763D"/>
    <w:rsid w:val="00611833"/>
    <w:rsid w:val="00611DC3"/>
    <w:rsid w:val="00613CB3"/>
    <w:rsid w:val="00614E3D"/>
    <w:rsid w:val="00617A76"/>
    <w:rsid w:val="006202CA"/>
    <w:rsid w:val="0062255C"/>
    <w:rsid w:val="006255B1"/>
    <w:rsid w:val="00625A73"/>
    <w:rsid w:val="0062644A"/>
    <w:rsid w:val="006279B7"/>
    <w:rsid w:val="00627BF4"/>
    <w:rsid w:val="0063403E"/>
    <w:rsid w:val="006353D3"/>
    <w:rsid w:val="00636843"/>
    <w:rsid w:val="006371CB"/>
    <w:rsid w:val="00641A8A"/>
    <w:rsid w:val="00642793"/>
    <w:rsid w:val="00644A12"/>
    <w:rsid w:val="0064720E"/>
    <w:rsid w:val="00650158"/>
    <w:rsid w:val="006506F1"/>
    <w:rsid w:val="00651DE6"/>
    <w:rsid w:val="006541EC"/>
    <w:rsid w:val="00656240"/>
    <w:rsid w:val="00656E29"/>
    <w:rsid w:val="006600BD"/>
    <w:rsid w:val="00660405"/>
    <w:rsid w:val="006630AF"/>
    <w:rsid w:val="00663965"/>
    <w:rsid w:val="00663D07"/>
    <w:rsid w:val="00663F21"/>
    <w:rsid w:val="006647AC"/>
    <w:rsid w:val="006657FB"/>
    <w:rsid w:val="00670391"/>
    <w:rsid w:val="00671014"/>
    <w:rsid w:val="0067267A"/>
    <w:rsid w:val="0067309B"/>
    <w:rsid w:val="006740CD"/>
    <w:rsid w:val="0067504F"/>
    <w:rsid w:val="00675080"/>
    <w:rsid w:val="0067764D"/>
    <w:rsid w:val="0068081D"/>
    <w:rsid w:val="00681DED"/>
    <w:rsid w:val="00682A94"/>
    <w:rsid w:val="006845CB"/>
    <w:rsid w:val="006846C0"/>
    <w:rsid w:val="00684793"/>
    <w:rsid w:val="00684F23"/>
    <w:rsid w:val="006869F0"/>
    <w:rsid w:val="00687B31"/>
    <w:rsid w:val="00687E2E"/>
    <w:rsid w:val="00690486"/>
    <w:rsid w:val="006908D5"/>
    <w:rsid w:val="0069271A"/>
    <w:rsid w:val="00693FC0"/>
    <w:rsid w:val="00694141"/>
    <w:rsid w:val="0069694C"/>
    <w:rsid w:val="00697DC9"/>
    <w:rsid w:val="006A3B47"/>
    <w:rsid w:val="006A3C93"/>
    <w:rsid w:val="006A4A44"/>
    <w:rsid w:val="006A6B41"/>
    <w:rsid w:val="006A7748"/>
    <w:rsid w:val="006B159A"/>
    <w:rsid w:val="006B1D64"/>
    <w:rsid w:val="006B2443"/>
    <w:rsid w:val="006B6716"/>
    <w:rsid w:val="006B7909"/>
    <w:rsid w:val="006C0BA9"/>
    <w:rsid w:val="006C17FE"/>
    <w:rsid w:val="006C2F4D"/>
    <w:rsid w:val="006C4183"/>
    <w:rsid w:val="006C423A"/>
    <w:rsid w:val="006C57C1"/>
    <w:rsid w:val="006C5D2A"/>
    <w:rsid w:val="006D0618"/>
    <w:rsid w:val="006D2E5F"/>
    <w:rsid w:val="006D30CD"/>
    <w:rsid w:val="006D71A5"/>
    <w:rsid w:val="006D7672"/>
    <w:rsid w:val="006D7737"/>
    <w:rsid w:val="006E0712"/>
    <w:rsid w:val="006E11D5"/>
    <w:rsid w:val="006E6A72"/>
    <w:rsid w:val="006F0192"/>
    <w:rsid w:val="006F56AF"/>
    <w:rsid w:val="006F65A5"/>
    <w:rsid w:val="006F70A6"/>
    <w:rsid w:val="006F77DC"/>
    <w:rsid w:val="00700AEA"/>
    <w:rsid w:val="00705046"/>
    <w:rsid w:val="007072FD"/>
    <w:rsid w:val="00707A5C"/>
    <w:rsid w:val="00712AF9"/>
    <w:rsid w:val="007166A2"/>
    <w:rsid w:val="007168E0"/>
    <w:rsid w:val="00723586"/>
    <w:rsid w:val="00727B59"/>
    <w:rsid w:val="0073275F"/>
    <w:rsid w:val="00732872"/>
    <w:rsid w:val="007328C5"/>
    <w:rsid w:val="00733E56"/>
    <w:rsid w:val="00734A67"/>
    <w:rsid w:val="00735B5F"/>
    <w:rsid w:val="0073650B"/>
    <w:rsid w:val="007375FF"/>
    <w:rsid w:val="007413C3"/>
    <w:rsid w:val="00743844"/>
    <w:rsid w:val="007449AB"/>
    <w:rsid w:val="007508B2"/>
    <w:rsid w:val="00751DA1"/>
    <w:rsid w:val="00751E9A"/>
    <w:rsid w:val="007534A8"/>
    <w:rsid w:val="00753660"/>
    <w:rsid w:val="0075585D"/>
    <w:rsid w:val="007571E3"/>
    <w:rsid w:val="0075752F"/>
    <w:rsid w:val="00764418"/>
    <w:rsid w:val="00764F2B"/>
    <w:rsid w:val="007651F1"/>
    <w:rsid w:val="00765665"/>
    <w:rsid w:val="00765A4D"/>
    <w:rsid w:val="00767BD2"/>
    <w:rsid w:val="00770C40"/>
    <w:rsid w:val="00770EE9"/>
    <w:rsid w:val="00772554"/>
    <w:rsid w:val="007734AD"/>
    <w:rsid w:val="00773F6F"/>
    <w:rsid w:val="007771E0"/>
    <w:rsid w:val="00777241"/>
    <w:rsid w:val="0077769D"/>
    <w:rsid w:val="00783D29"/>
    <w:rsid w:val="007848BA"/>
    <w:rsid w:val="00786162"/>
    <w:rsid w:val="007875EB"/>
    <w:rsid w:val="00791D1F"/>
    <w:rsid w:val="00792D83"/>
    <w:rsid w:val="00794654"/>
    <w:rsid w:val="007947FF"/>
    <w:rsid w:val="0079619B"/>
    <w:rsid w:val="007964CD"/>
    <w:rsid w:val="00797C7F"/>
    <w:rsid w:val="007A0511"/>
    <w:rsid w:val="007A067F"/>
    <w:rsid w:val="007A0F17"/>
    <w:rsid w:val="007A35F7"/>
    <w:rsid w:val="007A615A"/>
    <w:rsid w:val="007B203F"/>
    <w:rsid w:val="007B4FE3"/>
    <w:rsid w:val="007B55E9"/>
    <w:rsid w:val="007B5899"/>
    <w:rsid w:val="007C0026"/>
    <w:rsid w:val="007C02CA"/>
    <w:rsid w:val="007C16F0"/>
    <w:rsid w:val="007C2BDC"/>
    <w:rsid w:val="007C30E8"/>
    <w:rsid w:val="007C3A79"/>
    <w:rsid w:val="007C3E5E"/>
    <w:rsid w:val="007C6872"/>
    <w:rsid w:val="007D2011"/>
    <w:rsid w:val="007D648E"/>
    <w:rsid w:val="007D6A18"/>
    <w:rsid w:val="007E2926"/>
    <w:rsid w:val="007E2AE4"/>
    <w:rsid w:val="007E3074"/>
    <w:rsid w:val="007E5A0F"/>
    <w:rsid w:val="007E5D20"/>
    <w:rsid w:val="007E6B69"/>
    <w:rsid w:val="007E6C0B"/>
    <w:rsid w:val="007E6CBE"/>
    <w:rsid w:val="007E73ED"/>
    <w:rsid w:val="007E77AD"/>
    <w:rsid w:val="007F0515"/>
    <w:rsid w:val="007F14E4"/>
    <w:rsid w:val="007F219F"/>
    <w:rsid w:val="007F5716"/>
    <w:rsid w:val="007F73EB"/>
    <w:rsid w:val="00802363"/>
    <w:rsid w:val="0080425A"/>
    <w:rsid w:val="00806B61"/>
    <w:rsid w:val="008070DA"/>
    <w:rsid w:val="008072A5"/>
    <w:rsid w:val="008102C7"/>
    <w:rsid w:val="008120ED"/>
    <w:rsid w:val="0081274C"/>
    <w:rsid w:val="00815A82"/>
    <w:rsid w:val="00815F0E"/>
    <w:rsid w:val="00816CD3"/>
    <w:rsid w:val="0081739C"/>
    <w:rsid w:val="00822AB7"/>
    <w:rsid w:val="00823A8F"/>
    <w:rsid w:val="008256D0"/>
    <w:rsid w:val="00825F51"/>
    <w:rsid w:val="00830C11"/>
    <w:rsid w:val="00832F17"/>
    <w:rsid w:val="00833A86"/>
    <w:rsid w:val="00834283"/>
    <w:rsid w:val="008376E1"/>
    <w:rsid w:val="00840F76"/>
    <w:rsid w:val="008420CD"/>
    <w:rsid w:val="00843222"/>
    <w:rsid w:val="00844F14"/>
    <w:rsid w:val="00844F50"/>
    <w:rsid w:val="008477EE"/>
    <w:rsid w:val="00850F2F"/>
    <w:rsid w:val="00853B4A"/>
    <w:rsid w:val="00854E35"/>
    <w:rsid w:val="00855CF6"/>
    <w:rsid w:val="008566DA"/>
    <w:rsid w:val="008576CB"/>
    <w:rsid w:val="00860367"/>
    <w:rsid w:val="00861EB4"/>
    <w:rsid w:val="00866B8A"/>
    <w:rsid w:val="00867B61"/>
    <w:rsid w:val="00867DC8"/>
    <w:rsid w:val="008705A9"/>
    <w:rsid w:val="00871560"/>
    <w:rsid w:val="00873196"/>
    <w:rsid w:val="0087354B"/>
    <w:rsid w:val="00875B6D"/>
    <w:rsid w:val="00876F9D"/>
    <w:rsid w:val="00876FC8"/>
    <w:rsid w:val="0088165F"/>
    <w:rsid w:val="0088267C"/>
    <w:rsid w:val="00884472"/>
    <w:rsid w:val="00885114"/>
    <w:rsid w:val="008851D2"/>
    <w:rsid w:val="00886165"/>
    <w:rsid w:val="0088639F"/>
    <w:rsid w:val="008865A7"/>
    <w:rsid w:val="00886D5E"/>
    <w:rsid w:val="0088724D"/>
    <w:rsid w:val="00887964"/>
    <w:rsid w:val="0089067B"/>
    <w:rsid w:val="0089142E"/>
    <w:rsid w:val="008914DE"/>
    <w:rsid w:val="00892453"/>
    <w:rsid w:val="00893359"/>
    <w:rsid w:val="008A03A8"/>
    <w:rsid w:val="008A3176"/>
    <w:rsid w:val="008A39F2"/>
    <w:rsid w:val="008A4B15"/>
    <w:rsid w:val="008A56BE"/>
    <w:rsid w:val="008B1B95"/>
    <w:rsid w:val="008B4F2F"/>
    <w:rsid w:val="008B62A7"/>
    <w:rsid w:val="008B694A"/>
    <w:rsid w:val="008B6CEB"/>
    <w:rsid w:val="008B74F4"/>
    <w:rsid w:val="008B7616"/>
    <w:rsid w:val="008C07EE"/>
    <w:rsid w:val="008C07F5"/>
    <w:rsid w:val="008C1B86"/>
    <w:rsid w:val="008C37F1"/>
    <w:rsid w:val="008C6920"/>
    <w:rsid w:val="008C6A2B"/>
    <w:rsid w:val="008C7176"/>
    <w:rsid w:val="008D1B30"/>
    <w:rsid w:val="008D36C8"/>
    <w:rsid w:val="008D632D"/>
    <w:rsid w:val="008D6BAD"/>
    <w:rsid w:val="008D6FE9"/>
    <w:rsid w:val="008E2E0A"/>
    <w:rsid w:val="008E3EC9"/>
    <w:rsid w:val="008E7102"/>
    <w:rsid w:val="008F3B45"/>
    <w:rsid w:val="008F3C0A"/>
    <w:rsid w:val="008F3C86"/>
    <w:rsid w:val="008F4D56"/>
    <w:rsid w:val="009005FB"/>
    <w:rsid w:val="0090064E"/>
    <w:rsid w:val="009020E2"/>
    <w:rsid w:val="0090413C"/>
    <w:rsid w:val="0090484B"/>
    <w:rsid w:val="00905BBA"/>
    <w:rsid w:val="009067CD"/>
    <w:rsid w:val="00906A50"/>
    <w:rsid w:val="00907DE1"/>
    <w:rsid w:val="00907F16"/>
    <w:rsid w:val="009116DD"/>
    <w:rsid w:val="009121A9"/>
    <w:rsid w:val="00913D12"/>
    <w:rsid w:val="00914F34"/>
    <w:rsid w:val="00915AEC"/>
    <w:rsid w:val="009178DB"/>
    <w:rsid w:val="0092296D"/>
    <w:rsid w:val="00923ED2"/>
    <w:rsid w:val="00926C0B"/>
    <w:rsid w:val="009279A1"/>
    <w:rsid w:val="009301FE"/>
    <w:rsid w:val="00930DAF"/>
    <w:rsid w:val="00931452"/>
    <w:rsid w:val="00934486"/>
    <w:rsid w:val="00936465"/>
    <w:rsid w:val="0094042E"/>
    <w:rsid w:val="00940610"/>
    <w:rsid w:val="00941158"/>
    <w:rsid w:val="0094202B"/>
    <w:rsid w:val="00942357"/>
    <w:rsid w:val="00942F48"/>
    <w:rsid w:val="00943FEF"/>
    <w:rsid w:val="00954484"/>
    <w:rsid w:val="009563E1"/>
    <w:rsid w:val="00961102"/>
    <w:rsid w:val="009614EE"/>
    <w:rsid w:val="009643B8"/>
    <w:rsid w:val="009703F6"/>
    <w:rsid w:val="00971C34"/>
    <w:rsid w:val="00973E82"/>
    <w:rsid w:val="009813F9"/>
    <w:rsid w:val="00981B64"/>
    <w:rsid w:val="00983FF4"/>
    <w:rsid w:val="00984D20"/>
    <w:rsid w:val="0098582A"/>
    <w:rsid w:val="00986326"/>
    <w:rsid w:val="00986778"/>
    <w:rsid w:val="00986ECF"/>
    <w:rsid w:val="009874DC"/>
    <w:rsid w:val="00990694"/>
    <w:rsid w:val="00991868"/>
    <w:rsid w:val="009A2D8C"/>
    <w:rsid w:val="009A491C"/>
    <w:rsid w:val="009A4CDA"/>
    <w:rsid w:val="009A538B"/>
    <w:rsid w:val="009A6218"/>
    <w:rsid w:val="009A708B"/>
    <w:rsid w:val="009A72C9"/>
    <w:rsid w:val="009B03B4"/>
    <w:rsid w:val="009B10F1"/>
    <w:rsid w:val="009B3302"/>
    <w:rsid w:val="009B33D8"/>
    <w:rsid w:val="009B390E"/>
    <w:rsid w:val="009B62E3"/>
    <w:rsid w:val="009C02E0"/>
    <w:rsid w:val="009C1A77"/>
    <w:rsid w:val="009C53F0"/>
    <w:rsid w:val="009D20F3"/>
    <w:rsid w:val="009D2460"/>
    <w:rsid w:val="009D2E5F"/>
    <w:rsid w:val="009D4606"/>
    <w:rsid w:val="009D5E83"/>
    <w:rsid w:val="009D6D57"/>
    <w:rsid w:val="009D78FF"/>
    <w:rsid w:val="009D7C6D"/>
    <w:rsid w:val="009E0AEF"/>
    <w:rsid w:val="009E197D"/>
    <w:rsid w:val="009E2FCF"/>
    <w:rsid w:val="009E3213"/>
    <w:rsid w:val="009E38A6"/>
    <w:rsid w:val="009E4668"/>
    <w:rsid w:val="009E692C"/>
    <w:rsid w:val="009F0729"/>
    <w:rsid w:val="009F0D56"/>
    <w:rsid w:val="009F78F4"/>
    <w:rsid w:val="00A00451"/>
    <w:rsid w:val="00A00AC8"/>
    <w:rsid w:val="00A00B55"/>
    <w:rsid w:val="00A010DE"/>
    <w:rsid w:val="00A0248B"/>
    <w:rsid w:val="00A034F6"/>
    <w:rsid w:val="00A042D7"/>
    <w:rsid w:val="00A058D4"/>
    <w:rsid w:val="00A06B07"/>
    <w:rsid w:val="00A070F3"/>
    <w:rsid w:val="00A075C0"/>
    <w:rsid w:val="00A106CE"/>
    <w:rsid w:val="00A108C3"/>
    <w:rsid w:val="00A11F69"/>
    <w:rsid w:val="00A1308C"/>
    <w:rsid w:val="00A15C78"/>
    <w:rsid w:val="00A163DA"/>
    <w:rsid w:val="00A16A28"/>
    <w:rsid w:val="00A176E1"/>
    <w:rsid w:val="00A17B89"/>
    <w:rsid w:val="00A229D0"/>
    <w:rsid w:val="00A26B9A"/>
    <w:rsid w:val="00A33744"/>
    <w:rsid w:val="00A34378"/>
    <w:rsid w:val="00A34A9F"/>
    <w:rsid w:val="00A351D6"/>
    <w:rsid w:val="00A36F7C"/>
    <w:rsid w:val="00A4005B"/>
    <w:rsid w:val="00A43DEC"/>
    <w:rsid w:val="00A442E4"/>
    <w:rsid w:val="00A46C7F"/>
    <w:rsid w:val="00A5131C"/>
    <w:rsid w:val="00A522A3"/>
    <w:rsid w:val="00A559E0"/>
    <w:rsid w:val="00A56434"/>
    <w:rsid w:val="00A57491"/>
    <w:rsid w:val="00A57525"/>
    <w:rsid w:val="00A61CCD"/>
    <w:rsid w:val="00A63D55"/>
    <w:rsid w:val="00A63E36"/>
    <w:rsid w:val="00A66957"/>
    <w:rsid w:val="00A70294"/>
    <w:rsid w:val="00A7557A"/>
    <w:rsid w:val="00A76E9E"/>
    <w:rsid w:val="00A8016C"/>
    <w:rsid w:val="00A809FE"/>
    <w:rsid w:val="00A80A72"/>
    <w:rsid w:val="00A81A35"/>
    <w:rsid w:val="00A8351D"/>
    <w:rsid w:val="00A84E5D"/>
    <w:rsid w:val="00A86B18"/>
    <w:rsid w:val="00A90214"/>
    <w:rsid w:val="00A90C09"/>
    <w:rsid w:val="00A95734"/>
    <w:rsid w:val="00A95833"/>
    <w:rsid w:val="00AA0353"/>
    <w:rsid w:val="00AA6610"/>
    <w:rsid w:val="00AA6F71"/>
    <w:rsid w:val="00AB1C67"/>
    <w:rsid w:val="00AB2928"/>
    <w:rsid w:val="00AB3996"/>
    <w:rsid w:val="00AB4954"/>
    <w:rsid w:val="00AB4C37"/>
    <w:rsid w:val="00AB6D5F"/>
    <w:rsid w:val="00AB74AB"/>
    <w:rsid w:val="00AC2720"/>
    <w:rsid w:val="00AC2DA6"/>
    <w:rsid w:val="00AC46C0"/>
    <w:rsid w:val="00AD00E9"/>
    <w:rsid w:val="00AD0E39"/>
    <w:rsid w:val="00AD12EB"/>
    <w:rsid w:val="00AD1B43"/>
    <w:rsid w:val="00AD2757"/>
    <w:rsid w:val="00AD48DF"/>
    <w:rsid w:val="00AD4D77"/>
    <w:rsid w:val="00AD772B"/>
    <w:rsid w:val="00AE497F"/>
    <w:rsid w:val="00AF01D4"/>
    <w:rsid w:val="00AF154D"/>
    <w:rsid w:val="00AF78F2"/>
    <w:rsid w:val="00B05963"/>
    <w:rsid w:val="00B07543"/>
    <w:rsid w:val="00B0776E"/>
    <w:rsid w:val="00B0792A"/>
    <w:rsid w:val="00B1116B"/>
    <w:rsid w:val="00B145D5"/>
    <w:rsid w:val="00B14647"/>
    <w:rsid w:val="00B147C4"/>
    <w:rsid w:val="00B20DC4"/>
    <w:rsid w:val="00B2113C"/>
    <w:rsid w:val="00B21A95"/>
    <w:rsid w:val="00B22F13"/>
    <w:rsid w:val="00B2507C"/>
    <w:rsid w:val="00B30E46"/>
    <w:rsid w:val="00B31BCE"/>
    <w:rsid w:val="00B32A7D"/>
    <w:rsid w:val="00B32EC5"/>
    <w:rsid w:val="00B33B04"/>
    <w:rsid w:val="00B363A0"/>
    <w:rsid w:val="00B365B3"/>
    <w:rsid w:val="00B3665D"/>
    <w:rsid w:val="00B4116A"/>
    <w:rsid w:val="00B41BF9"/>
    <w:rsid w:val="00B4395F"/>
    <w:rsid w:val="00B47B42"/>
    <w:rsid w:val="00B47D94"/>
    <w:rsid w:val="00B51A9D"/>
    <w:rsid w:val="00B539C2"/>
    <w:rsid w:val="00B6068A"/>
    <w:rsid w:val="00B6629F"/>
    <w:rsid w:val="00B67924"/>
    <w:rsid w:val="00B7059A"/>
    <w:rsid w:val="00B72DDE"/>
    <w:rsid w:val="00B75EC3"/>
    <w:rsid w:val="00B7642B"/>
    <w:rsid w:val="00B76700"/>
    <w:rsid w:val="00B7729E"/>
    <w:rsid w:val="00B77380"/>
    <w:rsid w:val="00B8094B"/>
    <w:rsid w:val="00B813C9"/>
    <w:rsid w:val="00B8293A"/>
    <w:rsid w:val="00B834DF"/>
    <w:rsid w:val="00B8401A"/>
    <w:rsid w:val="00B8515D"/>
    <w:rsid w:val="00B85814"/>
    <w:rsid w:val="00B8590B"/>
    <w:rsid w:val="00B85D28"/>
    <w:rsid w:val="00B86C65"/>
    <w:rsid w:val="00B90650"/>
    <w:rsid w:val="00B96083"/>
    <w:rsid w:val="00B97435"/>
    <w:rsid w:val="00B97ACC"/>
    <w:rsid w:val="00BA4A62"/>
    <w:rsid w:val="00BA71B5"/>
    <w:rsid w:val="00BA79C5"/>
    <w:rsid w:val="00BB00A3"/>
    <w:rsid w:val="00BB0417"/>
    <w:rsid w:val="00BB3CC2"/>
    <w:rsid w:val="00BB5DF8"/>
    <w:rsid w:val="00BB66FC"/>
    <w:rsid w:val="00BB69B1"/>
    <w:rsid w:val="00BC2609"/>
    <w:rsid w:val="00BC421D"/>
    <w:rsid w:val="00BC566E"/>
    <w:rsid w:val="00BC6477"/>
    <w:rsid w:val="00BC7F48"/>
    <w:rsid w:val="00BD2E4A"/>
    <w:rsid w:val="00BD41F2"/>
    <w:rsid w:val="00BD5ABC"/>
    <w:rsid w:val="00BD79F5"/>
    <w:rsid w:val="00BD7E6A"/>
    <w:rsid w:val="00BE2124"/>
    <w:rsid w:val="00BE2732"/>
    <w:rsid w:val="00BE49D9"/>
    <w:rsid w:val="00BE4E5B"/>
    <w:rsid w:val="00BE4F37"/>
    <w:rsid w:val="00BE520E"/>
    <w:rsid w:val="00BF09F9"/>
    <w:rsid w:val="00BF28BA"/>
    <w:rsid w:val="00BF494D"/>
    <w:rsid w:val="00BF5212"/>
    <w:rsid w:val="00BF60E6"/>
    <w:rsid w:val="00BF7BDE"/>
    <w:rsid w:val="00BF7EB6"/>
    <w:rsid w:val="00C009B8"/>
    <w:rsid w:val="00C02C5E"/>
    <w:rsid w:val="00C06CF1"/>
    <w:rsid w:val="00C10309"/>
    <w:rsid w:val="00C10597"/>
    <w:rsid w:val="00C11E36"/>
    <w:rsid w:val="00C11EC4"/>
    <w:rsid w:val="00C120B7"/>
    <w:rsid w:val="00C12A72"/>
    <w:rsid w:val="00C12AFC"/>
    <w:rsid w:val="00C131CB"/>
    <w:rsid w:val="00C13574"/>
    <w:rsid w:val="00C135A1"/>
    <w:rsid w:val="00C1434F"/>
    <w:rsid w:val="00C151B9"/>
    <w:rsid w:val="00C16219"/>
    <w:rsid w:val="00C16489"/>
    <w:rsid w:val="00C17F06"/>
    <w:rsid w:val="00C2146D"/>
    <w:rsid w:val="00C2540C"/>
    <w:rsid w:val="00C277A0"/>
    <w:rsid w:val="00C33195"/>
    <w:rsid w:val="00C33767"/>
    <w:rsid w:val="00C33BC1"/>
    <w:rsid w:val="00C344E3"/>
    <w:rsid w:val="00C34A65"/>
    <w:rsid w:val="00C35179"/>
    <w:rsid w:val="00C36705"/>
    <w:rsid w:val="00C36D8D"/>
    <w:rsid w:val="00C373DF"/>
    <w:rsid w:val="00C374A1"/>
    <w:rsid w:val="00C37801"/>
    <w:rsid w:val="00C400C6"/>
    <w:rsid w:val="00C4203B"/>
    <w:rsid w:val="00C42605"/>
    <w:rsid w:val="00C4333C"/>
    <w:rsid w:val="00C43C02"/>
    <w:rsid w:val="00C464CD"/>
    <w:rsid w:val="00C47A4B"/>
    <w:rsid w:val="00C52273"/>
    <w:rsid w:val="00C528B6"/>
    <w:rsid w:val="00C54CF4"/>
    <w:rsid w:val="00C557BD"/>
    <w:rsid w:val="00C6009B"/>
    <w:rsid w:val="00C60A6D"/>
    <w:rsid w:val="00C65DA2"/>
    <w:rsid w:val="00C674CF"/>
    <w:rsid w:val="00C718A2"/>
    <w:rsid w:val="00C719A5"/>
    <w:rsid w:val="00C723CA"/>
    <w:rsid w:val="00C7418A"/>
    <w:rsid w:val="00C74778"/>
    <w:rsid w:val="00C77CD8"/>
    <w:rsid w:val="00C82B28"/>
    <w:rsid w:val="00C8385A"/>
    <w:rsid w:val="00C86239"/>
    <w:rsid w:val="00C87A11"/>
    <w:rsid w:val="00C90008"/>
    <w:rsid w:val="00C91651"/>
    <w:rsid w:val="00C92758"/>
    <w:rsid w:val="00C958FF"/>
    <w:rsid w:val="00C96820"/>
    <w:rsid w:val="00C96F2D"/>
    <w:rsid w:val="00C97943"/>
    <w:rsid w:val="00CA1471"/>
    <w:rsid w:val="00CA1D25"/>
    <w:rsid w:val="00CA31D6"/>
    <w:rsid w:val="00CB0AC3"/>
    <w:rsid w:val="00CB2481"/>
    <w:rsid w:val="00CB2C71"/>
    <w:rsid w:val="00CB3325"/>
    <w:rsid w:val="00CB3575"/>
    <w:rsid w:val="00CB380C"/>
    <w:rsid w:val="00CB4623"/>
    <w:rsid w:val="00CC2A7C"/>
    <w:rsid w:val="00CC6139"/>
    <w:rsid w:val="00CC71DB"/>
    <w:rsid w:val="00CC7327"/>
    <w:rsid w:val="00CC768F"/>
    <w:rsid w:val="00CD0676"/>
    <w:rsid w:val="00CD07EC"/>
    <w:rsid w:val="00CD1B4A"/>
    <w:rsid w:val="00CD1EB2"/>
    <w:rsid w:val="00CD446A"/>
    <w:rsid w:val="00CE2E56"/>
    <w:rsid w:val="00CE35DE"/>
    <w:rsid w:val="00CE36FE"/>
    <w:rsid w:val="00CE7C56"/>
    <w:rsid w:val="00CE7E0A"/>
    <w:rsid w:val="00CF1703"/>
    <w:rsid w:val="00CF1775"/>
    <w:rsid w:val="00CF3C94"/>
    <w:rsid w:val="00CF48EE"/>
    <w:rsid w:val="00CF4CB6"/>
    <w:rsid w:val="00CF56AF"/>
    <w:rsid w:val="00CF5B57"/>
    <w:rsid w:val="00CF5E4D"/>
    <w:rsid w:val="00CF6E4D"/>
    <w:rsid w:val="00CF7163"/>
    <w:rsid w:val="00CF7982"/>
    <w:rsid w:val="00D01912"/>
    <w:rsid w:val="00D01B36"/>
    <w:rsid w:val="00D01D8E"/>
    <w:rsid w:val="00D043B3"/>
    <w:rsid w:val="00D04CEF"/>
    <w:rsid w:val="00D04E1B"/>
    <w:rsid w:val="00D05606"/>
    <w:rsid w:val="00D05A4F"/>
    <w:rsid w:val="00D06668"/>
    <w:rsid w:val="00D12573"/>
    <w:rsid w:val="00D20CFB"/>
    <w:rsid w:val="00D2440F"/>
    <w:rsid w:val="00D26222"/>
    <w:rsid w:val="00D306AC"/>
    <w:rsid w:val="00D31077"/>
    <w:rsid w:val="00D33C24"/>
    <w:rsid w:val="00D36915"/>
    <w:rsid w:val="00D36E44"/>
    <w:rsid w:val="00D441BB"/>
    <w:rsid w:val="00D4706F"/>
    <w:rsid w:val="00D47426"/>
    <w:rsid w:val="00D47F86"/>
    <w:rsid w:val="00D508CC"/>
    <w:rsid w:val="00D5146C"/>
    <w:rsid w:val="00D5271F"/>
    <w:rsid w:val="00D53552"/>
    <w:rsid w:val="00D5603C"/>
    <w:rsid w:val="00D5770C"/>
    <w:rsid w:val="00D603E1"/>
    <w:rsid w:val="00D60D0C"/>
    <w:rsid w:val="00D62AD1"/>
    <w:rsid w:val="00D630D5"/>
    <w:rsid w:val="00D6441F"/>
    <w:rsid w:val="00D669A0"/>
    <w:rsid w:val="00D67671"/>
    <w:rsid w:val="00D77BFC"/>
    <w:rsid w:val="00D8101F"/>
    <w:rsid w:val="00D81659"/>
    <w:rsid w:val="00D81C8F"/>
    <w:rsid w:val="00D84DA4"/>
    <w:rsid w:val="00D8710C"/>
    <w:rsid w:val="00D872DA"/>
    <w:rsid w:val="00D87CF3"/>
    <w:rsid w:val="00D902DA"/>
    <w:rsid w:val="00D921C7"/>
    <w:rsid w:val="00D92684"/>
    <w:rsid w:val="00D96C8F"/>
    <w:rsid w:val="00D96E16"/>
    <w:rsid w:val="00DA2A57"/>
    <w:rsid w:val="00DA45E7"/>
    <w:rsid w:val="00DA4F26"/>
    <w:rsid w:val="00DA5274"/>
    <w:rsid w:val="00DA605A"/>
    <w:rsid w:val="00DB0467"/>
    <w:rsid w:val="00DB1693"/>
    <w:rsid w:val="00DB1810"/>
    <w:rsid w:val="00DB2D35"/>
    <w:rsid w:val="00DB404A"/>
    <w:rsid w:val="00DB4D1D"/>
    <w:rsid w:val="00DB601F"/>
    <w:rsid w:val="00DB737D"/>
    <w:rsid w:val="00DB7C55"/>
    <w:rsid w:val="00DC012C"/>
    <w:rsid w:val="00DC0414"/>
    <w:rsid w:val="00DC053F"/>
    <w:rsid w:val="00DC47CE"/>
    <w:rsid w:val="00DC7015"/>
    <w:rsid w:val="00DC768D"/>
    <w:rsid w:val="00DD0F9B"/>
    <w:rsid w:val="00DD34EA"/>
    <w:rsid w:val="00DD42C6"/>
    <w:rsid w:val="00DD4368"/>
    <w:rsid w:val="00DD462B"/>
    <w:rsid w:val="00DD482E"/>
    <w:rsid w:val="00DD48F8"/>
    <w:rsid w:val="00DD5194"/>
    <w:rsid w:val="00DD5A8B"/>
    <w:rsid w:val="00DD5F4F"/>
    <w:rsid w:val="00DE18FC"/>
    <w:rsid w:val="00DE70D6"/>
    <w:rsid w:val="00DE7EB2"/>
    <w:rsid w:val="00DF2666"/>
    <w:rsid w:val="00DF3C15"/>
    <w:rsid w:val="00DF4136"/>
    <w:rsid w:val="00E003B4"/>
    <w:rsid w:val="00E00A8B"/>
    <w:rsid w:val="00E01D18"/>
    <w:rsid w:val="00E02F3B"/>
    <w:rsid w:val="00E0355E"/>
    <w:rsid w:val="00E039A3"/>
    <w:rsid w:val="00E047FF"/>
    <w:rsid w:val="00E0598F"/>
    <w:rsid w:val="00E05B2F"/>
    <w:rsid w:val="00E05B43"/>
    <w:rsid w:val="00E070BC"/>
    <w:rsid w:val="00E074CF"/>
    <w:rsid w:val="00E10A83"/>
    <w:rsid w:val="00E11554"/>
    <w:rsid w:val="00E118D9"/>
    <w:rsid w:val="00E11FFD"/>
    <w:rsid w:val="00E13603"/>
    <w:rsid w:val="00E1385C"/>
    <w:rsid w:val="00E146C1"/>
    <w:rsid w:val="00E14F17"/>
    <w:rsid w:val="00E16146"/>
    <w:rsid w:val="00E20024"/>
    <w:rsid w:val="00E21EB9"/>
    <w:rsid w:val="00E224F1"/>
    <w:rsid w:val="00E22D01"/>
    <w:rsid w:val="00E23C26"/>
    <w:rsid w:val="00E25876"/>
    <w:rsid w:val="00E26A8E"/>
    <w:rsid w:val="00E27011"/>
    <w:rsid w:val="00E3098F"/>
    <w:rsid w:val="00E35F7E"/>
    <w:rsid w:val="00E411B3"/>
    <w:rsid w:val="00E44945"/>
    <w:rsid w:val="00E45177"/>
    <w:rsid w:val="00E46848"/>
    <w:rsid w:val="00E511AF"/>
    <w:rsid w:val="00E512E8"/>
    <w:rsid w:val="00E528CF"/>
    <w:rsid w:val="00E55EBA"/>
    <w:rsid w:val="00E56E0E"/>
    <w:rsid w:val="00E56FC8"/>
    <w:rsid w:val="00E6065A"/>
    <w:rsid w:val="00E60FD9"/>
    <w:rsid w:val="00E61321"/>
    <w:rsid w:val="00E6337B"/>
    <w:rsid w:val="00E635AD"/>
    <w:rsid w:val="00E6501A"/>
    <w:rsid w:val="00E65A27"/>
    <w:rsid w:val="00E67D7D"/>
    <w:rsid w:val="00E67F2F"/>
    <w:rsid w:val="00E715F8"/>
    <w:rsid w:val="00E7198A"/>
    <w:rsid w:val="00E71D55"/>
    <w:rsid w:val="00E733C9"/>
    <w:rsid w:val="00E7622C"/>
    <w:rsid w:val="00E76D50"/>
    <w:rsid w:val="00E80D6E"/>
    <w:rsid w:val="00E81925"/>
    <w:rsid w:val="00E81FE1"/>
    <w:rsid w:val="00E84790"/>
    <w:rsid w:val="00E862AD"/>
    <w:rsid w:val="00E86561"/>
    <w:rsid w:val="00E86D75"/>
    <w:rsid w:val="00E876A9"/>
    <w:rsid w:val="00E87AE4"/>
    <w:rsid w:val="00E87FA5"/>
    <w:rsid w:val="00E962A4"/>
    <w:rsid w:val="00E97E25"/>
    <w:rsid w:val="00EA2FA5"/>
    <w:rsid w:val="00EA39FF"/>
    <w:rsid w:val="00EA3F1C"/>
    <w:rsid w:val="00EA4CD6"/>
    <w:rsid w:val="00EA763A"/>
    <w:rsid w:val="00EB2556"/>
    <w:rsid w:val="00EB3142"/>
    <w:rsid w:val="00EB590C"/>
    <w:rsid w:val="00EB6E3B"/>
    <w:rsid w:val="00EB7055"/>
    <w:rsid w:val="00EC3071"/>
    <w:rsid w:val="00EC355B"/>
    <w:rsid w:val="00EC462A"/>
    <w:rsid w:val="00EC4894"/>
    <w:rsid w:val="00EC6E99"/>
    <w:rsid w:val="00EC76E4"/>
    <w:rsid w:val="00ED23E3"/>
    <w:rsid w:val="00ED29E3"/>
    <w:rsid w:val="00ED2F41"/>
    <w:rsid w:val="00EE009C"/>
    <w:rsid w:val="00EE3067"/>
    <w:rsid w:val="00EE4AA4"/>
    <w:rsid w:val="00EE52FD"/>
    <w:rsid w:val="00EE56C0"/>
    <w:rsid w:val="00EE74B5"/>
    <w:rsid w:val="00EF052C"/>
    <w:rsid w:val="00EF2F17"/>
    <w:rsid w:val="00EF3D76"/>
    <w:rsid w:val="00EF4272"/>
    <w:rsid w:val="00EF5D10"/>
    <w:rsid w:val="00EF5E98"/>
    <w:rsid w:val="00EF5ECA"/>
    <w:rsid w:val="00EF60D7"/>
    <w:rsid w:val="00EF70E3"/>
    <w:rsid w:val="00EF7695"/>
    <w:rsid w:val="00F00067"/>
    <w:rsid w:val="00F00408"/>
    <w:rsid w:val="00F00473"/>
    <w:rsid w:val="00F0090C"/>
    <w:rsid w:val="00F01400"/>
    <w:rsid w:val="00F03B13"/>
    <w:rsid w:val="00F03B7C"/>
    <w:rsid w:val="00F045DB"/>
    <w:rsid w:val="00F05518"/>
    <w:rsid w:val="00F056F3"/>
    <w:rsid w:val="00F05747"/>
    <w:rsid w:val="00F05CB1"/>
    <w:rsid w:val="00F07E47"/>
    <w:rsid w:val="00F133E2"/>
    <w:rsid w:val="00F15D0E"/>
    <w:rsid w:val="00F16A44"/>
    <w:rsid w:val="00F22ADF"/>
    <w:rsid w:val="00F22F11"/>
    <w:rsid w:val="00F26848"/>
    <w:rsid w:val="00F269FA"/>
    <w:rsid w:val="00F27711"/>
    <w:rsid w:val="00F30039"/>
    <w:rsid w:val="00F31C7B"/>
    <w:rsid w:val="00F33189"/>
    <w:rsid w:val="00F332E9"/>
    <w:rsid w:val="00F40AE7"/>
    <w:rsid w:val="00F4577A"/>
    <w:rsid w:val="00F45E74"/>
    <w:rsid w:val="00F53DF1"/>
    <w:rsid w:val="00F5486C"/>
    <w:rsid w:val="00F54CB9"/>
    <w:rsid w:val="00F565C9"/>
    <w:rsid w:val="00F56F72"/>
    <w:rsid w:val="00F56FB6"/>
    <w:rsid w:val="00F57A7D"/>
    <w:rsid w:val="00F60AFD"/>
    <w:rsid w:val="00F60CE0"/>
    <w:rsid w:val="00F6163A"/>
    <w:rsid w:val="00F64475"/>
    <w:rsid w:val="00F64619"/>
    <w:rsid w:val="00F70B20"/>
    <w:rsid w:val="00F74DEA"/>
    <w:rsid w:val="00F81CBD"/>
    <w:rsid w:val="00F82477"/>
    <w:rsid w:val="00F83E48"/>
    <w:rsid w:val="00F85816"/>
    <w:rsid w:val="00F85BD3"/>
    <w:rsid w:val="00F900FC"/>
    <w:rsid w:val="00F9641D"/>
    <w:rsid w:val="00F971E6"/>
    <w:rsid w:val="00F97304"/>
    <w:rsid w:val="00FA1E6E"/>
    <w:rsid w:val="00FA275B"/>
    <w:rsid w:val="00FA3040"/>
    <w:rsid w:val="00FA4892"/>
    <w:rsid w:val="00FA4C24"/>
    <w:rsid w:val="00FA4CF4"/>
    <w:rsid w:val="00FA51EA"/>
    <w:rsid w:val="00FA6E0E"/>
    <w:rsid w:val="00FA70AF"/>
    <w:rsid w:val="00FA750C"/>
    <w:rsid w:val="00FB0CAD"/>
    <w:rsid w:val="00FB0F1F"/>
    <w:rsid w:val="00FB4C87"/>
    <w:rsid w:val="00FB5E8B"/>
    <w:rsid w:val="00FB6F6F"/>
    <w:rsid w:val="00FB7828"/>
    <w:rsid w:val="00FC1E0A"/>
    <w:rsid w:val="00FC29A7"/>
    <w:rsid w:val="00FC32F8"/>
    <w:rsid w:val="00FC557D"/>
    <w:rsid w:val="00FD0107"/>
    <w:rsid w:val="00FD04C8"/>
    <w:rsid w:val="00FD0869"/>
    <w:rsid w:val="00FD0A73"/>
    <w:rsid w:val="00FD0BC8"/>
    <w:rsid w:val="00FD3913"/>
    <w:rsid w:val="00FD55FD"/>
    <w:rsid w:val="00FD79A6"/>
    <w:rsid w:val="00FD7CB4"/>
    <w:rsid w:val="00FE1779"/>
    <w:rsid w:val="00FE334E"/>
    <w:rsid w:val="00FE4590"/>
    <w:rsid w:val="00FE54E7"/>
    <w:rsid w:val="00FE6189"/>
    <w:rsid w:val="00FE6384"/>
    <w:rsid w:val="00FE65EE"/>
    <w:rsid w:val="00FE68D9"/>
    <w:rsid w:val="00FE7686"/>
    <w:rsid w:val="00FF0E87"/>
    <w:rsid w:val="00FF1059"/>
    <w:rsid w:val="00FF1225"/>
    <w:rsid w:val="00FF37E4"/>
    <w:rsid w:val="00FF54F3"/>
    <w:rsid w:val="00FF5B55"/>
    <w:rsid w:val="01046622"/>
    <w:rsid w:val="016C428C"/>
    <w:rsid w:val="02321237"/>
    <w:rsid w:val="030065F6"/>
    <w:rsid w:val="03AD7B41"/>
    <w:rsid w:val="04FD78EF"/>
    <w:rsid w:val="05FD5695"/>
    <w:rsid w:val="06380ACA"/>
    <w:rsid w:val="06EF1EEF"/>
    <w:rsid w:val="07177437"/>
    <w:rsid w:val="08677508"/>
    <w:rsid w:val="0A160AC2"/>
    <w:rsid w:val="0A8950CB"/>
    <w:rsid w:val="0AB1734C"/>
    <w:rsid w:val="0ABA3391"/>
    <w:rsid w:val="0E475979"/>
    <w:rsid w:val="0E746FFF"/>
    <w:rsid w:val="0FD51EE3"/>
    <w:rsid w:val="10862E1B"/>
    <w:rsid w:val="114B1E97"/>
    <w:rsid w:val="11E74105"/>
    <w:rsid w:val="128260AC"/>
    <w:rsid w:val="12EA4046"/>
    <w:rsid w:val="140E3C2B"/>
    <w:rsid w:val="146C2F2E"/>
    <w:rsid w:val="15230195"/>
    <w:rsid w:val="154D16C1"/>
    <w:rsid w:val="16637409"/>
    <w:rsid w:val="17471146"/>
    <w:rsid w:val="177D73C8"/>
    <w:rsid w:val="18BF1D8E"/>
    <w:rsid w:val="1A9F459A"/>
    <w:rsid w:val="1BEB5FA5"/>
    <w:rsid w:val="1DCA170C"/>
    <w:rsid w:val="1F167F4B"/>
    <w:rsid w:val="1F537008"/>
    <w:rsid w:val="242D0BC5"/>
    <w:rsid w:val="25186C0C"/>
    <w:rsid w:val="25754741"/>
    <w:rsid w:val="25EA6CD7"/>
    <w:rsid w:val="2731789C"/>
    <w:rsid w:val="27CB645E"/>
    <w:rsid w:val="2836358A"/>
    <w:rsid w:val="286B6443"/>
    <w:rsid w:val="2BCA23E3"/>
    <w:rsid w:val="2C452840"/>
    <w:rsid w:val="2C9B6F41"/>
    <w:rsid w:val="2ECB4310"/>
    <w:rsid w:val="2EF56003"/>
    <w:rsid w:val="2F7B10B2"/>
    <w:rsid w:val="2F9E7495"/>
    <w:rsid w:val="30EE6E7D"/>
    <w:rsid w:val="315234BE"/>
    <w:rsid w:val="31FB353C"/>
    <w:rsid w:val="32670324"/>
    <w:rsid w:val="32A52FD8"/>
    <w:rsid w:val="32D507B9"/>
    <w:rsid w:val="335B08EC"/>
    <w:rsid w:val="33A843BE"/>
    <w:rsid w:val="34440865"/>
    <w:rsid w:val="34540745"/>
    <w:rsid w:val="36DC3306"/>
    <w:rsid w:val="3754140B"/>
    <w:rsid w:val="37B26E9A"/>
    <w:rsid w:val="387F2B05"/>
    <w:rsid w:val="392E6A6D"/>
    <w:rsid w:val="39497788"/>
    <w:rsid w:val="39926323"/>
    <w:rsid w:val="3A4F2A5D"/>
    <w:rsid w:val="3A58676E"/>
    <w:rsid w:val="3AD665F0"/>
    <w:rsid w:val="3CEE4921"/>
    <w:rsid w:val="3D7B1B81"/>
    <w:rsid w:val="3E1A5671"/>
    <w:rsid w:val="400B2D10"/>
    <w:rsid w:val="41372090"/>
    <w:rsid w:val="41B94C32"/>
    <w:rsid w:val="41C02831"/>
    <w:rsid w:val="41D00E9A"/>
    <w:rsid w:val="41FC32C5"/>
    <w:rsid w:val="42805DA3"/>
    <w:rsid w:val="432C0A49"/>
    <w:rsid w:val="433443B2"/>
    <w:rsid w:val="43916CAC"/>
    <w:rsid w:val="4396641F"/>
    <w:rsid w:val="440F1374"/>
    <w:rsid w:val="44743DC9"/>
    <w:rsid w:val="45163482"/>
    <w:rsid w:val="45BE5CD3"/>
    <w:rsid w:val="46563859"/>
    <w:rsid w:val="465D0FE3"/>
    <w:rsid w:val="4675726D"/>
    <w:rsid w:val="473244A8"/>
    <w:rsid w:val="47D47E6B"/>
    <w:rsid w:val="48083505"/>
    <w:rsid w:val="485503A6"/>
    <w:rsid w:val="48D97059"/>
    <w:rsid w:val="49372422"/>
    <w:rsid w:val="49D56A32"/>
    <w:rsid w:val="4AD26A7A"/>
    <w:rsid w:val="4B2F643B"/>
    <w:rsid w:val="4B4603A5"/>
    <w:rsid w:val="4D0B4344"/>
    <w:rsid w:val="4D6B716B"/>
    <w:rsid w:val="4DFA18D2"/>
    <w:rsid w:val="4E0C478D"/>
    <w:rsid w:val="4FA7D3BE"/>
    <w:rsid w:val="4FE636C9"/>
    <w:rsid w:val="508F326C"/>
    <w:rsid w:val="50AA7E26"/>
    <w:rsid w:val="51053005"/>
    <w:rsid w:val="52DF75B9"/>
    <w:rsid w:val="538A3537"/>
    <w:rsid w:val="5462307C"/>
    <w:rsid w:val="54D065E2"/>
    <w:rsid w:val="55C8410B"/>
    <w:rsid w:val="560F58BD"/>
    <w:rsid w:val="562D30A9"/>
    <w:rsid w:val="56B137D6"/>
    <w:rsid w:val="5703427C"/>
    <w:rsid w:val="574A7631"/>
    <w:rsid w:val="57F86513"/>
    <w:rsid w:val="58097DE2"/>
    <w:rsid w:val="583B1E35"/>
    <w:rsid w:val="59FF22CB"/>
    <w:rsid w:val="5CCC024F"/>
    <w:rsid w:val="5D7C2515"/>
    <w:rsid w:val="5FCC59ED"/>
    <w:rsid w:val="640245F5"/>
    <w:rsid w:val="66FF6B62"/>
    <w:rsid w:val="684B0FC0"/>
    <w:rsid w:val="686F4893"/>
    <w:rsid w:val="69BA042B"/>
    <w:rsid w:val="69E50594"/>
    <w:rsid w:val="6C6413BA"/>
    <w:rsid w:val="6CDA2CD9"/>
    <w:rsid w:val="6DBC2375"/>
    <w:rsid w:val="702F2EF1"/>
    <w:rsid w:val="70DE05FF"/>
    <w:rsid w:val="71AB147A"/>
    <w:rsid w:val="723F1B06"/>
    <w:rsid w:val="72893C64"/>
    <w:rsid w:val="72B709E5"/>
    <w:rsid w:val="72F5577D"/>
    <w:rsid w:val="731A574F"/>
    <w:rsid w:val="73CA60E8"/>
    <w:rsid w:val="741F23F4"/>
    <w:rsid w:val="76BB1953"/>
    <w:rsid w:val="779E71D9"/>
    <w:rsid w:val="77A45FD4"/>
    <w:rsid w:val="7811151A"/>
    <w:rsid w:val="78CD1D4E"/>
    <w:rsid w:val="79A10018"/>
    <w:rsid w:val="7A246BD1"/>
    <w:rsid w:val="7A804457"/>
    <w:rsid w:val="7B990B56"/>
    <w:rsid w:val="7C087E3E"/>
    <w:rsid w:val="7E080FAA"/>
    <w:rsid w:val="7E794A46"/>
    <w:rsid w:val="7EC70AE8"/>
    <w:rsid w:val="7F3D412B"/>
    <w:rsid w:val="FB78E9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6"/>
    <w:qFormat/>
    <w:uiPriority w:val="0"/>
    <w:pPr>
      <w:keepNext/>
      <w:keepLines/>
      <w:spacing w:before="260" w:after="260" w:line="413" w:lineRule="auto"/>
      <w:outlineLvl w:val="2"/>
    </w:pPr>
    <w:rPr>
      <w:b/>
      <w:sz w:val="32"/>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
    <w:qFormat/>
    <w:uiPriority w:val="0"/>
    <w:pPr>
      <w:spacing w:line="520" w:lineRule="exact"/>
      <w:jc w:val="center"/>
    </w:pPr>
    <w:rPr>
      <w:b/>
      <w:bCs/>
      <w:sz w:val="36"/>
    </w:rPr>
  </w:style>
  <w:style w:type="paragraph" w:styleId="6">
    <w:name w:val="Normal Indent"/>
    <w:basedOn w:val="1"/>
    <w:link w:val="53"/>
    <w:unhideWhenUsed/>
    <w:qFormat/>
    <w:uiPriority w:val="0"/>
    <w:pPr>
      <w:ind w:firstLine="420" w:firstLineChars="200"/>
    </w:pPr>
    <w:rPr>
      <w:kern w:val="0"/>
      <w:sz w:val="20"/>
    </w:rPr>
  </w:style>
  <w:style w:type="paragraph" w:styleId="7">
    <w:name w:val="annotation text"/>
    <w:basedOn w:val="1"/>
    <w:qFormat/>
    <w:uiPriority w:val="0"/>
    <w:pPr>
      <w:jc w:val="left"/>
    </w:pPr>
  </w:style>
  <w:style w:type="paragraph" w:styleId="8">
    <w:name w:val="Body Text Indent"/>
    <w:basedOn w:val="1"/>
    <w:next w:val="9"/>
    <w:link w:val="39"/>
    <w:qFormat/>
    <w:uiPriority w:val="0"/>
    <w:pPr>
      <w:spacing w:line="520" w:lineRule="exact"/>
      <w:ind w:firstLine="640" w:firstLineChars="200"/>
    </w:pPr>
    <w:rPr>
      <w:rFonts w:eastAsia="仿宋_GB2312"/>
      <w:sz w:val="32"/>
    </w:rPr>
  </w:style>
  <w:style w:type="paragraph" w:styleId="9">
    <w:name w:val="Body Text Indent 2"/>
    <w:basedOn w:val="1"/>
    <w:next w:val="10"/>
    <w:link w:val="35"/>
    <w:qFormat/>
    <w:uiPriority w:val="0"/>
    <w:pPr>
      <w:spacing w:line="560" w:lineRule="exact"/>
      <w:ind w:firstLine="632" w:firstLineChars="200"/>
    </w:pPr>
    <w:rPr>
      <w:rFonts w:eastAsia="仿宋_GB2312"/>
      <w:spacing w:val="-2"/>
      <w:sz w:val="32"/>
    </w:rPr>
  </w:style>
  <w:style w:type="paragraph" w:styleId="10">
    <w:name w:val="Body Text First Indent 2"/>
    <w:basedOn w:val="1"/>
    <w:next w:val="1"/>
    <w:link w:val="38"/>
    <w:unhideWhenUsed/>
    <w:qFormat/>
    <w:uiPriority w:val="0"/>
    <w:pPr>
      <w:spacing w:after="120"/>
      <w:ind w:left="420" w:leftChars="200" w:firstLine="420"/>
    </w:pPr>
  </w:style>
  <w:style w:type="paragraph" w:styleId="11">
    <w:name w:val="Plain Text"/>
    <w:basedOn w:val="1"/>
    <w:link w:val="55"/>
    <w:qFormat/>
    <w:uiPriority w:val="99"/>
    <w:rPr>
      <w:rFonts w:ascii="宋体" w:hAnsi="Courier New" w:cs="Courier New"/>
      <w:szCs w:val="21"/>
    </w:rPr>
  </w:style>
  <w:style w:type="paragraph" w:styleId="12">
    <w:name w:val="Date"/>
    <w:basedOn w:val="1"/>
    <w:next w:val="1"/>
    <w:link w:val="54"/>
    <w:qFormat/>
    <w:uiPriority w:val="0"/>
    <w:pPr>
      <w:ind w:left="100" w:leftChars="2500"/>
    </w:pPr>
  </w:style>
  <w:style w:type="paragraph" w:styleId="13">
    <w:name w:val="Balloon Text"/>
    <w:basedOn w:val="1"/>
    <w:link w:val="86"/>
    <w:qFormat/>
    <w:uiPriority w:val="0"/>
    <w:rPr>
      <w:sz w:val="18"/>
      <w:szCs w:val="18"/>
    </w:rPr>
  </w:style>
  <w:style w:type="paragraph" w:styleId="14">
    <w:name w:val="footer"/>
    <w:basedOn w:val="1"/>
    <w:link w:val="50"/>
    <w:qFormat/>
    <w:uiPriority w:val="99"/>
    <w:pPr>
      <w:tabs>
        <w:tab w:val="center" w:pos="4153"/>
        <w:tab w:val="right" w:pos="8306"/>
      </w:tabs>
      <w:snapToGrid w:val="0"/>
      <w:jc w:val="left"/>
    </w:pPr>
    <w:rPr>
      <w:sz w:val="18"/>
      <w:szCs w:val="18"/>
    </w:rPr>
  </w:style>
  <w:style w:type="paragraph" w:styleId="15">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66"/>
    <w:qFormat/>
    <w:uiPriority w:val="0"/>
    <w:pPr>
      <w:spacing w:after="120"/>
      <w:ind w:left="420" w:leftChars="200"/>
    </w:pPr>
    <w:rPr>
      <w:rFonts w:ascii="Calibri" w:hAnsi="Calibri"/>
      <w:sz w:val="16"/>
      <w:szCs w:val="16"/>
    </w:rPr>
  </w:style>
  <w:style w:type="paragraph" w:styleId="17">
    <w:name w:val="toc 2"/>
    <w:basedOn w:val="1"/>
    <w:next w:val="1"/>
    <w:qFormat/>
    <w:uiPriority w:val="39"/>
    <w:pPr>
      <w:tabs>
        <w:tab w:val="left" w:pos="1680"/>
        <w:tab w:val="right" w:leader="middleDot" w:pos="8980"/>
      </w:tabs>
      <w:spacing w:beforeLines="30"/>
      <w:ind w:left="238"/>
      <w:jc w:val="left"/>
    </w:pPr>
    <w:rPr>
      <w:smallCaps/>
    </w:rPr>
  </w:style>
  <w:style w:type="paragraph" w:styleId="18">
    <w:name w:val="Normal (Web)"/>
    <w:basedOn w:val="1"/>
    <w:qFormat/>
    <w:uiPriority w:val="0"/>
    <w:pPr>
      <w:spacing w:before="100" w:beforeAutospacing="1" w:after="100" w:afterAutospacing="1"/>
      <w:jc w:val="left"/>
    </w:pPr>
    <w:rPr>
      <w:kern w:val="0"/>
      <w:sz w:val="24"/>
    </w:rPr>
  </w:style>
  <w:style w:type="paragraph" w:styleId="19">
    <w:name w:val="Title"/>
    <w:basedOn w:val="1"/>
    <w:next w:val="1"/>
    <w:link w:val="49"/>
    <w:qFormat/>
    <w:uiPriority w:val="0"/>
    <w:pPr>
      <w:spacing w:before="240" w:after="60"/>
      <w:jc w:val="center"/>
      <w:outlineLvl w:val="0"/>
    </w:pPr>
    <w:rPr>
      <w:rFonts w:ascii="Cambria" w:hAnsi="Cambria"/>
      <w:b/>
      <w:bCs/>
      <w:sz w:val="32"/>
      <w:szCs w:val="32"/>
    </w:rPr>
  </w:style>
  <w:style w:type="paragraph" w:styleId="20">
    <w:name w:val="Body Text First Indent"/>
    <w:basedOn w:val="2"/>
    <w:qFormat/>
    <w:uiPriority w:val="0"/>
    <w:pPr>
      <w:ind w:firstLine="420" w:firstLineChars="100"/>
    </w:pPr>
  </w:style>
  <w:style w:type="table" w:styleId="22">
    <w:name w:val="Table Grid"/>
    <w:basedOn w:val="21"/>
    <w:qFormat/>
    <w:uiPriority w:val="9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Emphasis"/>
    <w:basedOn w:val="23"/>
    <w:qFormat/>
    <w:uiPriority w:val="0"/>
    <w:rPr>
      <w:i/>
      <w:iCs/>
    </w:rPr>
  </w:style>
  <w:style w:type="character" w:styleId="27">
    <w:name w:val="Hyperlink"/>
    <w:basedOn w:val="23"/>
    <w:qFormat/>
    <w:uiPriority w:val="0"/>
    <w:rPr>
      <w:color w:val="0000FF"/>
      <w:u w:val="single"/>
    </w:rPr>
  </w:style>
  <w:style w:type="character" w:styleId="28">
    <w:name w:val="annotation reference"/>
    <w:qFormat/>
    <w:uiPriority w:val="0"/>
    <w:rPr>
      <w:sz w:val="21"/>
      <w:szCs w:val="21"/>
    </w:rPr>
  </w:style>
  <w:style w:type="paragraph" w:customStyle="1" w:styleId="29">
    <w:name w:val="样式 标题 2"/>
    <w:basedOn w:val="4"/>
    <w:next w:val="30"/>
    <w:qFormat/>
    <w:uiPriority w:val="0"/>
    <w:pPr>
      <w:spacing w:before="50" w:after="50"/>
    </w:pPr>
    <w:rPr>
      <w:szCs w:val="28"/>
    </w:rPr>
  </w:style>
  <w:style w:type="paragraph" w:customStyle="1" w:styleId="30">
    <w:name w:val="Default1"/>
    <w:basedOn w:val="31"/>
    <w:next w:val="1"/>
    <w:qFormat/>
    <w:uiPriority w:val="0"/>
    <w:pPr>
      <w:widowControl w:val="0"/>
      <w:autoSpaceDE w:val="0"/>
      <w:autoSpaceDN w:val="0"/>
      <w:adjustRightInd w:val="0"/>
    </w:pPr>
    <w:rPr>
      <w:rFonts w:hint="eastAsia" w:ascii="宋体" w:hAnsi="Times New Roman" w:eastAsia="宋体"/>
      <w:color w:val="000000"/>
      <w:sz w:val="24"/>
      <w:lang w:val="en-US" w:eastAsia="zh-CN"/>
    </w:rPr>
  </w:style>
  <w:style w:type="paragraph" w:customStyle="1" w:styleId="31">
    <w:name w:val="常用正文样式"/>
    <w:qFormat/>
    <w:uiPriority w:val="0"/>
    <w:pPr>
      <w:widowControl w:val="0"/>
      <w:spacing w:line="360" w:lineRule="auto"/>
      <w:ind w:firstLine="454"/>
      <w:jc w:val="both"/>
    </w:pPr>
    <w:rPr>
      <w:rFonts w:ascii="宋体" w:hAnsi="新宋体" w:eastAsia="仿宋_GB2312" w:cs="Times New Roman"/>
      <w:kern w:val="2"/>
      <w:sz w:val="24"/>
      <w:szCs w:val="24"/>
      <w:lang w:val="en-US" w:eastAsia="zh-CN" w:bidi="ar-SA"/>
    </w:rPr>
  </w:style>
  <w:style w:type="paragraph" w:customStyle="1" w:styleId="32">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33">
    <w:name w:val="Default"/>
    <w:basedOn w:val="34"/>
    <w:next w:val="10"/>
    <w:qFormat/>
    <w:uiPriority w:val="0"/>
    <w:pPr>
      <w:autoSpaceDE w:val="0"/>
      <w:autoSpaceDN w:val="0"/>
      <w:adjustRightInd w:val="0"/>
    </w:pPr>
    <w:rPr>
      <w:rFonts w:ascii="仿宋_GB2312" w:eastAsia="仿宋_GB2312" w:cs="仿宋_GB2312"/>
      <w:sz w:val="24"/>
    </w:rPr>
  </w:style>
  <w:style w:type="paragraph" w:customStyle="1" w:styleId="34">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35">
    <w:name w:val="正文文本缩进 2 Char"/>
    <w:basedOn w:val="23"/>
    <w:link w:val="9"/>
    <w:qFormat/>
    <w:uiPriority w:val="0"/>
    <w:rPr>
      <w:rFonts w:eastAsia="仿宋_GB2312"/>
      <w:spacing w:val="-2"/>
      <w:kern w:val="2"/>
      <w:sz w:val="32"/>
      <w:szCs w:val="24"/>
    </w:rPr>
  </w:style>
  <w:style w:type="character" w:customStyle="1" w:styleId="36">
    <w:name w:val="页眉 Char"/>
    <w:basedOn w:val="23"/>
    <w:link w:val="15"/>
    <w:qFormat/>
    <w:uiPriority w:val="0"/>
    <w:rPr>
      <w:kern w:val="2"/>
      <w:sz w:val="18"/>
      <w:szCs w:val="18"/>
    </w:rPr>
  </w:style>
  <w:style w:type="character" w:customStyle="1" w:styleId="37">
    <w:name w:val="正文1111111111111 Char"/>
    <w:basedOn w:val="23"/>
    <w:qFormat/>
    <w:uiPriority w:val="0"/>
    <w:rPr>
      <w:rFonts w:ascii="仿宋_GB2312" w:hAnsi="仿宋_GB2312" w:eastAsia="仿宋_GB2312" w:cs="Times New Roman"/>
      <w:color w:val="000000"/>
      <w:sz w:val="30"/>
      <w:szCs w:val="30"/>
    </w:rPr>
  </w:style>
  <w:style w:type="character" w:customStyle="1" w:styleId="38">
    <w:name w:val="正文首行缩进 2 Char"/>
    <w:basedOn w:val="39"/>
    <w:link w:val="10"/>
    <w:qFormat/>
    <w:uiPriority w:val="0"/>
    <w:rPr>
      <w:rFonts w:eastAsia="仿宋_GB2312"/>
      <w:kern w:val="2"/>
      <w:sz w:val="21"/>
      <w:szCs w:val="24"/>
    </w:rPr>
  </w:style>
  <w:style w:type="character" w:customStyle="1" w:styleId="39">
    <w:name w:val="正文文本缩进 Char"/>
    <w:basedOn w:val="23"/>
    <w:link w:val="8"/>
    <w:qFormat/>
    <w:uiPriority w:val="0"/>
    <w:rPr>
      <w:rFonts w:eastAsia="仿宋_GB2312"/>
      <w:kern w:val="2"/>
      <w:sz w:val="32"/>
      <w:szCs w:val="24"/>
    </w:rPr>
  </w:style>
  <w:style w:type="character" w:customStyle="1" w:styleId="40">
    <w:name w:val="aa正文 Char"/>
    <w:link w:val="41"/>
    <w:qFormat/>
    <w:uiPriority w:val="0"/>
    <w:rPr>
      <w:sz w:val="24"/>
    </w:rPr>
  </w:style>
  <w:style w:type="paragraph" w:customStyle="1" w:styleId="41">
    <w:name w:val="aa正文"/>
    <w:basedOn w:val="1"/>
    <w:link w:val="40"/>
    <w:qFormat/>
    <w:uiPriority w:val="0"/>
    <w:pPr>
      <w:spacing w:line="360" w:lineRule="auto"/>
      <w:ind w:firstLine="200" w:firstLineChars="200"/>
    </w:pPr>
    <w:rPr>
      <w:kern w:val="0"/>
      <w:sz w:val="24"/>
      <w:szCs w:val="20"/>
    </w:rPr>
  </w:style>
  <w:style w:type="character" w:customStyle="1" w:styleId="42">
    <w:name w:val="正文文本 Char"/>
    <w:basedOn w:val="23"/>
    <w:link w:val="2"/>
    <w:qFormat/>
    <w:uiPriority w:val="0"/>
    <w:rPr>
      <w:b/>
      <w:bCs/>
      <w:kern w:val="2"/>
      <w:sz w:val="36"/>
      <w:szCs w:val="24"/>
    </w:rPr>
  </w:style>
  <w:style w:type="character" w:customStyle="1" w:styleId="43">
    <w:name w:val="Character Style 1"/>
    <w:qFormat/>
    <w:uiPriority w:val="99"/>
    <w:rPr>
      <w:sz w:val="30"/>
      <w:szCs w:val="30"/>
    </w:rPr>
  </w:style>
  <w:style w:type="character" w:customStyle="1" w:styleId="44">
    <w:name w:val="正文20120322 Char Char"/>
    <w:basedOn w:val="23"/>
    <w:link w:val="45"/>
    <w:qFormat/>
    <w:uiPriority w:val="0"/>
    <w:rPr>
      <w:rFonts w:cs="宋体"/>
      <w:kern w:val="18"/>
      <w:sz w:val="24"/>
    </w:rPr>
  </w:style>
  <w:style w:type="paragraph" w:customStyle="1" w:styleId="45">
    <w:name w:val="正文20120322"/>
    <w:basedOn w:val="1"/>
    <w:link w:val="44"/>
    <w:qFormat/>
    <w:uiPriority w:val="0"/>
    <w:pPr>
      <w:adjustRightInd w:val="0"/>
      <w:snapToGrid w:val="0"/>
      <w:spacing w:line="360" w:lineRule="auto"/>
      <w:ind w:firstLine="200" w:firstLineChars="200"/>
    </w:pPr>
    <w:rPr>
      <w:rFonts w:cs="宋体"/>
      <w:kern w:val="18"/>
      <w:sz w:val="24"/>
      <w:szCs w:val="20"/>
    </w:rPr>
  </w:style>
  <w:style w:type="character" w:customStyle="1" w:styleId="46">
    <w:name w:val="表格内容jenney Char"/>
    <w:link w:val="47"/>
    <w:qFormat/>
    <w:uiPriority w:val="0"/>
    <w:rPr>
      <w:snapToGrid w:val="0"/>
      <w:sz w:val="21"/>
      <w:lang w:val="en-US" w:eastAsia="zh-CN" w:bidi="ar-SA"/>
    </w:rPr>
  </w:style>
  <w:style w:type="paragraph" w:customStyle="1" w:styleId="47">
    <w:name w:val="表格内容jenney"/>
    <w:basedOn w:val="1"/>
    <w:link w:val="46"/>
    <w:qFormat/>
    <w:uiPriority w:val="0"/>
    <w:pPr>
      <w:adjustRightInd w:val="0"/>
      <w:snapToGrid w:val="0"/>
      <w:jc w:val="center"/>
    </w:pPr>
    <w:rPr>
      <w:snapToGrid w:val="0"/>
      <w:kern w:val="0"/>
      <w:szCs w:val="20"/>
    </w:rPr>
  </w:style>
  <w:style w:type="character" w:customStyle="1" w:styleId="48">
    <w:name w:val="18"/>
    <w:basedOn w:val="23"/>
    <w:qFormat/>
    <w:uiPriority w:val="0"/>
    <w:rPr>
      <w:rFonts w:hint="eastAsia" w:ascii="MingLiU" w:hAnsi="MingLiU" w:eastAsia="MingLiU"/>
      <w:color w:val="000000"/>
      <w:spacing w:val="0"/>
      <w:sz w:val="21"/>
      <w:szCs w:val="21"/>
    </w:rPr>
  </w:style>
  <w:style w:type="character" w:customStyle="1" w:styleId="49">
    <w:name w:val="标题 Char"/>
    <w:basedOn w:val="23"/>
    <w:link w:val="19"/>
    <w:qFormat/>
    <w:uiPriority w:val="0"/>
    <w:rPr>
      <w:rFonts w:ascii="Cambria" w:hAnsi="Cambria"/>
      <w:b/>
      <w:bCs/>
      <w:kern w:val="2"/>
      <w:sz w:val="32"/>
      <w:szCs w:val="32"/>
    </w:rPr>
  </w:style>
  <w:style w:type="character" w:customStyle="1" w:styleId="50">
    <w:name w:val="页脚 Char"/>
    <w:basedOn w:val="23"/>
    <w:link w:val="14"/>
    <w:qFormat/>
    <w:uiPriority w:val="99"/>
    <w:rPr>
      <w:kern w:val="2"/>
      <w:sz w:val="18"/>
      <w:szCs w:val="18"/>
    </w:rPr>
  </w:style>
  <w:style w:type="character" w:customStyle="1" w:styleId="51">
    <w:name w:val="报告 Char"/>
    <w:basedOn w:val="23"/>
    <w:link w:val="52"/>
    <w:semiHidden/>
    <w:qFormat/>
    <w:uiPriority w:val="0"/>
    <w:rPr>
      <w:sz w:val="24"/>
      <w:szCs w:val="24"/>
      <w:lang w:eastAsia="en-US" w:bidi="en-US"/>
    </w:rPr>
  </w:style>
  <w:style w:type="paragraph" w:customStyle="1" w:styleId="52">
    <w:name w:val="报告"/>
    <w:basedOn w:val="1"/>
    <w:link w:val="51"/>
    <w:semiHidden/>
    <w:qFormat/>
    <w:uiPriority w:val="0"/>
    <w:pPr>
      <w:widowControl/>
      <w:adjustRightInd w:val="0"/>
      <w:spacing w:line="360" w:lineRule="auto"/>
      <w:ind w:firstLine="505"/>
      <w:jc w:val="left"/>
      <w:textAlignment w:val="baseline"/>
    </w:pPr>
    <w:rPr>
      <w:kern w:val="0"/>
      <w:sz w:val="24"/>
      <w:lang w:eastAsia="en-US" w:bidi="en-US"/>
    </w:rPr>
  </w:style>
  <w:style w:type="character" w:customStyle="1" w:styleId="53">
    <w:name w:val="正文缩进 Char"/>
    <w:link w:val="6"/>
    <w:qFormat/>
    <w:locked/>
    <w:uiPriority w:val="0"/>
    <w:rPr>
      <w:szCs w:val="24"/>
    </w:rPr>
  </w:style>
  <w:style w:type="character" w:customStyle="1" w:styleId="54">
    <w:name w:val="日期 Char"/>
    <w:basedOn w:val="23"/>
    <w:link w:val="12"/>
    <w:qFormat/>
    <w:uiPriority w:val="0"/>
    <w:rPr>
      <w:kern w:val="2"/>
      <w:sz w:val="21"/>
      <w:szCs w:val="24"/>
    </w:rPr>
  </w:style>
  <w:style w:type="character" w:customStyle="1" w:styleId="55">
    <w:name w:val="纯文本 Char"/>
    <w:basedOn w:val="23"/>
    <w:link w:val="11"/>
    <w:qFormat/>
    <w:uiPriority w:val="0"/>
    <w:rPr>
      <w:rFonts w:ascii="宋体" w:hAnsi="Courier New" w:cs="Courier New"/>
      <w:kern w:val="2"/>
      <w:sz w:val="21"/>
      <w:szCs w:val="21"/>
    </w:rPr>
  </w:style>
  <w:style w:type="character" w:customStyle="1" w:styleId="56">
    <w:name w:val="正文对的 Char"/>
    <w:basedOn w:val="23"/>
    <w:link w:val="57"/>
    <w:qFormat/>
    <w:uiPriority w:val="0"/>
    <w:rPr>
      <w:rFonts w:ascii="宋体" w:hAnsi="宋体"/>
      <w:color w:val="000000"/>
      <w:kern w:val="2"/>
      <w:sz w:val="24"/>
      <w:szCs w:val="24"/>
    </w:rPr>
  </w:style>
  <w:style w:type="paragraph" w:customStyle="1" w:styleId="57">
    <w:name w:val="正文对的"/>
    <w:basedOn w:val="1"/>
    <w:next w:val="8"/>
    <w:link w:val="56"/>
    <w:qFormat/>
    <w:uiPriority w:val="0"/>
    <w:pPr>
      <w:widowControl/>
      <w:snapToGrid w:val="0"/>
      <w:spacing w:line="500" w:lineRule="exact"/>
      <w:ind w:firstLine="482"/>
    </w:pPr>
    <w:rPr>
      <w:rFonts w:ascii="宋体" w:hAnsi="宋体"/>
      <w:color w:val="000000"/>
      <w:sz w:val="24"/>
    </w:rPr>
  </w:style>
  <w:style w:type="character" w:customStyle="1" w:styleId="58">
    <w:name w:val="lineheigh201"/>
    <w:basedOn w:val="23"/>
    <w:qFormat/>
    <w:uiPriority w:val="0"/>
  </w:style>
  <w:style w:type="character" w:customStyle="1" w:styleId="59">
    <w:name w:val="纯文本 Char1"/>
    <w:basedOn w:val="23"/>
    <w:qFormat/>
    <w:locked/>
    <w:uiPriority w:val="0"/>
    <w:rPr>
      <w:rFonts w:ascii="宋体" w:hAnsi="Courier New" w:eastAsia="宋体" w:cs="Courier New"/>
      <w:szCs w:val="21"/>
    </w:rPr>
  </w:style>
  <w:style w:type="character" w:customStyle="1" w:styleId="60">
    <w:name w:val="表格内容样式 Char"/>
    <w:link w:val="61"/>
    <w:qFormat/>
    <w:uiPriority w:val="0"/>
    <w:rPr>
      <w:color w:val="FF0000"/>
      <w:sz w:val="21"/>
      <w:szCs w:val="24"/>
    </w:rPr>
  </w:style>
  <w:style w:type="paragraph" w:customStyle="1" w:styleId="61">
    <w:name w:val="表格内容样式"/>
    <w:basedOn w:val="1"/>
    <w:link w:val="60"/>
    <w:qFormat/>
    <w:uiPriority w:val="0"/>
    <w:pPr>
      <w:widowControl/>
      <w:jc w:val="center"/>
    </w:pPr>
    <w:rPr>
      <w:color w:val="FF0000"/>
      <w:kern w:val="0"/>
    </w:rPr>
  </w:style>
  <w:style w:type="character" w:customStyle="1" w:styleId="62">
    <w:name w:val="正文1111111111111 Char Char"/>
    <w:basedOn w:val="23"/>
    <w:link w:val="63"/>
    <w:qFormat/>
    <w:uiPriority w:val="0"/>
    <w:rPr>
      <w:rFonts w:ascii="仿宋_GB2312" w:hAnsi="仿宋_GB2312" w:eastAsia="仿宋_GB2312"/>
      <w:color w:val="000000"/>
      <w:sz w:val="30"/>
      <w:szCs w:val="30"/>
    </w:rPr>
  </w:style>
  <w:style w:type="paragraph" w:customStyle="1" w:styleId="63">
    <w:name w:val="正文1111111111111"/>
    <w:basedOn w:val="1"/>
    <w:link w:val="62"/>
    <w:qFormat/>
    <w:uiPriority w:val="0"/>
    <w:pPr>
      <w:adjustRightInd w:val="0"/>
      <w:snapToGrid w:val="0"/>
      <w:spacing w:line="460" w:lineRule="exact"/>
      <w:ind w:firstLine="600" w:firstLineChars="200"/>
      <w:jc w:val="left"/>
    </w:pPr>
    <w:rPr>
      <w:rFonts w:ascii="仿宋_GB2312" w:hAnsi="仿宋_GB2312" w:eastAsia="仿宋_GB2312"/>
      <w:color w:val="000000"/>
      <w:kern w:val="0"/>
      <w:sz w:val="30"/>
      <w:szCs w:val="30"/>
    </w:rPr>
  </w:style>
  <w:style w:type="character" w:customStyle="1" w:styleId="64">
    <w:name w:val="html_txt"/>
    <w:basedOn w:val="23"/>
    <w:qFormat/>
    <w:uiPriority w:val="0"/>
  </w:style>
  <w:style w:type="character" w:customStyle="1" w:styleId="65">
    <w:name w:val="ca-6"/>
    <w:basedOn w:val="23"/>
    <w:qFormat/>
    <w:uiPriority w:val="0"/>
  </w:style>
  <w:style w:type="character" w:customStyle="1" w:styleId="66">
    <w:name w:val="正文文本缩进 3 Char"/>
    <w:basedOn w:val="23"/>
    <w:link w:val="16"/>
    <w:qFormat/>
    <w:uiPriority w:val="0"/>
    <w:rPr>
      <w:rFonts w:ascii="Calibri" w:hAnsi="Calibri"/>
      <w:kern w:val="2"/>
      <w:sz w:val="16"/>
      <w:szCs w:val="16"/>
    </w:rPr>
  </w:style>
  <w:style w:type="paragraph" w:customStyle="1" w:styleId="67">
    <w:name w:val="WPS Plain"/>
    <w:qFormat/>
    <w:uiPriority w:val="0"/>
    <w:rPr>
      <w:rFonts w:ascii="Times New Roman" w:hAnsi="Times New Roman" w:eastAsia="宋体" w:cs="Times New Roman"/>
      <w:lang w:val="en-US" w:eastAsia="zh-CN" w:bidi="ar-SA"/>
    </w:rPr>
  </w:style>
  <w:style w:type="paragraph" w:customStyle="1" w:styleId="68">
    <w:name w:val="p0"/>
    <w:basedOn w:val="1"/>
    <w:qFormat/>
    <w:uiPriority w:val="0"/>
    <w:pPr>
      <w:widowControl/>
    </w:pPr>
    <w:rPr>
      <w:kern w:val="0"/>
      <w:szCs w:val="21"/>
    </w:rPr>
  </w:style>
  <w:style w:type="paragraph" w:customStyle="1" w:styleId="69">
    <w:name w:val="正文11111111111111"/>
    <w:basedOn w:val="1"/>
    <w:qFormat/>
    <w:uiPriority w:val="0"/>
    <w:pPr>
      <w:adjustRightInd w:val="0"/>
      <w:snapToGrid w:val="0"/>
      <w:spacing w:line="360" w:lineRule="auto"/>
      <w:ind w:firstLine="480" w:firstLineChars="200"/>
    </w:pPr>
    <w:rPr>
      <w:color w:val="000000"/>
      <w:sz w:val="24"/>
    </w:rPr>
  </w:style>
  <w:style w:type="paragraph" w:customStyle="1" w:styleId="70">
    <w:name w:val="1文章"/>
    <w:basedOn w:val="1"/>
    <w:qFormat/>
    <w:uiPriority w:val="0"/>
    <w:pPr>
      <w:snapToGrid w:val="0"/>
      <w:spacing w:line="420" w:lineRule="auto"/>
      <w:ind w:firstLine="518"/>
      <w:outlineLvl w:val="4"/>
    </w:pPr>
    <w:rPr>
      <w:spacing w:val="4"/>
      <w:sz w:val="24"/>
      <w:szCs w:val="20"/>
    </w:rPr>
  </w:style>
  <w:style w:type="paragraph" w:customStyle="1" w:styleId="71">
    <w:name w:val="Style 2"/>
    <w:basedOn w:val="1"/>
    <w:qFormat/>
    <w:uiPriority w:val="99"/>
    <w:pPr>
      <w:autoSpaceDE w:val="0"/>
      <w:autoSpaceDN w:val="0"/>
      <w:spacing w:line="396" w:lineRule="exact"/>
      <w:ind w:firstLine="576"/>
    </w:pPr>
    <w:rPr>
      <w:kern w:val="0"/>
      <w:sz w:val="30"/>
      <w:szCs w:val="30"/>
    </w:rPr>
  </w:style>
  <w:style w:type="paragraph" w:customStyle="1" w:styleId="72">
    <w:name w:val="小四+首行缩进"/>
    <w:basedOn w:val="1"/>
    <w:qFormat/>
    <w:uiPriority w:val="0"/>
    <w:pPr>
      <w:spacing w:line="360" w:lineRule="auto"/>
      <w:ind w:firstLine="482"/>
    </w:pPr>
    <w:rPr>
      <w:rFonts w:ascii="宋体" w:hAnsi="宋体"/>
      <w:kern w:val="0"/>
      <w:sz w:val="24"/>
      <w:szCs w:val="20"/>
    </w:rPr>
  </w:style>
  <w:style w:type="paragraph" w:styleId="7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首行缩进二字 Char"/>
    <w:basedOn w:val="1"/>
    <w:qFormat/>
    <w:uiPriority w:val="0"/>
    <w:pPr>
      <w:snapToGrid w:val="0"/>
      <w:spacing w:line="460" w:lineRule="exact"/>
      <w:ind w:firstLine="200" w:firstLineChars="200"/>
    </w:pPr>
    <w:rPr>
      <w:sz w:val="24"/>
      <w:szCs w:val="20"/>
    </w:rPr>
  </w:style>
  <w:style w:type="paragraph" w:styleId="75">
    <w:name w:val="List Paragraph"/>
    <w:basedOn w:val="1"/>
    <w:qFormat/>
    <w:uiPriority w:val="34"/>
    <w:pPr>
      <w:ind w:firstLine="420" w:firstLineChars="200"/>
    </w:pPr>
  </w:style>
  <w:style w:type="paragraph" w:customStyle="1" w:styleId="76">
    <w:name w:val="正文(邵)"/>
    <w:basedOn w:val="1"/>
    <w:qFormat/>
    <w:uiPriority w:val="0"/>
    <w:pPr>
      <w:widowControl/>
      <w:adjustRightInd w:val="0"/>
      <w:snapToGrid w:val="0"/>
      <w:spacing w:line="360" w:lineRule="auto"/>
      <w:ind w:firstLine="480"/>
      <w:jc w:val="left"/>
    </w:pPr>
    <w:rPr>
      <w:kern w:val="0"/>
      <w:sz w:val="24"/>
      <w:lang w:bidi="en-US"/>
    </w:rPr>
  </w:style>
  <w:style w:type="paragraph" w:customStyle="1" w:styleId="77">
    <w:name w:val="正文3"/>
    <w:basedOn w:val="1"/>
    <w:qFormat/>
    <w:uiPriority w:val="0"/>
    <w:pPr>
      <w:spacing w:line="360" w:lineRule="auto"/>
      <w:ind w:firstLine="200" w:firstLineChars="200"/>
    </w:pPr>
    <w:rPr>
      <w:rFonts w:ascii="Calibri" w:hAnsi="Calibri"/>
      <w:kern w:val="0"/>
      <w:sz w:val="24"/>
      <w:szCs w:val="22"/>
    </w:rPr>
  </w:style>
  <w:style w:type="paragraph" w:customStyle="1" w:styleId="78">
    <w:name w:val="XZW"/>
    <w:basedOn w:val="1"/>
    <w:qFormat/>
    <w:uiPriority w:val="0"/>
    <w:pPr>
      <w:adjustRightInd w:val="0"/>
      <w:snapToGrid w:val="0"/>
      <w:ind w:firstLine="200"/>
    </w:pPr>
    <w:rPr>
      <w:rFonts w:eastAsia="仿宋_GB2312"/>
      <w:kern w:val="0"/>
      <w:sz w:val="28"/>
    </w:rPr>
  </w:style>
  <w:style w:type="paragraph" w:customStyle="1" w:styleId="79">
    <w:name w:val="p16"/>
    <w:basedOn w:val="1"/>
    <w:qFormat/>
    <w:uiPriority w:val="0"/>
    <w:pPr>
      <w:widowControl/>
    </w:pPr>
    <w:rPr>
      <w:rFonts w:ascii="Calibri" w:hAnsi="Calibri" w:cs="宋体"/>
      <w:kern w:val="0"/>
      <w:szCs w:val="21"/>
    </w:rPr>
  </w:style>
  <w:style w:type="paragraph" w:customStyle="1" w:styleId="80">
    <w:name w:val="3"/>
    <w:basedOn w:val="1"/>
    <w:qFormat/>
    <w:uiPriority w:val="0"/>
    <w:rPr>
      <w:szCs w:val="20"/>
    </w:rPr>
  </w:style>
  <w:style w:type="paragraph" w:customStyle="1" w:styleId="81">
    <w:name w:val="正文（用）"/>
    <w:basedOn w:val="1"/>
    <w:qFormat/>
    <w:uiPriority w:val="0"/>
    <w:pPr>
      <w:spacing w:line="360" w:lineRule="auto"/>
      <w:ind w:firstLine="480" w:firstLineChars="200"/>
      <w:jc w:val="left"/>
    </w:pPr>
    <w:rPr>
      <w:rFonts w:ascii="宋体" w:hAnsi="宋体" w:cs="宋体"/>
      <w:sz w:val="24"/>
      <w:szCs w:val="20"/>
    </w:rPr>
  </w:style>
  <w:style w:type="paragraph" w:customStyle="1" w:styleId="82">
    <w:name w:val="正文(首行缩进)"/>
    <w:basedOn w:val="1"/>
    <w:qFormat/>
    <w:uiPriority w:val="0"/>
    <w:pPr>
      <w:spacing w:line="360" w:lineRule="auto"/>
      <w:ind w:firstLine="510"/>
    </w:pPr>
    <w:rPr>
      <w:rFonts w:ascii="宋体" w:hAnsi="宋体"/>
      <w:snapToGrid w:val="0"/>
      <w:kern w:val="0"/>
      <w:sz w:val="24"/>
    </w:rPr>
  </w:style>
  <w:style w:type="paragraph" w:customStyle="1" w:styleId="83">
    <w:name w:val="ZH正文"/>
    <w:basedOn w:val="1"/>
    <w:qFormat/>
    <w:uiPriority w:val="0"/>
    <w:pPr>
      <w:spacing w:line="360" w:lineRule="auto"/>
      <w:ind w:firstLine="200" w:firstLineChars="200"/>
    </w:pPr>
    <w:rPr>
      <w:rFonts w:ascii="Calibri" w:hAnsi="Calibri"/>
      <w:sz w:val="24"/>
    </w:rPr>
  </w:style>
  <w:style w:type="paragraph" w:customStyle="1" w:styleId="84">
    <w:name w:val="正文缩进1"/>
    <w:basedOn w:val="1"/>
    <w:qFormat/>
    <w:uiPriority w:val="0"/>
    <w:pPr>
      <w:widowControl/>
      <w:ind w:firstLine="420"/>
      <w:jc w:val="left"/>
    </w:pPr>
    <w:rPr>
      <w:kern w:val="0"/>
      <w:sz w:val="24"/>
      <w:szCs w:val="20"/>
    </w:rPr>
  </w:style>
  <w:style w:type="paragraph" w:customStyle="1" w:styleId="85">
    <w:name w:val="D正文"/>
    <w:basedOn w:val="1"/>
    <w:qFormat/>
    <w:uiPriority w:val="0"/>
    <w:pPr>
      <w:spacing w:line="360" w:lineRule="auto"/>
      <w:ind w:firstLine="480" w:firstLineChars="200"/>
    </w:pPr>
    <w:rPr>
      <w:sz w:val="24"/>
    </w:rPr>
  </w:style>
  <w:style w:type="character" w:customStyle="1" w:styleId="86">
    <w:name w:val="批注框文本 Char"/>
    <w:basedOn w:val="23"/>
    <w:link w:val="13"/>
    <w:qFormat/>
    <w:uiPriority w:val="0"/>
    <w:rPr>
      <w:kern w:val="2"/>
      <w:sz w:val="18"/>
      <w:szCs w:val="18"/>
    </w:rPr>
  </w:style>
  <w:style w:type="paragraph" w:customStyle="1" w:styleId="87">
    <w:name w:val="1正文"/>
    <w:basedOn w:val="88"/>
    <w:qFormat/>
    <w:uiPriority w:val="0"/>
    <w:pPr>
      <w:spacing w:line="360" w:lineRule="auto"/>
    </w:pPr>
  </w:style>
  <w:style w:type="paragraph" w:customStyle="1" w:styleId="88">
    <w:name w:val="!正文"/>
    <w:basedOn w:val="1"/>
    <w:qFormat/>
    <w:uiPriority w:val="0"/>
    <w:pPr>
      <w:adjustRightInd w:val="0"/>
      <w:snapToGrid w:val="0"/>
      <w:spacing w:line="400" w:lineRule="exact"/>
      <w:ind w:firstLine="200" w:firstLineChars="200"/>
    </w:pPr>
    <w:rPr>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fdg</Company>
  <Pages>11</Pages>
  <Words>865</Words>
  <Characters>4934</Characters>
  <Lines>41</Lines>
  <Paragraphs>11</Paragraphs>
  <TotalTime>3</TotalTime>
  <ScaleCrop>false</ScaleCrop>
  <LinksUpToDate>false</LinksUpToDate>
  <CharactersWithSpaces>5788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2023-03-27T17:06:00Z</dcterms:created>
  <dc:creator>yy</dc:creator>
  <cp:lastModifiedBy>admin123</cp:lastModifiedBy>
  <cp:lastPrinted>2023-03-28T01:20:00Z</cp:lastPrinted>
  <dcterms:modified xsi:type="dcterms:W3CDTF">2023-04-13T18:48:17Z</dcterms:modified>
  <dc:title>宜环督字［2004］65号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0AC793D9B8364376AB3165B0FC673ACD</vt:lpwstr>
  </property>
</Properties>
</file>