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spacing w:line="520" w:lineRule="exact"/>
        <w:jc w:val="center"/>
        <w:rPr>
          <w:rFonts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宜环环评〔202</w:t>
      </w:r>
      <w:r>
        <w:rPr>
          <w:rFonts w:hint="eastAsia" w:ascii="仿宋_GB2312" w:eastAsia="仿宋_GB2312"/>
          <w:sz w:val="32"/>
          <w:lang w:val="en-US" w:eastAsia="zh-CN"/>
        </w:rPr>
        <w:t>3</w:t>
      </w:r>
      <w:bookmarkStart w:id="0" w:name="_GoBack"/>
      <w:bookmarkEnd w:id="0"/>
      <w:r>
        <w:rPr>
          <w:rFonts w:hint="eastAsia" w:ascii="仿宋_GB2312" w:eastAsia="仿宋_GB2312"/>
          <w:sz w:val="32"/>
        </w:rPr>
        <w:t>〕</w:t>
      </w:r>
      <w:r>
        <w:rPr>
          <w:rFonts w:hint="eastAsia" w:ascii="仿宋_GB2312" w:eastAsia="仿宋_GB2312"/>
          <w:sz w:val="32"/>
          <w:lang w:val="en-US" w:eastAsia="zh-CN"/>
        </w:rPr>
        <w:t>25</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spacing w:line="64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宜春市生</w:t>
      </w:r>
      <w:r>
        <w:rPr>
          <w:rFonts w:hint="eastAsia" w:ascii="方正小标宋简体" w:hAnsi="宋体" w:eastAsia="方正小标宋简体"/>
          <w:sz w:val="44"/>
          <w:szCs w:val="44"/>
        </w:rPr>
        <w:t>态环境</w:t>
      </w:r>
      <w:r>
        <w:rPr>
          <w:rFonts w:hint="eastAsia" w:ascii="方正小标宋简体" w:hAnsi="方正小标宋简体" w:eastAsia="方正小标宋简体" w:cs="方正小标宋简体"/>
          <w:bCs/>
          <w:color w:val="000000"/>
          <w:sz w:val="44"/>
          <w:szCs w:val="44"/>
        </w:rPr>
        <w:t>局关于远方矿业钽铌精矿提取及尾泥综合回收锂云母技术改造项目</w:t>
      </w:r>
    </w:p>
    <w:p>
      <w:pPr>
        <w:spacing w:line="64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（一期）环境影响报告书的批复</w:t>
      </w:r>
    </w:p>
    <w:p>
      <w:pPr>
        <w:spacing w:line="520" w:lineRule="exact"/>
        <w:rPr>
          <w:rFonts w:ascii="仿宋_GB2312" w:hAnsi="仿宋_GB2312" w:eastAsia="仿宋_GB2312" w:cs="仿宋_GB2312"/>
          <w:sz w:val="32"/>
          <w:szCs w:val="32"/>
        </w:rPr>
      </w:pPr>
    </w:p>
    <w:p>
      <w:pPr>
        <w:keepNext w:val="0"/>
        <w:keepLines w:val="0"/>
        <w:pageBreakBefore w:val="0"/>
        <w:kinsoku/>
        <w:wordWrap/>
        <w:overflowPunct/>
        <w:topLinePunct w:val="0"/>
        <w:autoSpaceDE w:val="0"/>
        <w:bidi w:val="0"/>
        <w:snapToGrid w:val="0"/>
        <w:spacing w:line="56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江西省远方矿业有限公司</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val="0"/>
        <w:spacing w:line="56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你公司《关于请求审批</w:t>
      </w:r>
      <w:r>
        <w:rPr>
          <w:rFonts w:hint="eastAsia" w:ascii="仿宋_GB2312" w:hAnsi="仿宋" w:eastAsia="仿宋_GB2312" w:cs="仿宋"/>
          <w:color w:val="000000"/>
          <w:sz w:val="32"/>
          <w:szCs w:val="32"/>
        </w:rPr>
        <w:t>〈</w:t>
      </w:r>
      <w:r>
        <w:rPr>
          <w:rFonts w:hint="eastAsia" w:ascii="仿宋_GB2312" w:hAnsi="仿宋_GB2312" w:eastAsia="仿宋_GB2312" w:cs="仿宋_GB2312"/>
          <w:sz w:val="32"/>
          <w:szCs w:val="32"/>
        </w:rPr>
        <w:t>远方矿业钽铌精矿提取及尾泥综合回收锂云母技术改造项目（一期）环境影响报告书</w:t>
      </w:r>
      <w:r>
        <w:rPr>
          <w:rFonts w:hint="eastAsia" w:ascii="仿宋_GB2312" w:hAnsi="仿宋" w:eastAsia="仿宋_GB2312" w:cs="仿宋"/>
          <w:color w:val="000000"/>
          <w:sz w:val="32"/>
          <w:szCs w:val="32"/>
        </w:rPr>
        <w:t>〉</w:t>
      </w:r>
      <w:r>
        <w:rPr>
          <w:rFonts w:hint="eastAsia" w:ascii="仿宋_GB2312" w:hAnsi="仿宋_GB2312" w:eastAsia="仿宋_GB2312" w:cs="仿宋_GB2312"/>
          <w:sz w:val="32"/>
          <w:szCs w:val="32"/>
        </w:rPr>
        <w:t>的请示》</w:t>
      </w:r>
      <w:r>
        <w:rPr>
          <w:rFonts w:hint="eastAsia" w:ascii="仿宋_GB2312" w:hAnsi="仿宋" w:eastAsia="仿宋_GB2312" w:cs="仿宋"/>
          <w:color w:val="000000"/>
          <w:sz w:val="32"/>
          <w:szCs w:val="32"/>
        </w:rPr>
        <w:t>以及相关资料收悉，经研究，批复如下：</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outlineLvl w:val="0"/>
        <w:rPr>
          <w:rFonts w:hint="eastAsia" w:ascii="黑体" w:hAnsi="黑体" w:eastAsia="黑体"/>
          <w:sz w:val="32"/>
          <w:szCs w:val="32"/>
          <w:lang w:eastAsia="zh-CN"/>
        </w:rPr>
      </w:pPr>
      <w:r>
        <w:rPr>
          <w:rFonts w:hint="eastAsia" w:ascii="黑体" w:hAnsi="黑体" w:eastAsia="黑体"/>
          <w:sz w:val="32"/>
          <w:szCs w:val="32"/>
          <w:lang w:eastAsia="zh-CN"/>
        </w:rPr>
        <w:t>一、项目建设内容及批复意见</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（一）项目基本情况。</w:t>
      </w:r>
      <w:r>
        <w:rPr>
          <w:rFonts w:hint="eastAsia" w:ascii="仿宋_GB2312" w:hAnsi="仿宋_GB2312" w:eastAsia="仿宋_GB2312" w:cs="仿宋_GB2312"/>
          <w:bCs/>
          <w:sz w:val="32"/>
          <w:szCs w:val="32"/>
        </w:rPr>
        <w:t>远方矿业钽铌精矿提取及尾泥综合回收锂云母技术改造项目（一期）</w:t>
      </w:r>
      <w:r>
        <w:rPr>
          <w:rFonts w:hint="eastAsia" w:ascii="仿宋_GB2312" w:hAnsi="仿宋_GB2312" w:eastAsia="仿宋_GB2312" w:cs="仿宋_GB2312"/>
          <w:bCs/>
          <w:sz w:val="32"/>
          <w:szCs w:val="32"/>
          <w:lang w:eastAsia="zh-CN"/>
        </w:rPr>
        <w:t>拟建</w:t>
      </w:r>
      <w:r>
        <w:rPr>
          <w:rFonts w:hint="eastAsia" w:ascii="仿宋_GB2312" w:hAnsi="仿宋_GB2312" w:eastAsia="仿宋_GB2312" w:cs="仿宋_GB2312"/>
          <w:bCs/>
          <w:sz w:val="32"/>
          <w:szCs w:val="32"/>
        </w:rPr>
        <w:t>于宜春市袁州区新坊镇花桥村</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厂</w:t>
      </w:r>
      <w:r>
        <w:rPr>
          <w:rFonts w:hint="eastAsia" w:ascii="仿宋_GB2312" w:hAnsi="仿宋_GB2312" w:eastAsia="仿宋_GB2312" w:cs="仿宋_GB2312"/>
          <w:bCs/>
          <w:sz w:val="32"/>
          <w:szCs w:val="32"/>
          <w:lang w:eastAsia="zh-CN"/>
        </w:rPr>
        <w:t>址</w:t>
      </w:r>
      <w:r>
        <w:rPr>
          <w:rFonts w:ascii="仿宋_GB2312" w:hAnsi="仿宋_GB2312" w:eastAsia="仿宋_GB2312" w:cs="仿宋_GB2312"/>
          <w:bCs/>
          <w:sz w:val="32"/>
          <w:szCs w:val="32"/>
        </w:rPr>
        <w:t>中心地理坐标为东经</w:t>
      </w:r>
      <w:r>
        <w:rPr>
          <w:rFonts w:hint="eastAsia" w:ascii="仿宋_GB2312" w:hAnsi="仿宋_GB2312" w:eastAsia="仿宋_GB2312" w:cs="仿宋_GB2312"/>
          <w:bCs/>
          <w:sz w:val="32"/>
          <w:szCs w:val="32"/>
        </w:rPr>
        <w:t>114</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29</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6.540</w:t>
      </w:r>
      <w:r>
        <w:rPr>
          <w:rFonts w:hint="eastAsia" w:ascii="仿宋_GB2312" w:hAnsi="仿宋_GB2312" w:eastAsia="仿宋_GB2312" w:cs="仿宋_GB2312"/>
          <w:bCs/>
          <w:sz w:val="32"/>
          <w:szCs w:val="32"/>
          <w:lang w:eastAsia="zh-CN"/>
        </w:rPr>
        <w:t>″、</w:t>
      </w:r>
      <w:r>
        <w:rPr>
          <w:rFonts w:ascii="仿宋_GB2312" w:hAnsi="仿宋_GB2312" w:eastAsia="仿宋_GB2312" w:cs="仿宋_GB2312"/>
          <w:bCs/>
          <w:sz w:val="32"/>
          <w:szCs w:val="32"/>
        </w:rPr>
        <w:t>北纬</w:t>
      </w:r>
      <w:r>
        <w:rPr>
          <w:rFonts w:hint="eastAsia" w:ascii="仿宋_GB2312" w:hAnsi="仿宋_GB2312" w:eastAsia="仿宋_GB2312" w:cs="仿宋_GB2312"/>
          <w:bCs/>
          <w:sz w:val="32"/>
          <w:szCs w:val="32"/>
        </w:rPr>
        <w:t>27</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41</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18.020</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总占地面积</w:t>
      </w:r>
      <w:r>
        <w:rPr>
          <w:rFonts w:hint="eastAsia" w:ascii="仿宋_GB2312" w:hAnsi="仿宋_GB2312" w:eastAsia="仿宋_GB2312" w:cs="仿宋_GB2312"/>
          <w:bCs/>
          <w:color w:val="auto"/>
          <w:sz w:val="32"/>
          <w:szCs w:val="32"/>
          <w:lang w:val="en-US" w:eastAsia="zh-CN"/>
        </w:rPr>
        <w:t>65.631亩</w:t>
      </w:r>
      <w:r>
        <w:rPr>
          <w:rFonts w:hint="eastAsia" w:ascii="仿宋_GB2312" w:hAnsi="仿宋_GB2312" w:eastAsia="仿宋_GB2312" w:cs="仿宋_GB2312"/>
          <w:bCs/>
          <w:sz w:val="32"/>
          <w:szCs w:val="32"/>
          <w:lang w:val="en-US" w:eastAsia="zh-CN"/>
        </w:rPr>
        <w:t>。</w:t>
      </w:r>
      <w:r>
        <w:rPr>
          <w:rFonts w:eastAsia="仿宋_GB2312"/>
          <w:kern w:val="0"/>
          <w:sz w:val="32"/>
          <w:szCs w:val="32"/>
        </w:rPr>
        <w:t>项目</w:t>
      </w:r>
      <w:r>
        <w:rPr>
          <w:rFonts w:hint="eastAsia" w:eastAsia="仿宋_GB2312"/>
          <w:kern w:val="0"/>
          <w:sz w:val="32"/>
          <w:szCs w:val="32"/>
        </w:rPr>
        <w:t>南</w:t>
      </w:r>
      <w:r>
        <w:rPr>
          <w:rFonts w:eastAsia="仿宋_GB2312"/>
          <w:kern w:val="0"/>
          <w:sz w:val="32"/>
          <w:szCs w:val="32"/>
        </w:rPr>
        <w:t>面为</w:t>
      </w:r>
      <w:r>
        <w:rPr>
          <w:rFonts w:hint="eastAsia" w:eastAsia="仿宋_GB2312"/>
          <w:kern w:val="0"/>
          <w:sz w:val="32"/>
          <w:szCs w:val="32"/>
        </w:rPr>
        <w:t>花桥村，其余三面均</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为林地。</w:t>
      </w:r>
    </w:p>
    <w:p>
      <w:pPr>
        <w:keepNext w:val="0"/>
        <w:keepLines w:val="0"/>
        <w:pageBreakBefore w:val="0"/>
        <w:numPr>
          <w:ilvl w:val="0"/>
          <w:numId w:val="0"/>
        </w:numPr>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本项目为技改工程。主要以宜春市钽铌矿有限公司产出尾矿为原料，在现有生产线基础上配套建设1条重选生产线，新增摇床、溜槽工艺回收钽铌精矿。技改后全厂经球磨、磁选、重选、浮选等工序达年处理尾矿20万吨的生产能力。</w:t>
      </w:r>
    </w:p>
    <w:p>
      <w:pPr>
        <w:keepNext w:val="0"/>
        <w:keepLines w:val="0"/>
        <w:pageBreakBefore w:val="0"/>
        <w:numPr>
          <w:ilvl w:val="0"/>
          <w:numId w:val="0"/>
        </w:numPr>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本次技改项目产品方案：钽铌锡精矿52t/a。</w:t>
      </w:r>
    </w:p>
    <w:p>
      <w:pPr>
        <w:keepNext w:val="0"/>
        <w:keepLines w:val="0"/>
        <w:pageBreakBefore w:val="0"/>
        <w:numPr>
          <w:ilvl w:val="0"/>
          <w:numId w:val="0"/>
        </w:numPr>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本项目技改后全厂产品方案：锂云母3.39万t/a、粗长石粉13.961万t/a、钽铌精矿20t/a。</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本项目总投资800万元，其中环保投资56万元，占总投资的7%。</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rPr>
      </w:pPr>
      <w:r>
        <w:rPr>
          <w:rFonts w:hint="eastAsia" w:ascii="楷体_GB2312" w:hAnsi="楷体_GB2312" w:eastAsia="楷体_GB2312" w:cs="楷体_GB2312"/>
          <w:sz w:val="32"/>
          <w:szCs w:val="32"/>
        </w:rPr>
        <w:t>（二）项目批复意见。</w:t>
      </w:r>
      <w:r>
        <w:rPr>
          <w:rFonts w:hint="eastAsia" w:ascii="仿宋_GB2312" w:eastAsia="仿宋_GB2312"/>
          <w:sz w:val="32"/>
          <w:szCs w:val="32"/>
        </w:rPr>
        <w:t>你公司应全面落实《</w:t>
      </w:r>
      <w:r>
        <w:rPr>
          <w:rFonts w:hint="eastAsia" w:ascii="仿宋_GB2312" w:hAnsi="仿宋_GB2312" w:eastAsia="仿宋_GB2312" w:cs="仿宋_GB2312"/>
          <w:bCs/>
          <w:sz w:val="32"/>
          <w:szCs w:val="32"/>
        </w:rPr>
        <w:t>远方矿业钽铌精矿提取及尾泥综合回收锂云母技术改造项目（一期）</w:t>
      </w:r>
      <w:r>
        <w:rPr>
          <w:rFonts w:hint="eastAsia" w:ascii="仿宋_GB2312" w:eastAsia="仿宋_GB2312"/>
          <w:color w:val="000000"/>
          <w:sz w:val="32"/>
          <w:szCs w:val="32"/>
        </w:rPr>
        <w:t>环境影响报告书</w:t>
      </w:r>
      <w:r>
        <w:rPr>
          <w:rFonts w:hint="eastAsia" w:ascii="仿宋_GB2312" w:eastAsia="仿宋_GB2312"/>
          <w:sz w:val="32"/>
          <w:szCs w:val="32"/>
        </w:rPr>
        <w:t>》（以下简称《报告书》）和《</w:t>
      </w:r>
      <w:r>
        <w:rPr>
          <w:rFonts w:hint="eastAsia" w:ascii="仿宋_GB2312" w:hAnsi="仿宋_GB2312" w:eastAsia="仿宋_GB2312" w:cs="仿宋_GB2312"/>
          <w:bCs/>
          <w:sz w:val="32"/>
          <w:szCs w:val="32"/>
        </w:rPr>
        <w:t>远方矿业钽铌精矿提取及尾泥综合回收锂云母技术改造项目（一期）</w:t>
      </w:r>
      <w:r>
        <w:rPr>
          <w:rFonts w:hint="eastAsia" w:ascii="仿宋_GB2312" w:eastAsia="仿宋_GB2312"/>
          <w:sz w:val="32"/>
          <w:szCs w:val="32"/>
        </w:rPr>
        <w:t>环境影响报告书评估意见》（以下简称《评估意见》）提出的各项污染防治措施和环境风险防范措施，缓解和控制不利环境影响。</w:t>
      </w:r>
      <w:r>
        <w:rPr>
          <w:rFonts w:hint="eastAsia" w:ascii="仿宋_GB2312" w:hAnsi="仿宋_GB2312" w:eastAsia="仿宋_GB2312" w:cs="仿宋_GB2312"/>
          <w:color w:val="000000"/>
          <w:sz w:val="32"/>
          <w:szCs w:val="32"/>
        </w:rPr>
        <w:t>从环境保护角度</w:t>
      </w:r>
      <w:r>
        <w:rPr>
          <w:rFonts w:hint="eastAsia" w:ascii="仿宋_GB2312" w:eastAsia="仿宋_GB2312"/>
          <w:sz w:val="32"/>
          <w:szCs w:val="32"/>
        </w:rPr>
        <w:t>我局原则同意《报告书》中所列工程性质、地点、规模、生产工艺和环境保护措施。</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二、污染防治措施及要求</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项目在工程设计、建设和生产过程中必须认真落实《报告书》和《评估意见》提出的各项环保要求，严格执行宜春市生态环境保护工作领导小组办公室下发的《宜春市瓷土加工生产企业污染专项整治工作方案》和</w:t>
      </w:r>
      <w:r>
        <w:rPr>
          <w:rFonts w:hint="default" w:ascii="仿宋_GB2312" w:hAnsi="仿宋_GB2312" w:eastAsia="仿宋_GB2312" w:cs="仿宋_GB2312"/>
          <w:bCs/>
          <w:color w:val="auto"/>
          <w:kern w:val="2"/>
          <w:sz w:val="32"/>
          <w:szCs w:val="32"/>
          <w:highlight w:val="none"/>
          <w:lang w:val="en-US" w:eastAsia="zh-CN" w:bidi="ar-SA"/>
        </w:rPr>
        <w:t>《关于以生态环境高水平保护推动锂电新能源等产业高质量发展的二十条措施》</w:t>
      </w:r>
      <w:r>
        <w:rPr>
          <w:rFonts w:hint="eastAsia" w:ascii="仿宋_GB2312" w:hAnsi="仿宋_GB2312" w:eastAsia="仿宋_GB2312" w:cs="仿宋_GB2312"/>
          <w:bCs/>
          <w:color w:val="auto"/>
          <w:kern w:val="2"/>
          <w:sz w:val="32"/>
          <w:szCs w:val="32"/>
          <w:highlight w:val="none"/>
          <w:lang w:val="en-US" w:eastAsia="zh-CN" w:bidi="ar-SA"/>
        </w:rPr>
        <w:t>要求进行建设，并重点做好以下几项工作：</w:t>
      </w:r>
    </w:p>
    <w:p>
      <w:pPr>
        <w:keepNext w:val="0"/>
        <w:keepLines w:val="0"/>
        <w:pageBreakBefore w:val="0"/>
        <w:numPr>
          <w:ilvl w:val="0"/>
          <w:numId w:val="1"/>
        </w:numPr>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楷体_GB2312" w:hAnsi="楷体_GB2312" w:eastAsia="楷体_GB2312" w:cs="楷体_GB2312"/>
          <w:sz w:val="32"/>
          <w:szCs w:val="32"/>
        </w:rPr>
        <w:t>严格落实水污染防治措施。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按“清污分流、雨污分流、分质处理、一水多用”原则，合理制定废水收集、处理方案。项目废水主要为选矿废水、车辆清洗废水、</w:t>
      </w:r>
      <w:r>
        <w:rPr>
          <w:rFonts w:hint="eastAsia" w:ascii="仿宋_GB2312" w:hAnsi="仿宋_GB2312" w:eastAsia="仿宋_GB2312" w:cs="仿宋_GB2312"/>
          <w:bCs/>
          <w:snapToGrid w:val="0"/>
          <w:sz w:val="32"/>
          <w:szCs w:val="32"/>
        </w:rPr>
        <w:t>地面冲洗废水</w:t>
      </w:r>
      <w:r>
        <w:rPr>
          <w:rFonts w:hint="eastAsia" w:ascii="仿宋_GB2312" w:hAnsi="仿宋_GB2312" w:eastAsia="仿宋_GB2312" w:cs="仿宋_GB2312"/>
          <w:bCs/>
          <w:snapToGrid w:val="0"/>
          <w:sz w:val="32"/>
          <w:szCs w:val="32"/>
          <w:lang w:eastAsia="zh-CN"/>
        </w:rPr>
        <w:t>、</w:t>
      </w:r>
      <w:r>
        <w:rPr>
          <w:rFonts w:hint="eastAsia" w:ascii="仿宋_GB2312" w:hAnsi="仿宋_GB2312" w:eastAsia="仿宋_GB2312" w:cs="仿宋_GB2312"/>
          <w:bCs/>
          <w:snapToGrid w:val="0"/>
          <w:sz w:val="32"/>
          <w:szCs w:val="32"/>
        </w:rPr>
        <w:t>滤布冲洗水</w:t>
      </w:r>
      <w:r>
        <w:rPr>
          <w:rFonts w:hint="eastAsia" w:ascii="仿宋_GB2312" w:hAnsi="仿宋_GB2312" w:eastAsia="仿宋_GB2312" w:cs="仿宋_GB2312"/>
          <w:bCs/>
          <w:snapToGrid w:val="0"/>
          <w:color w:val="auto"/>
          <w:sz w:val="32"/>
          <w:szCs w:val="32"/>
          <w:lang w:val="en-US" w:eastAsia="zh-CN"/>
        </w:rPr>
        <w:t>、</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生活污水及初期雨水。</w:t>
      </w:r>
    </w:p>
    <w:p>
      <w:pPr>
        <w:keepNext w:val="0"/>
        <w:keepLines w:val="0"/>
        <w:pageBreakBefore w:val="0"/>
        <w:numPr>
          <w:ilvl w:val="0"/>
          <w:numId w:val="0"/>
        </w:numPr>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选矿废水经浓缩池处理，会同项目脱水、压榨后的废水、地面冲洗废水、滤布冲洗水经管道排至沉淀池处理后，回用于生产工序，不外排。车辆清洗废水经管道收集至洗车平台沉淀池沉淀后清水重新回用于车辆清洗。初期雨水经收集进入厂内初期雨水收集池，经初期雨水收集池沉淀后，回用于生产工序，不外排。生活污水经“隔油池+化粪池”设施处理达《农田灌溉水质标准》（GB5084-2021）中的“旱地作物”标准后不外排，用作周边林地灌溉。</w:t>
      </w:r>
    </w:p>
    <w:p>
      <w:pPr>
        <w:keepNext w:val="0"/>
        <w:keepLines w:val="0"/>
        <w:pageBreakBefore w:val="0"/>
        <w:numPr>
          <w:ilvl w:val="0"/>
          <w:numId w:val="0"/>
        </w:numPr>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ascii="楷体_GB2312" w:hAnsi="楷体_GB2312" w:eastAsia="楷体_GB2312" w:cs="楷体_GB2312"/>
          <w:color w:val="auto"/>
          <w:sz w:val="32"/>
          <w:szCs w:val="32"/>
        </w:rPr>
        <w:t>（二）严格落实大气污染防治措施</w:t>
      </w:r>
      <w:r>
        <w:rPr>
          <w:rFonts w:ascii="仿宋_GB2312" w:hAnsi="Calibri" w:eastAsia="仿宋_GB2312"/>
          <w:color w:val="auto"/>
          <w:sz w:val="32"/>
          <w:szCs w:val="32"/>
        </w:rPr>
        <w:t>。</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项目运营期废气主要为</w:t>
      </w:r>
      <w:r>
        <w:rPr>
          <w:rFonts w:hint="eastAsia" w:ascii="仿宋_GB2312" w:hAnsi="宋体" w:eastAsia="仿宋_GB2312"/>
          <w:bCs/>
          <w:sz w:val="32"/>
          <w:szCs w:val="32"/>
        </w:rPr>
        <w:t>堆场扬尘、装卸扬尘、输送带粉尘、车辆运输扬尘、柴油燃烧废气、食堂油烟等</w:t>
      </w:r>
      <w:r>
        <w:rPr>
          <w:rFonts w:hint="eastAsia" w:ascii="仿宋_GB2312" w:hAnsi="宋体" w:eastAsia="仿宋_GB2312" w:cs="Times New Roman"/>
          <w:bCs/>
          <w:color w:val="auto"/>
          <w:sz w:val="32"/>
          <w:szCs w:val="32"/>
          <w:lang w:eastAsia="zh-CN"/>
        </w:rPr>
        <w:t>。</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 xml:space="preserve">   </w:t>
      </w:r>
    </w:p>
    <w:p>
      <w:pPr>
        <w:keepNext w:val="0"/>
        <w:keepLines w:val="0"/>
        <w:pageBreakBefore w:val="0"/>
        <w:numPr>
          <w:ilvl w:val="0"/>
          <w:numId w:val="0"/>
        </w:numPr>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Cs/>
          <w:snapToGrid w:val="0"/>
          <w:sz w:val="32"/>
          <w:szCs w:val="32"/>
        </w:rPr>
        <w:t>堆场及装卸扬尘</w:t>
      </w:r>
      <w:r>
        <w:rPr>
          <w:rFonts w:hint="eastAsia" w:ascii="仿宋_GB2312" w:hAnsi="仿宋_GB2312" w:eastAsia="仿宋_GB2312" w:cs="仿宋_GB2312"/>
          <w:bCs/>
          <w:snapToGrid w:val="0"/>
          <w:sz w:val="32"/>
          <w:szCs w:val="32"/>
          <w:lang w:eastAsia="zh-CN"/>
        </w:rPr>
        <w:t>，</w:t>
      </w:r>
      <w:r>
        <w:rPr>
          <w:rFonts w:hint="eastAsia" w:ascii="仿宋_GB2312" w:hAnsi="仿宋_GB2312" w:eastAsia="仿宋_GB2312" w:cs="仿宋_GB2312"/>
          <w:bCs/>
          <w:snapToGrid w:val="0"/>
          <w:sz w:val="32"/>
          <w:szCs w:val="32"/>
        </w:rPr>
        <w:t>采用车间封闭、喷雾洒水</w:t>
      </w:r>
      <w:r>
        <w:rPr>
          <w:rFonts w:hint="eastAsia" w:ascii="仿宋_GB2312" w:hAnsi="仿宋_GB2312" w:eastAsia="仿宋_GB2312" w:cs="仿宋_GB2312"/>
          <w:bCs/>
          <w:snapToGrid w:val="0"/>
          <w:sz w:val="32"/>
          <w:szCs w:val="32"/>
          <w:lang w:eastAsia="zh-CN"/>
        </w:rPr>
        <w:t>，并</w:t>
      </w:r>
      <w:r>
        <w:rPr>
          <w:rFonts w:hint="eastAsia" w:ascii="仿宋_GB2312" w:hAnsi="仿宋_GB2312" w:eastAsia="仿宋_GB2312" w:cs="仿宋_GB2312"/>
          <w:bCs/>
          <w:snapToGrid w:val="0"/>
          <w:sz w:val="32"/>
          <w:szCs w:val="32"/>
        </w:rPr>
        <w:t>在装卸处配置洒水抑尘，不在敞开处进行装卸</w:t>
      </w:r>
      <w:r>
        <w:rPr>
          <w:rFonts w:hint="eastAsia" w:ascii="仿宋_GB2312" w:hAnsi="仿宋_GB2312" w:eastAsia="仿宋_GB2312" w:cs="仿宋_GB2312"/>
          <w:bCs/>
          <w:snapToGrid w:val="0"/>
          <w:sz w:val="32"/>
          <w:szCs w:val="32"/>
          <w:lang w:eastAsia="zh-CN"/>
        </w:rPr>
        <w:t>等措施</w:t>
      </w:r>
      <w:r>
        <w:rPr>
          <w:rFonts w:hint="eastAsia" w:ascii="仿宋_GB2312" w:hAnsi="仿宋_GB2312" w:eastAsia="仿宋_GB2312" w:cs="仿宋_GB2312"/>
          <w:bCs/>
          <w:snapToGrid w:val="0"/>
          <w:sz w:val="32"/>
          <w:szCs w:val="32"/>
        </w:rPr>
        <w:t>，防止粉尘飞扬；</w:t>
      </w:r>
      <w:r>
        <w:rPr>
          <w:rFonts w:hint="eastAsia" w:ascii="仿宋_GB2312" w:hAnsi="宋体" w:eastAsia="仿宋_GB2312"/>
          <w:bCs/>
          <w:sz w:val="32"/>
          <w:szCs w:val="32"/>
        </w:rPr>
        <w:t>输送带粉尘</w:t>
      </w:r>
      <w:r>
        <w:rPr>
          <w:rFonts w:hint="eastAsia" w:ascii="仿宋_GB2312" w:hAnsi="仿宋_GB2312" w:eastAsia="仿宋_GB2312" w:cs="仿宋_GB2312"/>
          <w:bCs/>
          <w:sz w:val="32"/>
          <w:szCs w:val="32"/>
          <w:lang w:eastAsia="zh-CN"/>
        </w:rPr>
        <w:t>，通过</w:t>
      </w:r>
      <w:r>
        <w:rPr>
          <w:rFonts w:hint="eastAsia" w:ascii="仿宋_GB2312" w:hAnsi="仿宋_GB2312" w:eastAsia="仿宋_GB2312" w:cs="仿宋_GB2312"/>
          <w:snapToGrid w:val="0"/>
          <w:sz w:val="32"/>
          <w:szCs w:val="32"/>
        </w:rPr>
        <w:t>输送带</w:t>
      </w:r>
      <w:r>
        <w:rPr>
          <w:rFonts w:hint="eastAsia" w:ascii="仿宋_GB2312" w:hAnsi="仿宋_GB2312" w:eastAsia="仿宋_GB2312" w:cs="仿宋_GB2312"/>
          <w:snapToGrid w:val="0"/>
          <w:sz w:val="32"/>
          <w:szCs w:val="32"/>
          <w:lang w:eastAsia="zh-CN"/>
        </w:rPr>
        <w:t>封闭，</w:t>
      </w:r>
      <w:r>
        <w:rPr>
          <w:rFonts w:hint="eastAsia" w:ascii="仿宋_GB2312" w:hAnsi="仿宋_GB2312" w:eastAsia="仿宋_GB2312" w:cs="仿宋_GB2312"/>
          <w:snapToGrid w:val="0"/>
          <w:sz w:val="32"/>
          <w:szCs w:val="32"/>
        </w:rPr>
        <w:t>设置水喷淋装置，保持矿料的湿度</w:t>
      </w:r>
      <w:r>
        <w:rPr>
          <w:rFonts w:hint="eastAsia" w:ascii="仿宋_GB2312" w:hAnsi="仿宋_GB2312" w:eastAsia="仿宋_GB2312" w:cs="仿宋_GB2312"/>
          <w:bCs/>
          <w:snapToGrid w:val="0"/>
          <w:sz w:val="32"/>
          <w:szCs w:val="32"/>
          <w:lang w:eastAsia="zh-CN"/>
        </w:rPr>
        <w:t>等措施</w:t>
      </w:r>
      <w:r>
        <w:rPr>
          <w:rFonts w:hint="eastAsia" w:ascii="仿宋_GB2312" w:hAnsi="仿宋_GB2312" w:eastAsia="仿宋_GB2312" w:cs="仿宋_GB2312"/>
          <w:snapToGrid w:val="0"/>
          <w:sz w:val="32"/>
          <w:szCs w:val="32"/>
          <w:lang w:eastAsia="zh-CN"/>
        </w:rPr>
        <w:t>，沉降大部分粉尘；</w:t>
      </w:r>
      <w:r>
        <w:rPr>
          <w:rFonts w:hint="eastAsia" w:ascii="仿宋_GB2312" w:hAnsi="仿宋_GB2312" w:eastAsia="仿宋_GB2312" w:cs="仿宋_GB2312"/>
          <w:bCs/>
          <w:snapToGrid w:val="0"/>
          <w:sz w:val="32"/>
          <w:szCs w:val="32"/>
        </w:rPr>
        <w:t>运输扬尘，通过对运</w:t>
      </w:r>
      <w:r>
        <w:rPr>
          <w:rFonts w:hint="eastAsia" w:ascii="仿宋_GB2312" w:hAnsi="仿宋_GB2312" w:eastAsia="仿宋_GB2312" w:cs="仿宋_GB2312"/>
          <w:kern w:val="0"/>
          <w:sz w:val="32"/>
          <w:szCs w:val="32"/>
        </w:rPr>
        <w:t>输车辆加蓬盖，易洒落散装物料的卡车按规定配置防洒装备，勤洒水，设置车辆冲洗平台，车辆进出厂区需经洗车平台进行冲洗、限制车辆速度等措施</w:t>
      </w:r>
      <w:r>
        <w:rPr>
          <w:rFonts w:hint="eastAsia" w:ascii="仿宋_GB2312" w:hAnsi="仿宋_GB2312" w:eastAsia="仿宋_GB2312" w:cs="仿宋_GB2312"/>
          <w:kern w:val="0"/>
          <w:sz w:val="32"/>
          <w:szCs w:val="32"/>
          <w:lang w:eastAsia="zh-CN"/>
        </w:rPr>
        <w:t>抑尘</w:t>
      </w:r>
      <w:r>
        <w:rPr>
          <w:rFonts w:hint="eastAsia" w:ascii="仿宋_GB2312" w:hAnsi="仿宋_GB2312" w:eastAsia="仿宋_GB2312" w:cs="仿宋_GB2312"/>
          <w:kern w:val="0"/>
          <w:sz w:val="32"/>
          <w:szCs w:val="32"/>
        </w:rPr>
        <w:t>。</w:t>
      </w:r>
      <w:r>
        <w:rPr>
          <w:rFonts w:hint="eastAsia" w:ascii="仿宋_GB2312" w:hAnsi="仿宋_GB2312" w:eastAsia="仿宋_GB2312" w:cs="仿宋_GB2312"/>
          <w:bCs/>
          <w:snapToGrid w:val="0"/>
          <w:sz w:val="32"/>
          <w:szCs w:val="32"/>
        </w:rPr>
        <w:t>采取以上措施后，颗粒物无组织排放</w:t>
      </w:r>
      <w:r>
        <w:rPr>
          <w:rFonts w:hint="eastAsia" w:ascii="仿宋_GB2312" w:hAnsi="仿宋_GB2312" w:eastAsia="仿宋_GB2312" w:cs="仿宋_GB2312"/>
          <w:bCs/>
          <w:snapToGrid w:val="0"/>
          <w:sz w:val="32"/>
          <w:szCs w:val="32"/>
          <w:lang w:eastAsia="zh-CN"/>
        </w:rPr>
        <w:t>应</w:t>
      </w:r>
      <w:r>
        <w:rPr>
          <w:rFonts w:hint="eastAsia" w:ascii="仿宋_GB2312" w:hAnsi="仿宋_GB2312" w:eastAsia="仿宋_GB2312" w:cs="仿宋_GB2312"/>
          <w:bCs/>
          <w:snapToGrid w:val="0"/>
          <w:sz w:val="32"/>
          <w:szCs w:val="32"/>
        </w:rPr>
        <w:t>满足《大气污染物综合排放标准》（GB16297-1996）中无组织排放标准要求。</w:t>
      </w:r>
    </w:p>
    <w:p>
      <w:pPr>
        <w:pStyle w:val="26"/>
        <w:keepNext w:val="0"/>
        <w:keepLines w:val="0"/>
        <w:pageBreakBefore w:val="0"/>
        <w:kinsoku/>
        <w:wordWrap/>
        <w:overflowPunct/>
        <w:topLinePunct w:val="0"/>
        <w:bidi w:val="0"/>
        <w:spacing w:line="560" w:lineRule="exact"/>
        <w:ind w:firstLine="640" w:firstLineChars="200"/>
        <w:textAlignment w:val="auto"/>
        <w:rPr>
          <w:rFonts w:hint="eastAsia"/>
          <w:lang w:val="en-US" w:eastAsia="zh-CN"/>
        </w:rPr>
      </w:pPr>
      <w:r>
        <w:rPr>
          <w:rFonts w:hint="eastAsia" w:ascii="仿宋_GB2312" w:hAnsi="仿宋_GB2312" w:eastAsia="仿宋_GB2312" w:cs="仿宋_GB2312"/>
          <w:bCs/>
          <w:snapToGrid w:val="0"/>
          <w:sz w:val="32"/>
          <w:szCs w:val="32"/>
          <w:lang w:eastAsia="zh-CN"/>
        </w:rPr>
        <w:t>柴油燃烧废气，</w:t>
      </w:r>
      <w:r>
        <w:rPr>
          <w:rFonts w:hint="eastAsia" w:ascii="仿宋_GB2312" w:hAnsi="仿宋_GB2312" w:eastAsia="仿宋_GB2312" w:cs="仿宋_GB2312"/>
          <w:bCs/>
          <w:snapToGrid w:val="0"/>
          <w:sz w:val="32"/>
          <w:szCs w:val="32"/>
        </w:rPr>
        <w:t>通过使用符合国家排放标准的机械设备</w:t>
      </w:r>
      <w:r>
        <w:rPr>
          <w:rFonts w:hint="eastAsia" w:hAnsi="仿宋_GB2312" w:cs="仿宋_GB2312"/>
          <w:bCs/>
          <w:snapToGrid w:val="0"/>
          <w:sz w:val="32"/>
          <w:szCs w:val="32"/>
          <w:lang w:eastAsia="zh-CN"/>
        </w:rPr>
        <w:t>，</w:t>
      </w:r>
      <w:r>
        <w:rPr>
          <w:rFonts w:hint="eastAsia" w:ascii="仿宋_GB2312" w:hAnsi="仿宋_GB2312" w:eastAsia="仿宋_GB2312" w:cs="仿宋_GB2312"/>
          <w:bCs/>
          <w:snapToGrid w:val="0"/>
          <w:sz w:val="32"/>
          <w:szCs w:val="32"/>
        </w:rPr>
        <w:t>加强管理，</w:t>
      </w:r>
      <w:r>
        <w:rPr>
          <w:rFonts w:hint="eastAsia" w:ascii="仿宋_GB2312" w:hAnsi="仿宋_GB2312" w:eastAsia="仿宋_GB2312" w:cs="仿宋_GB2312"/>
          <w:b w:val="0"/>
          <w:snapToGrid w:val="0"/>
          <w:color w:val="auto"/>
          <w:sz w:val="32"/>
          <w:szCs w:val="32"/>
          <w:lang w:val="en-US" w:eastAsia="zh-CN"/>
        </w:rPr>
        <w:t>食堂油烟采用油烟净化器处理，处理后满足</w:t>
      </w:r>
      <w:r>
        <w:rPr>
          <w:rFonts w:ascii="仿宋_GB2312" w:hAnsi="仿宋_GB2312" w:eastAsia="仿宋_GB2312" w:cs="仿宋_GB2312"/>
          <w:b w:val="0"/>
          <w:snapToGrid w:val="0"/>
          <w:color w:val="auto"/>
          <w:sz w:val="32"/>
          <w:szCs w:val="32"/>
          <w:lang w:val="en-US" w:eastAsia="zh-CN"/>
        </w:rPr>
        <w:t>《饮食业油烟排放标准》（GB18483-2001）</w:t>
      </w:r>
      <w:r>
        <w:rPr>
          <w:rFonts w:hint="eastAsia" w:ascii="仿宋_GB2312" w:hAnsi="仿宋_GB2312" w:eastAsia="仿宋_GB2312" w:cs="仿宋_GB2312"/>
          <w:b w:val="0"/>
          <w:snapToGrid w:val="0"/>
          <w:color w:val="auto"/>
          <w:sz w:val="32"/>
          <w:szCs w:val="32"/>
          <w:lang w:val="en-US" w:eastAsia="zh-CN"/>
        </w:rPr>
        <w:t>小</w:t>
      </w:r>
      <w:r>
        <w:rPr>
          <w:rFonts w:ascii="仿宋_GB2312" w:hAnsi="仿宋_GB2312" w:eastAsia="仿宋_GB2312" w:cs="仿宋_GB2312"/>
          <w:b w:val="0"/>
          <w:snapToGrid w:val="0"/>
          <w:color w:val="auto"/>
          <w:sz w:val="32"/>
          <w:szCs w:val="32"/>
          <w:lang w:val="en-US" w:eastAsia="zh-CN"/>
        </w:rPr>
        <w:t>型要</w:t>
      </w:r>
      <w:r>
        <w:rPr>
          <w:rFonts w:hint="eastAsia" w:ascii="仿宋_GB2312" w:hAnsi="仿宋_GB2312" w:eastAsia="仿宋_GB2312" w:cs="仿宋_GB2312"/>
          <w:b w:val="0"/>
          <w:bCs w:val="0"/>
          <w:snapToGrid w:val="0"/>
          <w:color w:val="auto"/>
          <w:sz w:val="32"/>
          <w:szCs w:val="32"/>
          <w:lang w:val="en-US" w:eastAsia="zh-CN"/>
        </w:rPr>
        <w:t>求后经专用烟囱屋顶排放</w:t>
      </w:r>
      <w:r>
        <w:rPr>
          <w:rFonts w:hint="eastAsia" w:hAnsi="仿宋_GB2312" w:cs="仿宋_GB2312"/>
          <w:b w:val="0"/>
          <w:bCs w:val="0"/>
          <w:snapToGrid w:val="0"/>
          <w:color w:val="auto"/>
          <w:sz w:val="32"/>
          <w:szCs w:val="32"/>
          <w:lang w:val="en-US" w:eastAsia="zh-CN"/>
        </w:rPr>
        <w:t>。</w:t>
      </w:r>
    </w:p>
    <w:p>
      <w:pPr>
        <w:keepNext w:val="0"/>
        <w:keepLines w:val="0"/>
        <w:pageBreakBefore w:val="0"/>
        <w:numPr>
          <w:ilvl w:val="0"/>
          <w:numId w:val="2"/>
        </w:numPr>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sz w:val="32"/>
          <w:szCs w:val="32"/>
        </w:rPr>
        <w:t>严格落实噪声污染防治措施。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项目噪声主要来源于球</w:t>
      </w:r>
      <w:r>
        <w:rPr>
          <w:rFonts w:hint="eastAsia" w:ascii="仿宋_GB2312" w:hAnsi="宋体" w:eastAsia="仿宋_GB2312"/>
          <w:sz w:val="32"/>
          <w:szCs w:val="32"/>
        </w:rPr>
        <w:t>磨机、空压机、</w:t>
      </w:r>
      <w:r>
        <w:rPr>
          <w:rFonts w:hint="eastAsia" w:ascii="仿宋_GB2312" w:hAnsi="宋体" w:eastAsia="仿宋_GB2312"/>
          <w:sz w:val="32"/>
          <w:szCs w:val="32"/>
          <w:lang w:eastAsia="zh-CN"/>
        </w:rPr>
        <w:t>渣浆</w:t>
      </w:r>
      <w:r>
        <w:rPr>
          <w:rFonts w:hint="eastAsia" w:ascii="仿宋_GB2312" w:hAnsi="宋体" w:eastAsia="仿宋_GB2312"/>
          <w:sz w:val="32"/>
          <w:szCs w:val="32"/>
        </w:rPr>
        <w:t>泵</w:t>
      </w:r>
      <w:r>
        <w:rPr>
          <w:rFonts w:ascii="仿宋_GB2312" w:hAnsi="宋体" w:eastAsia="仿宋_GB2312"/>
          <w:color w:val="auto"/>
          <w:sz w:val="32"/>
          <w:szCs w:val="32"/>
        </w:rPr>
        <w:t>等设备及车辆运输噪声</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。应采取隔声、减振等降噪措施，定期对隔声罩、减震装置等降噪设施进行检查和维护，维持设备处于良好的运转状态，经厂房、围墙隔音及距离衰减等措施后，</w:t>
      </w:r>
      <w:r>
        <w:rPr>
          <w:rFonts w:hint="eastAsia" w:ascii="仿宋_GB2312" w:hAnsi="宋体" w:eastAsia="仿宋_GB2312"/>
          <w:color w:val="auto"/>
          <w:sz w:val="32"/>
          <w:szCs w:val="32"/>
        </w:rPr>
        <w:t>厂界噪声</w:t>
      </w:r>
      <w:r>
        <w:rPr>
          <w:rFonts w:hint="eastAsia" w:ascii="仿宋_GB2312" w:hAnsi="宋体" w:eastAsia="仿宋_GB2312"/>
          <w:color w:val="auto"/>
          <w:sz w:val="32"/>
          <w:szCs w:val="32"/>
          <w:lang w:eastAsia="zh-CN"/>
        </w:rPr>
        <w:t>应</w:t>
      </w:r>
      <w:r>
        <w:rPr>
          <w:rFonts w:hint="eastAsia" w:ascii="仿宋_GB2312" w:hAnsi="宋体" w:eastAsia="仿宋_GB2312"/>
          <w:color w:val="auto"/>
          <w:sz w:val="32"/>
          <w:szCs w:val="32"/>
        </w:rPr>
        <w:t>满足《工业企业厂界环境噪声排放标准》（GB12348-2008）中</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类标准</w:t>
      </w:r>
      <w:r>
        <w:rPr>
          <w:rFonts w:hint="eastAsia" w:ascii="仿宋_GB2312" w:hAnsi="仿宋_GB2312" w:eastAsia="仿宋_GB2312" w:cs="仿宋_GB2312"/>
          <w:color w:val="auto"/>
          <w:sz w:val="32"/>
          <w:szCs w:val="32"/>
          <w:shd w:val="clear" w:color="auto" w:fill="auto"/>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56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严格落实固体废物分类处置和综合利用措施。</w:t>
      </w:r>
      <w:r>
        <w:rPr>
          <w:rFonts w:hint="eastAsia" w:ascii="仿宋_GB2312" w:hAnsi="仿宋_GB2312" w:eastAsia="仿宋_GB2312" w:cs="仿宋_GB2312"/>
          <w:color w:val="auto"/>
          <w:sz w:val="32"/>
          <w:szCs w:val="32"/>
          <w:lang w:val="en-US" w:eastAsia="zh-CN"/>
        </w:rPr>
        <w:t>应按“资源化、减量化、无害化”处置原则，认真落实固废分类收集、处置和综合利用措施。产生的一般工业固体废物应合法处置，生活垃圾收集后由当地环卫部门统一清运处置。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应在厂区内设置足够容积的一般工业固体废物暂存库和危险废物暂存库。危险废物暂存库设计、建设和运行必须满足《危险废物贮存污染控制标准》（GB 18597-2001）及其修改单要求；一般工业固体废物综合利用或合理处置，一般工业固体废物暂存库设计、建设和运行必须满足《一般工业固体废物贮存和填埋污染控制标准》(GB 18599-2020)要求。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（五）严格落实土壤及地下水污染防治措施。</w:t>
      </w:r>
      <w:r>
        <w:rPr>
          <w:rFonts w:hint="eastAsia" w:ascii="仿宋_GB2312" w:hAnsi="仿宋_GB2312" w:eastAsia="仿宋_GB2312" w:cs="仿宋_GB2312"/>
          <w:color w:val="auto"/>
          <w:sz w:val="32"/>
          <w:szCs w:val="32"/>
          <w:lang w:val="en-US" w:eastAsia="zh-CN"/>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560" w:lineRule="exact"/>
        <w:ind w:left="0" w:right="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影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color w:val="auto"/>
          <w:lang w:val="en-US"/>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六</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严格落实辐射防治措施。</w:t>
      </w:r>
      <w:r>
        <w:rPr>
          <w:rFonts w:hint="eastAsia" w:ascii="仿宋_GB2312" w:hAnsi="仿宋_GB2312" w:eastAsia="仿宋_GB2312" w:cs="仿宋_GB2312"/>
          <w:color w:val="auto"/>
          <w:sz w:val="32"/>
          <w:szCs w:val="32"/>
          <w:lang w:val="en-US" w:eastAsia="zh-CN"/>
        </w:rPr>
        <w:t>按照环境影响报告书要求，落实各项放射性污染防治措施，确保辐射环境安全。按照《伴生放射性矿开发利用企业环境辐射监测及信息公开办法（试行）》制定年度辐射环境监测方案，委托有资质单位定期监测，并公开年度监测报告。按照《伴生放射性物料贮存及固体废物填埋辐射环境保护技术规范（试行）》（HJ1114-2020）相关要求建设钽铌精矿产品仓库，钽铌精矿产品按照（HJ1114-2020）的规定进行贮存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）严格落实环境风险防范措施。</w:t>
      </w:r>
      <w:r>
        <w:rPr>
          <w:rFonts w:hint="eastAsia" w:ascii="仿宋_GB2312" w:hAnsi="仿宋_GB2312" w:eastAsia="仿宋_GB2312" w:cs="仿宋_GB2312"/>
          <w:color w:val="auto"/>
          <w:sz w:val="32"/>
          <w:szCs w:val="32"/>
          <w:lang w:val="en-US" w:eastAsia="zh-CN"/>
        </w:rPr>
        <w:t>严格落实《报告书》和《评估意见》提出的各项环境风险防控措施。严格按照有关规范标准的要求对各车间进行管理。在厂区周围设置雨水截流沟，防止山体汇流面雨水对厂区及废水处理设施造成影响；按环评要求规范保障足够容积的事故应急设施，发生事故时，及时启动事故应急池收集泄漏废水、物料等，防止废水直排，并应在发生事故时，立即停止生产，关闭门窗，防止粉尘泄漏至车间外；危废暂存间设置围堰并采取防腐防渗措施，防止废机油泄露至车间外。健全企业环境风险防范与应急管理体系，制定全厂环境风险防控措施和突发环境事件应急预案。突发环境事件应急预案（须报市、县生态环境部门备案）应与园区相邻企业、当地政府进行有效衔接，定期协同有关部门开展应急演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）排污口规范化和环境监测要求。</w:t>
      </w:r>
      <w:r>
        <w:rPr>
          <w:rFonts w:hint="eastAsia" w:ascii="仿宋_GB2312" w:hAnsi="仿宋_GB2312" w:eastAsia="仿宋_GB2312" w:cs="仿宋_GB2312"/>
          <w:color w:val="auto"/>
          <w:sz w:val="32"/>
          <w:szCs w:val="32"/>
          <w:lang w:val="en-US" w:eastAsia="zh-CN"/>
        </w:rPr>
        <w:t>按照国家有关规定设置规范的污染物排放口，并设立标志牌。项目废气和废水排放设施按要求设置永久监测采样口。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）项目周围规划控制要求。</w:t>
      </w:r>
      <w:r>
        <w:rPr>
          <w:rFonts w:hint="eastAsia" w:ascii="仿宋_GB2312" w:hAnsi="仿宋_GB2312" w:eastAsia="仿宋_GB2312" w:cs="仿宋_GB2312"/>
          <w:color w:val="auto"/>
          <w:sz w:val="32"/>
          <w:szCs w:val="32"/>
          <w:lang w:val="en-US" w:eastAsia="zh-CN"/>
        </w:rPr>
        <w:t>根据《报告书》和《评估意见》结论，</w:t>
      </w:r>
      <w:r>
        <w:rPr>
          <w:rFonts w:hint="eastAsia" w:ascii="仿宋_GB2312" w:hAnsi="仿宋_GB2312" w:eastAsia="仿宋_GB2312" w:cs="仿宋_GB2312"/>
          <w:snapToGrid w:val="0"/>
          <w:color w:val="000000"/>
          <w:sz w:val="32"/>
          <w:szCs w:val="32"/>
        </w:rPr>
        <w:t>确定本项目</w:t>
      </w:r>
      <w:r>
        <w:rPr>
          <w:rFonts w:hint="eastAsia" w:ascii="仿宋_GB2312" w:eastAsia="仿宋_GB2312"/>
          <w:bCs/>
          <w:sz w:val="32"/>
          <w:szCs w:val="32"/>
        </w:rPr>
        <w:t>原料仓库、锂云母仓库、长石粉仓库、压榨泥仓库、磁选品堆放区</w:t>
      </w:r>
      <w:r>
        <w:rPr>
          <w:rFonts w:ascii="仿宋_GB2312" w:hAnsi="Times New Roman" w:eastAsia="仿宋_GB2312" w:cs="Times New Roman"/>
          <w:bCs/>
          <w:color w:val="auto"/>
          <w:sz w:val="32"/>
          <w:szCs w:val="32"/>
        </w:rPr>
        <w:t>等</w:t>
      </w:r>
      <w:r>
        <w:rPr>
          <w:rFonts w:hint="eastAsia" w:ascii="仿宋_GB2312" w:hAnsi="仿宋_GB2312" w:eastAsia="仿宋_GB2312" w:cs="仿宋_GB2312"/>
          <w:color w:val="auto"/>
          <w:sz w:val="32"/>
          <w:szCs w:val="32"/>
          <w:lang w:eastAsia="zh-CN"/>
        </w:rPr>
        <w:t>设置</w:t>
      </w:r>
      <w:r>
        <w:rPr>
          <w:rFonts w:hint="eastAsia" w:ascii="仿宋_GB2312" w:hAnsi="仿宋_GB2312" w:eastAsia="仿宋_GB2312" w:cs="仿宋_GB2312"/>
          <w:color w:val="auto"/>
          <w:sz w:val="32"/>
          <w:szCs w:val="32"/>
        </w:rPr>
        <w:t>50m的</w:t>
      </w:r>
      <w:r>
        <w:rPr>
          <w:rFonts w:hint="eastAsia" w:ascii="仿宋_GB2312" w:hAnsi="仿宋_GB2312" w:eastAsia="仿宋_GB2312" w:cs="仿宋_GB2312"/>
          <w:color w:val="auto"/>
          <w:sz w:val="32"/>
          <w:szCs w:val="32"/>
          <w:lang w:eastAsia="zh-CN"/>
        </w:rPr>
        <w:t>卫生防护距离，</w:t>
      </w:r>
      <w:r>
        <w:rPr>
          <w:rFonts w:hint="eastAsia" w:ascii="仿宋_GB2312" w:hAnsi="仿宋_GB2312" w:eastAsia="仿宋_GB2312" w:cs="仿宋_GB2312"/>
          <w:color w:val="auto"/>
          <w:sz w:val="32"/>
          <w:szCs w:val="32"/>
          <w:lang w:val="en-US" w:eastAsia="zh-CN"/>
        </w:rPr>
        <w:t>你公司应配合政府和规划部门做好项目周边规划管控，项目卫生防护距离范围内不得新建居民住宅、学校、医院等环境敏感建筑。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rPr>
        <w:t>）严格落实“以新带老”污染防治措施。</w:t>
      </w:r>
      <w:r>
        <w:rPr>
          <w:rFonts w:hint="eastAsia" w:ascii="仿宋_GB2312" w:hAnsi="仿宋_GB2312" w:eastAsia="仿宋_GB2312" w:cs="仿宋_GB2312"/>
          <w:color w:val="auto"/>
          <w:sz w:val="32"/>
          <w:szCs w:val="32"/>
          <w:lang w:val="en-US" w:eastAsia="zh-CN"/>
        </w:rPr>
        <w:t>应按《评估意见》要求</w:t>
      </w:r>
      <w:r>
        <w:rPr>
          <w:rFonts w:hint="eastAsia" w:ascii="仿宋_GB2312" w:hAnsi="仿宋_GB2312" w:eastAsia="仿宋_GB2312" w:cs="仿宋_GB2312"/>
          <w:caps w:val="0"/>
          <w:smallCaps w:val="0"/>
          <w:color w:val="auto"/>
          <w:sz w:val="32"/>
          <w:szCs w:val="32"/>
          <w:lang w:val="en-US" w:eastAsia="zh-CN"/>
        </w:rPr>
        <w:t>，</w:t>
      </w:r>
      <w:r>
        <w:rPr>
          <w:rFonts w:hint="eastAsia" w:ascii="仿宋_GB2312" w:hAnsi="宋体" w:eastAsia="仿宋_GB2312"/>
          <w:color w:val="auto"/>
          <w:sz w:val="32"/>
          <w:szCs w:val="32"/>
          <w:lang w:val="en-US" w:eastAsia="zh-CN"/>
        </w:rPr>
        <w:t>完善厂区雨污管网，厂区四周设置截水沟，确保清污分流、雨污分流</w:t>
      </w:r>
      <w:r>
        <w:rPr>
          <w:rFonts w:hint="eastAsia" w:ascii="仿宋_GB2312" w:hAnsi="仿宋_GB2312" w:eastAsia="仿宋_GB2312" w:cs="仿宋_GB2312"/>
          <w:caps w:val="0"/>
          <w:smallCaps w:val="0"/>
          <w:color w:val="auto"/>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落实改建初期雨水池并采取重点防渗措施；对钽铌仓库设置相关防辐射的措施，并在仓库四周醒目位置设置电离辐射警告标志；规范厂区管理，对厂区破裂路面进行维修，并及时清扫路面，严禁运输车辆跑冒滴漏，散装物料采用密闭式输送避免物料的散落，减少无组织粉尘的排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十一</w:t>
      </w:r>
      <w:r>
        <w:rPr>
          <w:rFonts w:hint="eastAsia" w:ascii="楷体_GB2312" w:hAnsi="楷体_GB2312" w:eastAsia="楷体_GB2312" w:cs="楷体_GB2312"/>
          <w:sz w:val="32"/>
          <w:szCs w:val="32"/>
        </w:rPr>
        <w:t>）环境信息公开要求。</w:t>
      </w:r>
      <w:r>
        <w:rPr>
          <w:rFonts w:hint="eastAsia" w:ascii="仿宋_GB2312" w:hAnsi="仿宋_GB2312" w:eastAsia="仿宋_GB2312" w:cs="仿宋_GB2312"/>
          <w:color w:val="auto"/>
          <w:sz w:val="32"/>
          <w:szCs w:val="32"/>
          <w:lang w:val="en-US" w:eastAsia="zh-CN"/>
        </w:rPr>
        <w:t>你公司应依法实施信息公开，接受社会监督。项目投产后应定期公示企业环境报告，公布污染物排放和环境管理情况。</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三、项目建设和竣工验收的环保要求</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四、其他环保要求</w:t>
      </w:r>
    </w:p>
    <w:p>
      <w:pPr>
        <w:keepNext w:val="0"/>
        <w:keepLines w:val="0"/>
        <w:pageBreakBefore w:val="0"/>
        <w:widowControl w:val="0"/>
        <w:kinsoku/>
        <w:wordWrap/>
        <w:overflowPunct/>
        <w:topLinePunct w:val="0"/>
        <w:autoSpaceDE w:val="0"/>
        <w:autoSpaceDN/>
        <w:bidi w:val="0"/>
        <w:adjustRightInd w:val="0"/>
        <w:snapToGrid w:val="0"/>
        <w:spacing w:line="560" w:lineRule="exact"/>
        <w:ind w:firstLine="640" w:firstLineChars="200"/>
        <w:textAlignment w:val="auto"/>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hAnsi="Calibri" w:eastAsia="仿宋_GB2312"/>
          <w:color w:val="000000"/>
          <w:sz w:val="32"/>
          <w:szCs w:val="32"/>
          <w:lang w:eastAsia="zh-CN"/>
        </w:rPr>
        <w:t>本项目批准后</w:t>
      </w:r>
      <w:r>
        <w:rPr>
          <w:rFonts w:hint="eastAsia" w:ascii="仿宋_GB2312" w:hAnsi="Calibri" w:eastAsia="仿宋_GB2312"/>
          <w:color w:val="000000"/>
          <w:sz w:val="32"/>
          <w:szCs w:val="32"/>
        </w:rPr>
        <w:t>，若项目建设性质、规模、地点、内容、采用的生产工艺或者防治污染的措施等发生重大变化应重新报批环境影响评价文件，审批后超过5年方动工建设的，应当报我局重新审核。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楷体" w:hAnsi="楷体" w:eastAsia="楷体" w:cs="楷体"/>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rPr>
        <w:t>（三）日常环保监管。</w:t>
      </w:r>
      <w:r>
        <w:rPr>
          <w:rFonts w:hint="eastAsia" w:ascii="仿宋_GB2312" w:eastAsia="仿宋_GB2312"/>
          <w:color w:val="000000"/>
          <w:sz w:val="32"/>
          <w:szCs w:val="32"/>
        </w:rPr>
        <w:t>请</w:t>
      </w:r>
      <w:r>
        <w:rPr>
          <w:rFonts w:hint="eastAsia" w:ascii="仿宋_GB2312" w:eastAsia="仿宋_GB2312"/>
          <w:color w:val="000000"/>
          <w:sz w:val="32"/>
          <w:szCs w:val="32"/>
          <w:lang w:val="en-US" w:eastAsia="zh-CN"/>
        </w:rPr>
        <w:t>宜春市生态环境保护综合执法支队和</w:t>
      </w:r>
      <w:r>
        <w:rPr>
          <w:rFonts w:hint="eastAsia" w:ascii="仿宋_GB2312" w:eastAsia="仿宋_GB2312"/>
          <w:color w:val="000000"/>
          <w:sz w:val="32"/>
          <w:szCs w:val="32"/>
        </w:rPr>
        <w:t>宜春市</w:t>
      </w:r>
      <w:r>
        <w:rPr>
          <w:rFonts w:hint="eastAsia" w:ascii="仿宋_GB2312" w:eastAsia="仿宋_GB2312"/>
          <w:color w:val="000000"/>
          <w:sz w:val="32"/>
          <w:szCs w:val="32"/>
          <w:lang w:eastAsia="zh-CN"/>
        </w:rPr>
        <w:t>袁州</w:t>
      </w:r>
      <w:r>
        <w:rPr>
          <w:rFonts w:hint="eastAsia" w:ascii="仿宋_GB2312" w:eastAsia="仿宋_GB2312"/>
          <w:color w:val="000000"/>
          <w:sz w:val="32"/>
          <w:szCs w:val="32"/>
        </w:rPr>
        <w:t>生态环境局加强对该项目的环境监管，你公司应在收到本批复后20个工作日内，将批准后的</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报告书</w:t>
      </w:r>
      <w:r>
        <w:rPr>
          <w:rFonts w:hint="eastAsia" w:ascii="仿宋_GB2312" w:eastAsia="仿宋_GB2312"/>
          <w:color w:val="000000"/>
          <w:sz w:val="32"/>
          <w:szCs w:val="32"/>
          <w:lang w:eastAsia="zh-CN"/>
        </w:rPr>
        <w:t>》</w:t>
      </w:r>
      <w:r>
        <w:rPr>
          <w:rFonts w:hint="eastAsia" w:ascii="仿宋_GB2312" w:eastAsia="仿宋_GB2312"/>
          <w:color w:val="000000"/>
          <w:sz w:val="32"/>
          <w:szCs w:val="32"/>
        </w:rPr>
        <w:t>送至宜春市</w:t>
      </w:r>
      <w:r>
        <w:rPr>
          <w:rFonts w:hint="eastAsia" w:ascii="仿宋_GB2312" w:eastAsia="仿宋_GB2312"/>
          <w:color w:val="000000"/>
          <w:sz w:val="32"/>
          <w:szCs w:val="32"/>
          <w:lang w:eastAsia="zh-CN"/>
        </w:rPr>
        <w:t>袁州</w:t>
      </w:r>
      <w:r>
        <w:rPr>
          <w:rFonts w:hint="eastAsia" w:ascii="仿宋_GB2312" w:eastAsia="仿宋_GB2312"/>
          <w:color w:val="000000"/>
          <w:sz w:val="32"/>
          <w:szCs w:val="32"/>
        </w:rPr>
        <w:t>生态环境局并按规定接受各级生态环境主管部门的监督检查。</w:t>
      </w:r>
    </w:p>
    <w:p>
      <w:pPr>
        <w:keepNext w:val="0"/>
        <w:keepLines w:val="0"/>
        <w:pageBreakBefore w:val="0"/>
        <w:widowControl/>
        <w:suppressLineNumbers w:val="0"/>
        <w:kinsoku/>
        <w:wordWrap/>
        <w:overflowPunct/>
        <w:topLinePunct w:val="0"/>
        <w:bidi w:val="0"/>
        <w:spacing w:line="560" w:lineRule="exact"/>
        <w:ind w:firstLine="640" w:firstLineChars="200"/>
        <w:jc w:val="left"/>
        <w:textAlignment w:val="auto"/>
      </w:pPr>
      <w:r>
        <w:rPr>
          <w:rFonts w:hint="eastAsia" w:ascii="楷体" w:hAnsi="楷体" w:eastAsia="楷体" w:cs="楷体"/>
          <w:color w:val="000000"/>
          <w:sz w:val="32"/>
          <w:szCs w:val="32"/>
        </w:rPr>
        <w:t>（四）其他管理要求。</w:t>
      </w:r>
      <w:r>
        <w:rPr>
          <w:rFonts w:hint="eastAsia" w:ascii="仿宋_GB2312" w:eastAsia="仿宋_GB2312"/>
          <w:color w:val="000000"/>
          <w:sz w:val="32"/>
          <w:szCs w:val="32"/>
          <w:lang w:val="en-US" w:eastAsia="zh-CN"/>
        </w:rPr>
        <w:t>项目产品长石粉应有明确可行的下游销售渠道。如暂时无法外售，应参照《一般工业固体废物贮存和填埋污染控制标准》要求进行管理，并建立专门台账，不得随意倾倒，污染环境。</w:t>
      </w:r>
    </w:p>
    <w:p>
      <w:pPr>
        <w:wordWrap w:val="0"/>
        <w:spacing w:line="500" w:lineRule="exact"/>
        <w:ind w:right="1077"/>
        <w:jc w:val="right"/>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 xml:space="preserve"> </w:t>
      </w:r>
    </w:p>
    <w:p>
      <w:pPr>
        <w:pStyle w:val="22"/>
        <w:rPr>
          <w:rFonts w:hint="eastAsia"/>
          <w:lang w:val="en-US" w:eastAsia="zh-CN"/>
        </w:rPr>
      </w:pPr>
    </w:p>
    <w:p>
      <w:pPr>
        <w:rPr>
          <w:rFonts w:hint="eastAsia"/>
          <w:lang w:val="en-US" w:eastAsia="zh-CN"/>
        </w:rPr>
      </w:pPr>
    </w:p>
    <w:p>
      <w:pPr>
        <w:spacing w:line="500" w:lineRule="exact"/>
        <w:ind w:right="1077"/>
        <w:jc w:val="right"/>
        <w:rPr>
          <w:rFonts w:ascii="仿宋_GB2312" w:hAnsi="华文仿宋" w:eastAsia="仿宋_GB2312"/>
          <w:sz w:val="32"/>
          <w:szCs w:val="32"/>
        </w:rPr>
      </w:pPr>
      <w:r>
        <w:rPr>
          <w:rFonts w:hint="eastAsia" w:ascii="仿宋_GB2312" w:hAnsi="华文仿宋" w:eastAsia="仿宋_GB2312"/>
          <w:sz w:val="32"/>
          <w:szCs w:val="32"/>
        </w:rPr>
        <w:t>宜春市生态环境局</w:t>
      </w:r>
    </w:p>
    <w:p>
      <w:pPr>
        <w:tabs>
          <w:tab w:val="left" w:pos="7655"/>
          <w:tab w:val="left" w:pos="7797"/>
        </w:tabs>
        <w:spacing w:line="500" w:lineRule="exact"/>
        <w:ind w:firstLine="80" w:firstLineChars="25"/>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p>
    <w:p>
      <w:pPr>
        <w:rPr>
          <w:rFonts w:hint="eastAsia" w:ascii="仿宋_GB2312" w:hAnsi="Calibri" w:eastAsia="仿宋_GB2312" w:cs="Times New Roman"/>
          <w:b w:val="0"/>
          <w:bCs w:val="0"/>
          <w:color w:val="000000"/>
          <w:kern w:val="2"/>
          <w:sz w:val="32"/>
          <w:szCs w:val="32"/>
          <w:lang w:val="en-US" w:eastAsia="zh-CN" w:bidi="ar-SA"/>
        </w:rPr>
      </w:pPr>
    </w:p>
    <w:p>
      <w:pPr>
        <w:pStyle w:val="21"/>
        <w:spacing w:line="560" w:lineRule="exact"/>
        <w:outlineLvl w:val="9"/>
        <w:rPr>
          <w:rFonts w:hint="eastAsia" w:ascii="仿宋_GB2312" w:hAnsi="Calibri" w:eastAsia="仿宋_GB2312" w:cs="Times New Roman"/>
          <w:b w:val="0"/>
          <w:bCs w:val="0"/>
          <w:color w:val="000000"/>
          <w:kern w:val="2"/>
          <w:sz w:val="32"/>
          <w:szCs w:val="32"/>
          <w:lang w:val="en-US" w:eastAsia="zh-CN" w:bidi="ar-SA"/>
        </w:rPr>
      </w:pPr>
      <w:r>
        <w:rPr>
          <w:rFonts w:hint="eastAsia" w:ascii="仿宋_GB2312" w:hAnsi="Calibri" w:eastAsia="仿宋_GB2312" w:cs="Times New Roman"/>
          <w:b w:val="0"/>
          <w:bCs w:val="0"/>
          <w:color w:val="000000"/>
          <w:kern w:val="2"/>
          <w:sz w:val="32"/>
          <w:szCs w:val="32"/>
          <w:lang w:val="en-US" w:eastAsia="zh-CN" w:bidi="ar-SA"/>
        </w:rPr>
        <w:t>（此件主动公开）</w:t>
      </w:r>
    </w:p>
    <w:p>
      <w:pPr>
        <w:pStyle w:val="11"/>
        <w:ind w:left="0" w:leftChars="0" w:firstLine="0" w:firstLineChars="0"/>
        <w:rPr>
          <w:rFonts w:hint="eastAsia"/>
          <w:lang w:val="en-US" w:eastAsia="zh-CN"/>
        </w:rPr>
      </w:pPr>
    </w:p>
    <w:p>
      <w:pPr>
        <w:rPr>
          <w:rFonts w:hint="eastAsia"/>
          <w:lang w:val="en-US" w:eastAsia="zh-CN"/>
        </w:rPr>
      </w:pPr>
    </w:p>
    <w:p>
      <w:pPr>
        <w:spacing w:line="120" w:lineRule="exact"/>
        <w:rPr>
          <w:rFonts w:hint="eastAsia" w:ascii="仿宋_GB2312" w:eastAsia="仿宋_GB2312"/>
          <w:color w:val="auto"/>
          <w:sz w:val="30"/>
          <w:szCs w:val="30"/>
          <w:u w:val="single"/>
        </w:rPr>
      </w:pPr>
    </w:p>
    <w:p>
      <w:pPr>
        <w:spacing w:line="120" w:lineRule="exact"/>
        <w:rPr>
          <w:rFonts w:hint="eastAsia" w:ascii="仿宋_GB2312" w:eastAsia="仿宋_GB2312"/>
          <w:color w:val="auto"/>
          <w:sz w:val="30"/>
          <w:szCs w:val="30"/>
          <w:u w:val="single"/>
        </w:rPr>
      </w:pPr>
    </w:p>
    <w:p>
      <w:pPr>
        <w:spacing w:line="120" w:lineRule="exact"/>
        <w:rPr>
          <w:rFonts w:hint="eastAsia" w:ascii="仿宋_GB2312" w:eastAsia="仿宋_GB2312"/>
          <w:color w:val="auto"/>
          <w:sz w:val="30"/>
          <w:szCs w:val="30"/>
          <w:u w:val="single"/>
        </w:rPr>
      </w:pPr>
    </w:p>
    <w:p>
      <w:pPr>
        <w:spacing w:line="120" w:lineRule="exact"/>
        <w:rPr>
          <w:rFonts w:hint="eastAsia" w:ascii="仿宋_GB2312" w:eastAsia="仿宋_GB2312"/>
          <w:color w:val="auto"/>
          <w:sz w:val="30"/>
          <w:szCs w:val="30"/>
          <w:u w:val="single"/>
        </w:rPr>
      </w:pPr>
    </w:p>
    <w:p>
      <w:pPr>
        <w:spacing w:line="120" w:lineRule="exact"/>
        <w:rPr>
          <w:rFonts w:hint="eastAsia" w:ascii="仿宋_GB2312" w:eastAsia="仿宋_GB2312"/>
          <w:color w:val="auto"/>
          <w:sz w:val="30"/>
          <w:szCs w:val="30"/>
          <w:u w:val="single"/>
        </w:rPr>
      </w:pPr>
    </w:p>
    <w:p>
      <w:pPr>
        <w:spacing w:line="120" w:lineRule="exact"/>
        <w:rPr>
          <w:rFonts w:hint="eastAsia" w:ascii="仿宋_GB2312" w:eastAsia="仿宋_GB2312"/>
          <w:color w:val="auto"/>
          <w:sz w:val="30"/>
          <w:szCs w:val="30"/>
          <w:u w:val="single"/>
        </w:rPr>
      </w:pPr>
      <w:r>
        <w:rPr>
          <w:rFonts w:hint="eastAsia" w:ascii="仿宋_GB2312" w:eastAsia="仿宋_GB2312"/>
          <w:color w:val="auto"/>
          <w:sz w:val="30"/>
          <w:szCs w:val="30"/>
          <w:u w:val="single"/>
        </w:rPr>
        <w:t xml:space="preserve">                                                           </w:t>
      </w:r>
    </w:p>
    <w:p>
      <w:pPr>
        <w:spacing w:line="500" w:lineRule="exact"/>
        <w:ind w:left="1050" w:leftChars="100" w:right="210" w:rightChars="100" w:hanging="840" w:hangingChars="300"/>
        <w:rPr>
          <w:rFonts w:hint="eastAsia"/>
          <w:lang w:eastAsia="zh-CN"/>
        </w:rPr>
      </w:pPr>
      <w:r>
        <w:rPr>
          <w:rFonts w:hint="eastAsia" w:ascii="仿宋_GB2312" w:hAnsi="宋体" w:eastAsia="仿宋_GB2312"/>
          <w:snapToGrid w:val="0"/>
          <w:color w:val="auto"/>
          <w:sz w:val="28"/>
          <w:szCs w:val="28"/>
        </w:rPr>
        <w:t>抄送:</w:t>
      </w:r>
      <w:r>
        <w:rPr>
          <w:rFonts w:hint="eastAsia"/>
          <w:color w:val="auto"/>
        </w:rPr>
        <w:t xml:space="preserve"> </w:t>
      </w:r>
      <w:r>
        <w:rPr>
          <w:rFonts w:hint="eastAsia" w:ascii="仿宋_GB2312" w:hAnsi="华文仿宋" w:eastAsia="仿宋_GB2312"/>
          <w:spacing w:val="-6"/>
          <w:sz w:val="28"/>
          <w:szCs w:val="32"/>
          <w:lang w:eastAsia="zh-CN"/>
        </w:rPr>
        <w:t>袁州区</w:t>
      </w:r>
      <w:r>
        <w:rPr>
          <w:rFonts w:hint="eastAsia" w:ascii="仿宋_GB2312" w:hAnsi="华文仿宋" w:eastAsia="仿宋_GB2312"/>
          <w:spacing w:val="-6"/>
          <w:sz w:val="28"/>
          <w:szCs w:val="32"/>
        </w:rPr>
        <w:t>人民政府，宜春市</w:t>
      </w:r>
      <w:r>
        <w:rPr>
          <w:rFonts w:hint="eastAsia" w:ascii="仿宋_GB2312" w:hAnsi="华文仿宋" w:eastAsia="仿宋_GB2312"/>
          <w:spacing w:val="-6"/>
          <w:sz w:val="28"/>
          <w:szCs w:val="32"/>
          <w:lang w:eastAsia="zh-CN"/>
        </w:rPr>
        <w:t>袁州</w:t>
      </w:r>
      <w:r>
        <w:rPr>
          <w:rFonts w:hint="eastAsia" w:ascii="仿宋_GB2312" w:hAnsi="华文仿宋" w:eastAsia="仿宋_GB2312"/>
          <w:spacing w:val="-6"/>
          <w:sz w:val="28"/>
          <w:szCs w:val="32"/>
        </w:rPr>
        <w:t>生态环境局，局相关科室，局直属关单位，</w:t>
      </w:r>
      <w:r>
        <w:rPr>
          <w:rFonts w:hint="eastAsia" w:ascii="仿宋_GB2312" w:hAnsi="宋体" w:eastAsia="仿宋_GB2312"/>
          <w:sz w:val="28"/>
          <w:szCs w:val="28"/>
        </w:rPr>
        <w:t>江西兴晟生态环境</w:t>
      </w:r>
      <w:r>
        <w:rPr>
          <w:rFonts w:hint="eastAsia" w:ascii="仿宋_GB2312" w:eastAsia="仿宋_GB2312"/>
          <w:sz w:val="28"/>
          <w:szCs w:val="28"/>
        </w:rPr>
        <w:t>有限公司</w:t>
      </w:r>
      <w:r>
        <w:rPr>
          <w:rFonts w:hint="eastAsia" w:ascii="仿宋_GB2312" w:hAnsi="华文仿宋" w:eastAsia="仿宋_GB2312"/>
          <w:spacing w:val="-6"/>
          <w:sz w:val="28"/>
          <w:szCs w:val="32"/>
        </w:rPr>
        <w:t>。</w:t>
      </w:r>
    </w:p>
    <w:p>
      <w:pPr>
        <w:spacing w:line="120" w:lineRule="exact"/>
        <w:rPr>
          <w:rFonts w:hint="eastAsia" w:ascii="仿宋_GB2312" w:eastAsia="仿宋_GB2312"/>
          <w:color w:val="auto"/>
          <w:sz w:val="30"/>
          <w:szCs w:val="30"/>
          <w:u w:val="single"/>
        </w:rPr>
      </w:pPr>
      <w:r>
        <w:rPr>
          <w:rFonts w:hint="eastAsia" w:ascii="仿宋_GB2312" w:eastAsia="仿宋_GB2312"/>
          <w:color w:val="auto"/>
          <w:sz w:val="30"/>
          <w:szCs w:val="30"/>
          <w:u w:val="single"/>
        </w:rPr>
        <w:t xml:space="preserve">                                                            </w:t>
      </w:r>
    </w:p>
    <w:p>
      <w:pPr>
        <w:spacing w:line="500" w:lineRule="exact"/>
        <w:ind w:left="210" w:leftChars="100" w:right="210" w:rightChars="100"/>
        <w:rPr>
          <w:rFonts w:hint="eastAsia" w:ascii="仿宋_GB2312" w:hAnsi="仿宋_GB2312" w:eastAsia="仿宋_GB2312" w:cs="仿宋_GB2312"/>
          <w:color w:val="auto"/>
          <w:sz w:val="28"/>
          <w:szCs w:val="28"/>
        </w:rPr>
      </w:pPr>
      <w:r>
        <w:rPr>
          <w:rFonts w:hint="eastAsia" w:ascii="仿宋_GB2312" w:eastAsia="仿宋_GB2312"/>
          <w:color w:val="000000"/>
          <w:sz w:val="28"/>
          <w:szCs w:val="32"/>
        </w:rPr>
        <w:t>宜春市生态环境局秘书科</w:t>
      </w:r>
      <w:r>
        <w:rPr>
          <w:rFonts w:hint="eastAsia" w:ascii="仿宋_GB2312" w:eastAsia="仿宋_GB2312"/>
          <w:color w:val="000000"/>
          <w:sz w:val="28"/>
          <w:szCs w:val="32"/>
          <w:lang w:val="en-US" w:eastAsia="zh-CN"/>
        </w:rPr>
        <w:t xml:space="preserve">               </w:t>
      </w:r>
      <w:r>
        <w:rPr>
          <w:rFonts w:hint="eastAsia" w:ascii="仿宋_GB2312" w:eastAsia="仿宋_GB2312"/>
          <w:color w:val="auto"/>
          <w:w w:val="90"/>
          <w:sz w:val="28"/>
          <w:szCs w:val="28"/>
          <w:lang w:val="en-US" w:eastAsia="zh-CN"/>
        </w:rPr>
        <w:t xml:space="preserve">    </w:t>
      </w:r>
      <w:r>
        <w:rPr>
          <w:rFonts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日印发</w:t>
      </w:r>
    </w:p>
    <w:p>
      <w:pPr>
        <w:spacing w:line="120" w:lineRule="exact"/>
        <w:rPr>
          <w:rFonts w:ascii="仿宋_GB2312" w:hAnsi="华文仿宋" w:eastAsia="仿宋_GB2312"/>
          <w:spacing w:val="-6"/>
          <w:sz w:val="18"/>
          <w:szCs w:val="32"/>
        </w:rPr>
      </w:pPr>
      <w:r>
        <w:rPr>
          <w:rFonts w:hint="eastAsia" w:ascii="仿宋_GB2312" w:eastAsia="仿宋_GB2312"/>
          <w:color w:val="auto"/>
          <w:sz w:val="30"/>
          <w:szCs w:val="30"/>
          <w:u w:val="single"/>
        </w:rPr>
        <w:t xml:space="preserve">                                                            </w:t>
      </w:r>
    </w:p>
    <w:sectPr>
      <w:footerReference r:id="rId3" w:type="default"/>
      <w:pgSz w:w="11906" w:h="16838"/>
      <w:pgMar w:top="2098" w:right="1587" w:bottom="1984" w:left="1587" w:header="851" w:footer="170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panose1 w:val="02010600030101010101"/>
    <w:charset w:val="88"/>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00"/>
    <w:family w:val="auto"/>
    <w:pitch w:val="default"/>
    <w:sig w:usb0="00000000" w:usb1="00000000" w:usb2="0000003F" w:usb3="00000000" w:csb0="601F00FF" w:csb1="FFFF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Ct1YkckBAACZAwAADgAAAAAA&#10;AAABACAAAAA0AQAAZHJzL2Uyb0RvYy54bWxQSwUGAAAAAAYABgBZAQAAbwUAAAAA&#10;">
              <v:fill on="f" focussize="0,0"/>
              <v:stroke on="f"/>
              <v:imagedata o:title=""/>
              <o:lock v:ext="edit" aspectratio="f"/>
              <v:textbox inset="0mm,0mm,0mm,0mm" style="mso-fit-shape-to-text:t;">
                <w:txbxContent>
                  <w:p>
                    <w:pPr>
                      <w:pStyle w:val="13"/>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EFD5E7"/>
    <w:multiLevelType w:val="singleLevel"/>
    <w:tmpl w:val="FBEFD5E7"/>
    <w:lvl w:ilvl="0" w:tentative="0">
      <w:start w:val="1"/>
      <w:numFmt w:val="chineseCounting"/>
      <w:suff w:val="nothing"/>
      <w:lvlText w:val="（%1）"/>
      <w:lvlJc w:val="left"/>
      <w:rPr>
        <w:rFonts w:hint="eastAsia"/>
      </w:rPr>
    </w:lvl>
  </w:abstractNum>
  <w:abstractNum w:abstractNumId="1">
    <w:nsid w:val="FEAE43C1"/>
    <w:multiLevelType w:val="singleLevel"/>
    <w:tmpl w:val="FEAE43C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NGU2MTU4MzdkOTFkODUyZGQ0MDczZmQ4OWMxYzYifQ=="/>
  </w:docVars>
  <w:rsids>
    <w:rsidRoot w:val="006B467D"/>
    <w:rsid w:val="00010C60"/>
    <w:rsid w:val="00037829"/>
    <w:rsid w:val="000406EC"/>
    <w:rsid w:val="00041B93"/>
    <w:rsid w:val="000674EC"/>
    <w:rsid w:val="00095B65"/>
    <w:rsid w:val="000962AC"/>
    <w:rsid w:val="00097B4F"/>
    <w:rsid w:val="000A1A79"/>
    <w:rsid w:val="000B152E"/>
    <w:rsid w:val="000B1539"/>
    <w:rsid w:val="000B1BCC"/>
    <w:rsid w:val="000E179A"/>
    <w:rsid w:val="000F742F"/>
    <w:rsid w:val="001040DC"/>
    <w:rsid w:val="00116867"/>
    <w:rsid w:val="00130B44"/>
    <w:rsid w:val="001407B0"/>
    <w:rsid w:val="0014082E"/>
    <w:rsid w:val="00146035"/>
    <w:rsid w:val="00153F98"/>
    <w:rsid w:val="00163E19"/>
    <w:rsid w:val="00180ACE"/>
    <w:rsid w:val="00193AB1"/>
    <w:rsid w:val="001A6A62"/>
    <w:rsid w:val="001B35B9"/>
    <w:rsid w:val="001B48E9"/>
    <w:rsid w:val="001B4E5D"/>
    <w:rsid w:val="001C3BC7"/>
    <w:rsid w:val="001D4BB1"/>
    <w:rsid w:val="001E1C11"/>
    <w:rsid w:val="001E3011"/>
    <w:rsid w:val="001F081D"/>
    <w:rsid w:val="001F4AD4"/>
    <w:rsid w:val="001F5849"/>
    <w:rsid w:val="002028E2"/>
    <w:rsid w:val="002059DA"/>
    <w:rsid w:val="00222F3F"/>
    <w:rsid w:val="00224EB5"/>
    <w:rsid w:val="00231263"/>
    <w:rsid w:val="00241C64"/>
    <w:rsid w:val="002621F5"/>
    <w:rsid w:val="00264DFF"/>
    <w:rsid w:val="00266597"/>
    <w:rsid w:val="00270F71"/>
    <w:rsid w:val="00271B77"/>
    <w:rsid w:val="00283666"/>
    <w:rsid w:val="00285609"/>
    <w:rsid w:val="00286B1F"/>
    <w:rsid w:val="00286F5B"/>
    <w:rsid w:val="0029574C"/>
    <w:rsid w:val="002A6121"/>
    <w:rsid w:val="002A7B68"/>
    <w:rsid w:val="002B5C75"/>
    <w:rsid w:val="002C1A1F"/>
    <w:rsid w:val="002D36C8"/>
    <w:rsid w:val="002D4357"/>
    <w:rsid w:val="002E6EC5"/>
    <w:rsid w:val="002F0352"/>
    <w:rsid w:val="00307AD1"/>
    <w:rsid w:val="003230C2"/>
    <w:rsid w:val="00325016"/>
    <w:rsid w:val="003604D4"/>
    <w:rsid w:val="00380DB1"/>
    <w:rsid w:val="003A09F5"/>
    <w:rsid w:val="003B32F0"/>
    <w:rsid w:val="003B51DB"/>
    <w:rsid w:val="00401C86"/>
    <w:rsid w:val="00405A49"/>
    <w:rsid w:val="0042252A"/>
    <w:rsid w:val="00425987"/>
    <w:rsid w:val="004522D5"/>
    <w:rsid w:val="00460A78"/>
    <w:rsid w:val="00461D00"/>
    <w:rsid w:val="004620EC"/>
    <w:rsid w:val="00473FBA"/>
    <w:rsid w:val="0047493E"/>
    <w:rsid w:val="00474F95"/>
    <w:rsid w:val="00486A24"/>
    <w:rsid w:val="0049249D"/>
    <w:rsid w:val="004974B6"/>
    <w:rsid w:val="004A5F29"/>
    <w:rsid w:val="004C4B72"/>
    <w:rsid w:val="004C7947"/>
    <w:rsid w:val="004E0153"/>
    <w:rsid w:val="004E1A0D"/>
    <w:rsid w:val="004F1941"/>
    <w:rsid w:val="004F78B6"/>
    <w:rsid w:val="005079B0"/>
    <w:rsid w:val="00514A5B"/>
    <w:rsid w:val="00525216"/>
    <w:rsid w:val="00526441"/>
    <w:rsid w:val="0052644B"/>
    <w:rsid w:val="005418D8"/>
    <w:rsid w:val="0057560A"/>
    <w:rsid w:val="005A677E"/>
    <w:rsid w:val="005B309F"/>
    <w:rsid w:val="005C40EF"/>
    <w:rsid w:val="005E2F03"/>
    <w:rsid w:val="005E30BE"/>
    <w:rsid w:val="005E59AF"/>
    <w:rsid w:val="005F5849"/>
    <w:rsid w:val="0063058C"/>
    <w:rsid w:val="00644899"/>
    <w:rsid w:val="00646FBC"/>
    <w:rsid w:val="0066022E"/>
    <w:rsid w:val="00664DB7"/>
    <w:rsid w:val="006765B0"/>
    <w:rsid w:val="00691DA9"/>
    <w:rsid w:val="006A2072"/>
    <w:rsid w:val="006B27FC"/>
    <w:rsid w:val="006B467D"/>
    <w:rsid w:val="006C3D1F"/>
    <w:rsid w:val="006D1A6B"/>
    <w:rsid w:val="006F16EB"/>
    <w:rsid w:val="006F4EEE"/>
    <w:rsid w:val="006F5CED"/>
    <w:rsid w:val="007526F5"/>
    <w:rsid w:val="007560D8"/>
    <w:rsid w:val="00771662"/>
    <w:rsid w:val="0077442E"/>
    <w:rsid w:val="00781170"/>
    <w:rsid w:val="00794C9D"/>
    <w:rsid w:val="007C4113"/>
    <w:rsid w:val="007C66F2"/>
    <w:rsid w:val="007D0404"/>
    <w:rsid w:val="007F7109"/>
    <w:rsid w:val="008048A6"/>
    <w:rsid w:val="00807746"/>
    <w:rsid w:val="00812F26"/>
    <w:rsid w:val="00856911"/>
    <w:rsid w:val="00874512"/>
    <w:rsid w:val="008858FF"/>
    <w:rsid w:val="00892744"/>
    <w:rsid w:val="008B0865"/>
    <w:rsid w:val="008B6639"/>
    <w:rsid w:val="008C304F"/>
    <w:rsid w:val="008E1C45"/>
    <w:rsid w:val="008F245B"/>
    <w:rsid w:val="008F7F63"/>
    <w:rsid w:val="009049B4"/>
    <w:rsid w:val="00914FB4"/>
    <w:rsid w:val="009402E4"/>
    <w:rsid w:val="009558F2"/>
    <w:rsid w:val="00975670"/>
    <w:rsid w:val="009A2596"/>
    <w:rsid w:val="009A6675"/>
    <w:rsid w:val="009B44DF"/>
    <w:rsid w:val="009C4711"/>
    <w:rsid w:val="009C6D8D"/>
    <w:rsid w:val="009D798A"/>
    <w:rsid w:val="009E15D4"/>
    <w:rsid w:val="009E4495"/>
    <w:rsid w:val="009F1A28"/>
    <w:rsid w:val="00A02A06"/>
    <w:rsid w:val="00A1099D"/>
    <w:rsid w:val="00A13677"/>
    <w:rsid w:val="00A15470"/>
    <w:rsid w:val="00A37078"/>
    <w:rsid w:val="00A415B5"/>
    <w:rsid w:val="00A60CA5"/>
    <w:rsid w:val="00A63D50"/>
    <w:rsid w:val="00A649DE"/>
    <w:rsid w:val="00A66564"/>
    <w:rsid w:val="00A71F9C"/>
    <w:rsid w:val="00A758E2"/>
    <w:rsid w:val="00A81D64"/>
    <w:rsid w:val="00A82668"/>
    <w:rsid w:val="00A91117"/>
    <w:rsid w:val="00A94C09"/>
    <w:rsid w:val="00AB7106"/>
    <w:rsid w:val="00AC6B5F"/>
    <w:rsid w:val="00B020CF"/>
    <w:rsid w:val="00B02BD7"/>
    <w:rsid w:val="00B10996"/>
    <w:rsid w:val="00B127B5"/>
    <w:rsid w:val="00B31BAC"/>
    <w:rsid w:val="00B56BFB"/>
    <w:rsid w:val="00B60F18"/>
    <w:rsid w:val="00B75207"/>
    <w:rsid w:val="00B77C27"/>
    <w:rsid w:val="00B849F8"/>
    <w:rsid w:val="00B87E56"/>
    <w:rsid w:val="00B9184E"/>
    <w:rsid w:val="00B92C8A"/>
    <w:rsid w:val="00BA776F"/>
    <w:rsid w:val="00BB5BB4"/>
    <w:rsid w:val="00BC41E5"/>
    <w:rsid w:val="00BC45AB"/>
    <w:rsid w:val="00BC557B"/>
    <w:rsid w:val="00BD2CE5"/>
    <w:rsid w:val="00BD3CA3"/>
    <w:rsid w:val="00C04E94"/>
    <w:rsid w:val="00C23D98"/>
    <w:rsid w:val="00C320D5"/>
    <w:rsid w:val="00C471CA"/>
    <w:rsid w:val="00C930A4"/>
    <w:rsid w:val="00CA70FE"/>
    <w:rsid w:val="00CC09F4"/>
    <w:rsid w:val="00CC3C5E"/>
    <w:rsid w:val="00CD0D51"/>
    <w:rsid w:val="00CD4095"/>
    <w:rsid w:val="00CF39ED"/>
    <w:rsid w:val="00CF454E"/>
    <w:rsid w:val="00D02548"/>
    <w:rsid w:val="00D0271D"/>
    <w:rsid w:val="00D0459C"/>
    <w:rsid w:val="00D06919"/>
    <w:rsid w:val="00D1068C"/>
    <w:rsid w:val="00D1159F"/>
    <w:rsid w:val="00D127EB"/>
    <w:rsid w:val="00D14C0B"/>
    <w:rsid w:val="00D14CAC"/>
    <w:rsid w:val="00D22F21"/>
    <w:rsid w:val="00D2779C"/>
    <w:rsid w:val="00D3507C"/>
    <w:rsid w:val="00D406FB"/>
    <w:rsid w:val="00D47C4A"/>
    <w:rsid w:val="00D857AC"/>
    <w:rsid w:val="00DA4070"/>
    <w:rsid w:val="00DA4BA0"/>
    <w:rsid w:val="00DB1F34"/>
    <w:rsid w:val="00DD0A9E"/>
    <w:rsid w:val="00DD106F"/>
    <w:rsid w:val="00DE5591"/>
    <w:rsid w:val="00DF1A97"/>
    <w:rsid w:val="00E0098E"/>
    <w:rsid w:val="00E03AD2"/>
    <w:rsid w:val="00E06AC7"/>
    <w:rsid w:val="00E60A5E"/>
    <w:rsid w:val="00E625A1"/>
    <w:rsid w:val="00E6287F"/>
    <w:rsid w:val="00E720C8"/>
    <w:rsid w:val="00E73849"/>
    <w:rsid w:val="00E935EF"/>
    <w:rsid w:val="00EA0324"/>
    <w:rsid w:val="00EC2683"/>
    <w:rsid w:val="00ED591D"/>
    <w:rsid w:val="00EE34EE"/>
    <w:rsid w:val="00EF4453"/>
    <w:rsid w:val="00EF4619"/>
    <w:rsid w:val="00EF6624"/>
    <w:rsid w:val="00F31FFC"/>
    <w:rsid w:val="00F37F97"/>
    <w:rsid w:val="00F43341"/>
    <w:rsid w:val="00F44FC1"/>
    <w:rsid w:val="00F548AA"/>
    <w:rsid w:val="00F62E2C"/>
    <w:rsid w:val="00F70496"/>
    <w:rsid w:val="00F704E2"/>
    <w:rsid w:val="00F74BA4"/>
    <w:rsid w:val="00F77AB2"/>
    <w:rsid w:val="00F87C54"/>
    <w:rsid w:val="00F95CD8"/>
    <w:rsid w:val="00F9748B"/>
    <w:rsid w:val="00FA7567"/>
    <w:rsid w:val="00FC0384"/>
    <w:rsid w:val="00FC07C2"/>
    <w:rsid w:val="00FC1B12"/>
    <w:rsid w:val="00FC3FDC"/>
    <w:rsid w:val="00FF7256"/>
    <w:rsid w:val="00FF7C9A"/>
    <w:rsid w:val="012732BA"/>
    <w:rsid w:val="012F2C7B"/>
    <w:rsid w:val="01703D1E"/>
    <w:rsid w:val="0179160B"/>
    <w:rsid w:val="017C52DD"/>
    <w:rsid w:val="01860F84"/>
    <w:rsid w:val="01992B72"/>
    <w:rsid w:val="01A4060B"/>
    <w:rsid w:val="01B612A4"/>
    <w:rsid w:val="01C46E2A"/>
    <w:rsid w:val="01D6466C"/>
    <w:rsid w:val="01DD1D6E"/>
    <w:rsid w:val="01E66AA5"/>
    <w:rsid w:val="021467C2"/>
    <w:rsid w:val="025331B3"/>
    <w:rsid w:val="02591E01"/>
    <w:rsid w:val="026043E7"/>
    <w:rsid w:val="027C0F4C"/>
    <w:rsid w:val="027F62BA"/>
    <w:rsid w:val="03026814"/>
    <w:rsid w:val="030C6980"/>
    <w:rsid w:val="03336D8A"/>
    <w:rsid w:val="035816F4"/>
    <w:rsid w:val="03661A20"/>
    <w:rsid w:val="03842595"/>
    <w:rsid w:val="04011366"/>
    <w:rsid w:val="04032C8E"/>
    <w:rsid w:val="040844BC"/>
    <w:rsid w:val="043833BC"/>
    <w:rsid w:val="045D155C"/>
    <w:rsid w:val="047E6FDC"/>
    <w:rsid w:val="049B7758"/>
    <w:rsid w:val="04BC26AE"/>
    <w:rsid w:val="04C06FA9"/>
    <w:rsid w:val="05075043"/>
    <w:rsid w:val="050B1C9F"/>
    <w:rsid w:val="050D65F7"/>
    <w:rsid w:val="05131E7D"/>
    <w:rsid w:val="05146604"/>
    <w:rsid w:val="055924D7"/>
    <w:rsid w:val="057D502A"/>
    <w:rsid w:val="05897CDE"/>
    <w:rsid w:val="058C31DC"/>
    <w:rsid w:val="058D3327"/>
    <w:rsid w:val="05B16C1D"/>
    <w:rsid w:val="05D610DF"/>
    <w:rsid w:val="05E730FB"/>
    <w:rsid w:val="05EC445F"/>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B572A"/>
    <w:rsid w:val="09FC169A"/>
    <w:rsid w:val="0A0A16AE"/>
    <w:rsid w:val="0A2150FA"/>
    <w:rsid w:val="0A4F6CD6"/>
    <w:rsid w:val="0A622CF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64718F"/>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470958"/>
    <w:rsid w:val="0F89709B"/>
    <w:rsid w:val="0F8E0D44"/>
    <w:rsid w:val="0F9AA9A3"/>
    <w:rsid w:val="0FB96372"/>
    <w:rsid w:val="0FC37304"/>
    <w:rsid w:val="0FDF7909"/>
    <w:rsid w:val="0FEF586D"/>
    <w:rsid w:val="0FFED1D8"/>
    <w:rsid w:val="100E61F1"/>
    <w:rsid w:val="10423BF8"/>
    <w:rsid w:val="10606F0E"/>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B26FBE"/>
    <w:rsid w:val="13D777E7"/>
    <w:rsid w:val="13EC5B6B"/>
    <w:rsid w:val="14032E0E"/>
    <w:rsid w:val="1411085C"/>
    <w:rsid w:val="14120302"/>
    <w:rsid w:val="144F64EE"/>
    <w:rsid w:val="14661880"/>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125099"/>
    <w:rsid w:val="171B0308"/>
    <w:rsid w:val="172C4E9D"/>
    <w:rsid w:val="173B5E82"/>
    <w:rsid w:val="174B24D1"/>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0C6"/>
    <w:rsid w:val="19EF4A72"/>
    <w:rsid w:val="19FB33C6"/>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3E5F1F"/>
    <w:rsid w:val="1B4648B6"/>
    <w:rsid w:val="1B704E36"/>
    <w:rsid w:val="1B850928"/>
    <w:rsid w:val="1BA209B9"/>
    <w:rsid w:val="1BB147EF"/>
    <w:rsid w:val="1BB7CF60"/>
    <w:rsid w:val="1BD16179"/>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CFF349C"/>
    <w:rsid w:val="1D1A50CE"/>
    <w:rsid w:val="1D623ECD"/>
    <w:rsid w:val="1D6F0745"/>
    <w:rsid w:val="1D70551D"/>
    <w:rsid w:val="1D7E7C7B"/>
    <w:rsid w:val="1D7F7B99"/>
    <w:rsid w:val="1DB924E9"/>
    <w:rsid w:val="1DC104B3"/>
    <w:rsid w:val="1DC74215"/>
    <w:rsid w:val="1DE7DC64"/>
    <w:rsid w:val="1DF41A03"/>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7B751A"/>
    <w:rsid w:val="1F894E20"/>
    <w:rsid w:val="1F8AC30B"/>
    <w:rsid w:val="1FA75C0D"/>
    <w:rsid w:val="1FA917E5"/>
    <w:rsid w:val="1FBFF046"/>
    <w:rsid w:val="1FD1682D"/>
    <w:rsid w:val="1FDF234E"/>
    <w:rsid w:val="1FDFBB3A"/>
    <w:rsid w:val="1FEDB956"/>
    <w:rsid w:val="1FEE0E62"/>
    <w:rsid w:val="1FFF9B15"/>
    <w:rsid w:val="1FFF9DF5"/>
    <w:rsid w:val="1FFFCFFF"/>
    <w:rsid w:val="202A6496"/>
    <w:rsid w:val="202B0A86"/>
    <w:rsid w:val="20335A75"/>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5E91562"/>
    <w:rsid w:val="2603596E"/>
    <w:rsid w:val="261457E5"/>
    <w:rsid w:val="2614741E"/>
    <w:rsid w:val="26526993"/>
    <w:rsid w:val="265C71AB"/>
    <w:rsid w:val="265E6149"/>
    <w:rsid w:val="267F7DF9"/>
    <w:rsid w:val="26A11866"/>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8F6165"/>
    <w:rsid w:val="29AB2E6F"/>
    <w:rsid w:val="29AC13BE"/>
    <w:rsid w:val="29C0187A"/>
    <w:rsid w:val="2A0D6FEB"/>
    <w:rsid w:val="2A7C3107"/>
    <w:rsid w:val="2A826B38"/>
    <w:rsid w:val="2A951FF8"/>
    <w:rsid w:val="2A9F2116"/>
    <w:rsid w:val="2AB14540"/>
    <w:rsid w:val="2AFD6359"/>
    <w:rsid w:val="2B3B0C82"/>
    <w:rsid w:val="2B4F5DB3"/>
    <w:rsid w:val="2B50012B"/>
    <w:rsid w:val="2B5865A9"/>
    <w:rsid w:val="2B695F7E"/>
    <w:rsid w:val="2B8A133E"/>
    <w:rsid w:val="2BAF35FD"/>
    <w:rsid w:val="2BB40893"/>
    <w:rsid w:val="2BE84C5A"/>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9A689E"/>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2EC51EE"/>
    <w:rsid w:val="331B0A3B"/>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743A3"/>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726E0"/>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52F69"/>
    <w:rsid w:val="3BB71564"/>
    <w:rsid w:val="3BBF06F6"/>
    <w:rsid w:val="3BE27E23"/>
    <w:rsid w:val="3BE51489"/>
    <w:rsid w:val="3BFA93EF"/>
    <w:rsid w:val="3BFCF68E"/>
    <w:rsid w:val="3BFD0E6D"/>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C11532"/>
    <w:rsid w:val="3DD26A94"/>
    <w:rsid w:val="3DDD0555"/>
    <w:rsid w:val="3DE76524"/>
    <w:rsid w:val="3DF7DBA4"/>
    <w:rsid w:val="3DF906CD"/>
    <w:rsid w:val="3E03359B"/>
    <w:rsid w:val="3E1C7283"/>
    <w:rsid w:val="3E2F6D9B"/>
    <w:rsid w:val="3E4B7E5C"/>
    <w:rsid w:val="3E587BD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6BF733"/>
    <w:rsid w:val="3F790CB0"/>
    <w:rsid w:val="3F7B049D"/>
    <w:rsid w:val="3F7EF851"/>
    <w:rsid w:val="3F7F5C6A"/>
    <w:rsid w:val="3F8954B2"/>
    <w:rsid w:val="3F8D0899"/>
    <w:rsid w:val="3F911FB7"/>
    <w:rsid w:val="3F970855"/>
    <w:rsid w:val="3F9B8D70"/>
    <w:rsid w:val="3F9C704E"/>
    <w:rsid w:val="3F9EF683"/>
    <w:rsid w:val="3FAE6D2D"/>
    <w:rsid w:val="3FB765EE"/>
    <w:rsid w:val="3FBD71D2"/>
    <w:rsid w:val="3FBD8D6B"/>
    <w:rsid w:val="3FBE84A1"/>
    <w:rsid w:val="3FC111A5"/>
    <w:rsid w:val="3FC767C0"/>
    <w:rsid w:val="3FCB541B"/>
    <w:rsid w:val="3FE394E7"/>
    <w:rsid w:val="3FFB0E64"/>
    <w:rsid w:val="3FFB4CC3"/>
    <w:rsid w:val="3FFBE772"/>
    <w:rsid w:val="3FFD09BF"/>
    <w:rsid w:val="3FFF180E"/>
    <w:rsid w:val="3FFF3C7C"/>
    <w:rsid w:val="40406848"/>
    <w:rsid w:val="40507D03"/>
    <w:rsid w:val="406F0D95"/>
    <w:rsid w:val="40A244D3"/>
    <w:rsid w:val="40CC3D01"/>
    <w:rsid w:val="40CF687B"/>
    <w:rsid w:val="410846C7"/>
    <w:rsid w:val="41170D8C"/>
    <w:rsid w:val="411E3DC1"/>
    <w:rsid w:val="415663BE"/>
    <w:rsid w:val="416F7A1E"/>
    <w:rsid w:val="417B233A"/>
    <w:rsid w:val="417F6D50"/>
    <w:rsid w:val="418F7470"/>
    <w:rsid w:val="41A1787D"/>
    <w:rsid w:val="41BE31E5"/>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6450B8"/>
    <w:rsid w:val="457654BD"/>
    <w:rsid w:val="45781435"/>
    <w:rsid w:val="458F461A"/>
    <w:rsid w:val="459040FF"/>
    <w:rsid w:val="45A809B5"/>
    <w:rsid w:val="45B2422F"/>
    <w:rsid w:val="45B51851"/>
    <w:rsid w:val="45BD31FC"/>
    <w:rsid w:val="45BF1B18"/>
    <w:rsid w:val="45C03E43"/>
    <w:rsid w:val="45CF606B"/>
    <w:rsid w:val="45DA659D"/>
    <w:rsid w:val="45E63C2A"/>
    <w:rsid w:val="45EC7588"/>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5081B"/>
    <w:rsid w:val="49CF608B"/>
    <w:rsid w:val="49DA3B9B"/>
    <w:rsid w:val="49EF2AF6"/>
    <w:rsid w:val="49F6339E"/>
    <w:rsid w:val="4A146D63"/>
    <w:rsid w:val="4A4B7096"/>
    <w:rsid w:val="4A7EB2FF"/>
    <w:rsid w:val="4A893617"/>
    <w:rsid w:val="4AB75723"/>
    <w:rsid w:val="4ABDA9E8"/>
    <w:rsid w:val="4ABF315C"/>
    <w:rsid w:val="4B080EAE"/>
    <w:rsid w:val="4B155BEE"/>
    <w:rsid w:val="4B7047B7"/>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CA17BE"/>
    <w:rsid w:val="4DE52F92"/>
    <w:rsid w:val="4DE777E6"/>
    <w:rsid w:val="4DED67BF"/>
    <w:rsid w:val="4E6DB298"/>
    <w:rsid w:val="4E775E5C"/>
    <w:rsid w:val="4E7816D4"/>
    <w:rsid w:val="4EAFD821"/>
    <w:rsid w:val="4EBC0FDC"/>
    <w:rsid w:val="4EBE67B2"/>
    <w:rsid w:val="4F260F14"/>
    <w:rsid w:val="4F3374B4"/>
    <w:rsid w:val="4F3DFD49"/>
    <w:rsid w:val="4F4F65BB"/>
    <w:rsid w:val="4F6036C3"/>
    <w:rsid w:val="4F7B626C"/>
    <w:rsid w:val="4FAFF7AB"/>
    <w:rsid w:val="4FB60EB6"/>
    <w:rsid w:val="4FC9436C"/>
    <w:rsid w:val="4FD72B41"/>
    <w:rsid w:val="4FF36A56"/>
    <w:rsid w:val="4FF41F1D"/>
    <w:rsid w:val="4FFE1847"/>
    <w:rsid w:val="4FFFE23B"/>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682217"/>
    <w:rsid w:val="537DC0A2"/>
    <w:rsid w:val="53A928A9"/>
    <w:rsid w:val="53B2024F"/>
    <w:rsid w:val="53B83907"/>
    <w:rsid w:val="53E91301"/>
    <w:rsid w:val="53F0747B"/>
    <w:rsid w:val="545112A5"/>
    <w:rsid w:val="54696247"/>
    <w:rsid w:val="54756E9F"/>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BF4844"/>
    <w:rsid w:val="56C6473B"/>
    <w:rsid w:val="56CC6EAB"/>
    <w:rsid w:val="56D74735"/>
    <w:rsid w:val="56DE000D"/>
    <w:rsid w:val="56F33945"/>
    <w:rsid w:val="56F6DAB0"/>
    <w:rsid w:val="57120E18"/>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81727A0"/>
    <w:rsid w:val="583BBBA1"/>
    <w:rsid w:val="5873337D"/>
    <w:rsid w:val="58741794"/>
    <w:rsid w:val="587E07B8"/>
    <w:rsid w:val="58896EB8"/>
    <w:rsid w:val="58AF4E41"/>
    <w:rsid w:val="58B41022"/>
    <w:rsid w:val="58B97F29"/>
    <w:rsid w:val="58C46B40"/>
    <w:rsid w:val="58DA705B"/>
    <w:rsid w:val="58E72F20"/>
    <w:rsid w:val="58FB1F94"/>
    <w:rsid w:val="592D53E5"/>
    <w:rsid w:val="59475466"/>
    <w:rsid w:val="59482DC3"/>
    <w:rsid w:val="594C2C9B"/>
    <w:rsid w:val="595DEFC6"/>
    <w:rsid w:val="59724B00"/>
    <w:rsid w:val="59870899"/>
    <w:rsid w:val="5992714E"/>
    <w:rsid w:val="59EA212F"/>
    <w:rsid w:val="59F271D3"/>
    <w:rsid w:val="59F87366"/>
    <w:rsid w:val="59FF35F5"/>
    <w:rsid w:val="59FFE946"/>
    <w:rsid w:val="5A04162B"/>
    <w:rsid w:val="5A091DC0"/>
    <w:rsid w:val="5A145BBF"/>
    <w:rsid w:val="5A81421E"/>
    <w:rsid w:val="5A963AAD"/>
    <w:rsid w:val="5A9E2282"/>
    <w:rsid w:val="5ACFD81A"/>
    <w:rsid w:val="5AD563E4"/>
    <w:rsid w:val="5AFA4BDB"/>
    <w:rsid w:val="5B3A6098"/>
    <w:rsid w:val="5B410D79"/>
    <w:rsid w:val="5B4D177D"/>
    <w:rsid w:val="5B57206F"/>
    <w:rsid w:val="5B5D79F8"/>
    <w:rsid w:val="5B6B7A7F"/>
    <w:rsid w:val="5B7E537A"/>
    <w:rsid w:val="5B8643BE"/>
    <w:rsid w:val="5B9752C3"/>
    <w:rsid w:val="5BA1550F"/>
    <w:rsid w:val="5BAEC8ED"/>
    <w:rsid w:val="5BB25C1D"/>
    <w:rsid w:val="5BBF10B3"/>
    <w:rsid w:val="5BCB0034"/>
    <w:rsid w:val="5BDA3F4B"/>
    <w:rsid w:val="5BDC5203"/>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5F8B6"/>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6F5CDD"/>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7D402"/>
    <w:rsid w:val="5FDBCECD"/>
    <w:rsid w:val="5FDE99A3"/>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6E23EB"/>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894210"/>
    <w:rsid w:val="63B55F66"/>
    <w:rsid w:val="63BA23FD"/>
    <w:rsid w:val="63D461A2"/>
    <w:rsid w:val="63F6AF09"/>
    <w:rsid w:val="63F75FE1"/>
    <w:rsid w:val="6407213A"/>
    <w:rsid w:val="64200576"/>
    <w:rsid w:val="6432530E"/>
    <w:rsid w:val="647B80EC"/>
    <w:rsid w:val="64A2696B"/>
    <w:rsid w:val="64C748BF"/>
    <w:rsid w:val="64CA6A88"/>
    <w:rsid w:val="64D709CE"/>
    <w:rsid w:val="6507390C"/>
    <w:rsid w:val="654E5711"/>
    <w:rsid w:val="654F48C4"/>
    <w:rsid w:val="655A10D9"/>
    <w:rsid w:val="65764BF7"/>
    <w:rsid w:val="65DA75E4"/>
    <w:rsid w:val="65ED38F4"/>
    <w:rsid w:val="65EF1B82"/>
    <w:rsid w:val="65F446F9"/>
    <w:rsid w:val="65F96C4A"/>
    <w:rsid w:val="65FC5311"/>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D77BC"/>
    <w:rsid w:val="677EA2CA"/>
    <w:rsid w:val="67875BEC"/>
    <w:rsid w:val="6797C3E4"/>
    <w:rsid w:val="67981E55"/>
    <w:rsid w:val="679A30E1"/>
    <w:rsid w:val="67BB5DCF"/>
    <w:rsid w:val="67CF4B12"/>
    <w:rsid w:val="67D56C7D"/>
    <w:rsid w:val="67DB7D86"/>
    <w:rsid w:val="67EDA967"/>
    <w:rsid w:val="67EDB27E"/>
    <w:rsid w:val="67EDBDA0"/>
    <w:rsid w:val="67FF0E94"/>
    <w:rsid w:val="68835F71"/>
    <w:rsid w:val="68EE5790"/>
    <w:rsid w:val="690432A4"/>
    <w:rsid w:val="692F6DAF"/>
    <w:rsid w:val="69746EBF"/>
    <w:rsid w:val="69787C50"/>
    <w:rsid w:val="697FCD9D"/>
    <w:rsid w:val="6987583A"/>
    <w:rsid w:val="69964C41"/>
    <w:rsid w:val="69C26DD9"/>
    <w:rsid w:val="69D45A86"/>
    <w:rsid w:val="69E80CC5"/>
    <w:rsid w:val="69F6F957"/>
    <w:rsid w:val="6A1F4150"/>
    <w:rsid w:val="6A2D1CCF"/>
    <w:rsid w:val="6A7E092E"/>
    <w:rsid w:val="6A904237"/>
    <w:rsid w:val="6AB5277B"/>
    <w:rsid w:val="6AF040E0"/>
    <w:rsid w:val="6AF711C0"/>
    <w:rsid w:val="6AFAFFDE"/>
    <w:rsid w:val="6AFF09AC"/>
    <w:rsid w:val="6B131661"/>
    <w:rsid w:val="6B39269D"/>
    <w:rsid w:val="6B6E2ECF"/>
    <w:rsid w:val="6B744899"/>
    <w:rsid w:val="6B774A6D"/>
    <w:rsid w:val="6B7D00D8"/>
    <w:rsid w:val="6B7F6011"/>
    <w:rsid w:val="6B84408B"/>
    <w:rsid w:val="6BAE6F4B"/>
    <w:rsid w:val="6BB9765C"/>
    <w:rsid w:val="6BBB38C9"/>
    <w:rsid w:val="6BBD121A"/>
    <w:rsid w:val="6BBDD199"/>
    <w:rsid w:val="6BBE2EC3"/>
    <w:rsid w:val="6BBFF2C0"/>
    <w:rsid w:val="6BD4BFFA"/>
    <w:rsid w:val="6BDDBC3F"/>
    <w:rsid w:val="6BE03964"/>
    <w:rsid w:val="6BEEC6FD"/>
    <w:rsid w:val="6BF7A4CE"/>
    <w:rsid w:val="6BFF2C4A"/>
    <w:rsid w:val="6BFF6F90"/>
    <w:rsid w:val="6C1C2C64"/>
    <w:rsid w:val="6C5DB040"/>
    <w:rsid w:val="6C6351B9"/>
    <w:rsid w:val="6C6F4811"/>
    <w:rsid w:val="6C745F04"/>
    <w:rsid w:val="6C7FDC0D"/>
    <w:rsid w:val="6C815AFB"/>
    <w:rsid w:val="6C9106CB"/>
    <w:rsid w:val="6CB392BE"/>
    <w:rsid w:val="6CEB81F2"/>
    <w:rsid w:val="6CEDAF30"/>
    <w:rsid w:val="6CF43927"/>
    <w:rsid w:val="6CFDC25F"/>
    <w:rsid w:val="6CFEC4E7"/>
    <w:rsid w:val="6D3A7270"/>
    <w:rsid w:val="6D3F0101"/>
    <w:rsid w:val="6D457A57"/>
    <w:rsid w:val="6D47055B"/>
    <w:rsid w:val="6D552320"/>
    <w:rsid w:val="6D5F4DAF"/>
    <w:rsid w:val="6D6D55B1"/>
    <w:rsid w:val="6D7B1EFA"/>
    <w:rsid w:val="6D7E025D"/>
    <w:rsid w:val="6D7FF225"/>
    <w:rsid w:val="6D9416E8"/>
    <w:rsid w:val="6DA22463"/>
    <w:rsid w:val="6DE70451"/>
    <w:rsid w:val="6DE77A1B"/>
    <w:rsid w:val="6DF93840"/>
    <w:rsid w:val="6DFB7502"/>
    <w:rsid w:val="6DFD15BA"/>
    <w:rsid w:val="6DFE3646"/>
    <w:rsid w:val="6DFEE8ED"/>
    <w:rsid w:val="6DFFDE98"/>
    <w:rsid w:val="6E0A0FF3"/>
    <w:rsid w:val="6E200660"/>
    <w:rsid w:val="6E3C2184"/>
    <w:rsid w:val="6E501280"/>
    <w:rsid w:val="6E541107"/>
    <w:rsid w:val="6E662C4C"/>
    <w:rsid w:val="6E6D3F1C"/>
    <w:rsid w:val="6E6F13E2"/>
    <w:rsid w:val="6E7FB585"/>
    <w:rsid w:val="6EBA0434"/>
    <w:rsid w:val="6EBE0B2E"/>
    <w:rsid w:val="6EBFC098"/>
    <w:rsid w:val="6EC117B0"/>
    <w:rsid w:val="6EC73413"/>
    <w:rsid w:val="6ED04039"/>
    <w:rsid w:val="6EE71261"/>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7F042"/>
    <w:rsid w:val="6FBB02AE"/>
    <w:rsid w:val="6FBF5CB5"/>
    <w:rsid w:val="6FCE37D4"/>
    <w:rsid w:val="6FE71825"/>
    <w:rsid w:val="6FEB3409"/>
    <w:rsid w:val="6FF2EFD2"/>
    <w:rsid w:val="6FF55067"/>
    <w:rsid w:val="6FF70C7C"/>
    <w:rsid w:val="6FF736B6"/>
    <w:rsid w:val="6FFE666F"/>
    <w:rsid w:val="701B6B38"/>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5EB3DE"/>
    <w:rsid w:val="739550E5"/>
    <w:rsid w:val="73A14FE3"/>
    <w:rsid w:val="73A676AB"/>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CA1E5F"/>
    <w:rsid w:val="74E77EFD"/>
    <w:rsid w:val="74FB735B"/>
    <w:rsid w:val="7519F0F1"/>
    <w:rsid w:val="753A75CE"/>
    <w:rsid w:val="75472CB5"/>
    <w:rsid w:val="7547410B"/>
    <w:rsid w:val="75670E1B"/>
    <w:rsid w:val="757E8488"/>
    <w:rsid w:val="759D5D2B"/>
    <w:rsid w:val="759DDA6E"/>
    <w:rsid w:val="75B57793"/>
    <w:rsid w:val="75B847FC"/>
    <w:rsid w:val="75DFB6E5"/>
    <w:rsid w:val="75E60986"/>
    <w:rsid w:val="75FFAC91"/>
    <w:rsid w:val="76067541"/>
    <w:rsid w:val="76171E85"/>
    <w:rsid w:val="761E1DD9"/>
    <w:rsid w:val="76571F4C"/>
    <w:rsid w:val="766D0A82"/>
    <w:rsid w:val="767F7BF5"/>
    <w:rsid w:val="76824B18"/>
    <w:rsid w:val="769FBAE5"/>
    <w:rsid w:val="769FF50B"/>
    <w:rsid w:val="76A357D8"/>
    <w:rsid w:val="76F2C855"/>
    <w:rsid w:val="76FB0D0B"/>
    <w:rsid w:val="76FDC104"/>
    <w:rsid w:val="76FE6EBE"/>
    <w:rsid w:val="76FF4B69"/>
    <w:rsid w:val="7712305A"/>
    <w:rsid w:val="771BC93C"/>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FB1360"/>
    <w:rsid w:val="77FBF545"/>
    <w:rsid w:val="77FC65BD"/>
    <w:rsid w:val="77FD2258"/>
    <w:rsid w:val="77FDAFC9"/>
    <w:rsid w:val="77FDD67D"/>
    <w:rsid w:val="77FFAA62"/>
    <w:rsid w:val="78267840"/>
    <w:rsid w:val="7884684B"/>
    <w:rsid w:val="78A6232C"/>
    <w:rsid w:val="78BE02B4"/>
    <w:rsid w:val="78BF6301"/>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78ED9"/>
    <w:rsid w:val="7ADE746F"/>
    <w:rsid w:val="7ADF8D6D"/>
    <w:rsid w:val="7ADFEA57"/>
    <w:rsid w:val="7AEF1479"/>
    <w:rsid w:val="7AEF646F"/>
    <w:rsid w:val="7AF46CCC"/>
    <w:rsid w:val="7AF80114"/>
    <w:rsid w:val="7AFBA5EB"/>
    <w:rsid w:val="7B0C378D"/>
    <w:rsid w:val="7B14665D"/>
    <w:rsid w:val="7B211BE0"/>
    <w:rsid w:val="7B3604A3"/>
    <w:rsid w:val="7B64B9A8"/>
    <w:rsid w:val="7B6C23D0"/>
    <w:rsid w:val="7B77B281"/>
    <w:rsid w:val="7B7E3534"/>
    <w:rsid w:val="7B975221"/>
    <w:rsid w:val="7BA47726"/>
    <w:rsid w:val="7BB23E9F"/>
    <w:rsid w:val="7BBE7689"/>
    <w:rsid w:val="7BCA5CF9"/>
    <w:rsid w:val="7BCF053D"/>
    <w:rsid w:val="7BCFB8A0"/>
    <w:rsid w:val="7BD37350"/>
    <w:rsid w:val="7BDB8B1C"/>
    <w:rsid w:val="7BDE04C2"/>
    <w:rsid w:val="7BDF1B52"/>
    <w:rsid w:val="7BDFF045"/>
    <w:rsid w:val="7BE627E0"/>
    <w:rsid w:val="7BED0A2D"/>
    <w:rsid w:val="7BEF63A1"/>
    <w:rsid w:val="7BF2732B"/>
    <w:rsid w:val="7BF36A1C"/>
    <w:rsid w:val="7BF73FA3"/>
    <w:rsid w:val="7BF84618"/>
    <w:rsid w:val="7BF98F73"/>
    <w:rsid w:val="7BFBE961"/>
    <w:rsid w:val="7BFCCF9A"/>
    <w:rsid w:val="7BFD23BE"/>
    <w:rsid w:val="7BFF1252"/>
    <w:rsid w:val="7BFF4CBB"/>
    <w:rsid w:val="7BFFBEF3"/>
    <w:rsid w:val="7BFFFB61"/>
    <w:rsid w:val="7C199E8E"/>
    <w:rsid w:val="7C1E4662"/>
    <w:rsid w:val="7C6FAC73"/>
    <w:rsid w:val="7C805BDF"/>
    <w:rsid w:val="7C960D11"/>
    <w:rsid w:val="7C9D15C7"/>
    <w:rsid w:val="7CBE8518"/>
    <w:rsid w:val="7CD09542"/>
    <w:rsid w:val="7CD51442"/>
    <w:rsid w:val="7CEC546D"/>
    <w:rsid w:val="7CED360A"/>
    <w:rsid w:val="7CF11320"/>
    <w:rsid w:val="7CF81A8E"/>
    <w:rsid w:val="7D4877F9"/>
    <w:rsid w:val="7D5F766F"/>
    <w:rsid w:val="7D772C0B"/>
    <w:rsid w:val="7D7F3FD0"/>
    <w:rsid w:val="7D804B82"/>
    <w:rsid w:val="7D841571"/>
    <w:rsid w:val="7D9E4DCD"/>
    <w:rsid w:val="7DB44617"/>
    <w:rsid w:val="7DB912C6"/>
    <w:rsid w:val="7DCFA9AF"/>
    <w:rsid w:val="7DEF655E"/>
    <w:rsid w:val="7DEFDD4D"/>
    <w:rsid w:val="7DF55D84"/>
    <w:rsid w:val="7DF5E540"/>
    <w:rsid w:val="7DFFD3A2"/>
    <w:rsid w:val="7E15D1C6"/>
    <w:rsid w:val="7E1861B4"/>
    <w:rsid w:val="7E1E6385"/>
    <w:rsid w:val="7E1FF0C7"/>
    <w:rsid w:val="7E340988"/>
    <w:rsid w:val="7E3D5B49"/>
    <w:rsid w:val="7E3D6278"/>
    <w:rsid w:val="7E55A534"/>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9A941"/>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305B"/>
    <w:rsid w:val="7EFF55D8"/>
    <w:rsid w:val="7EFFCA79"/>
    <w:rsid w:val="7F0B523C"/>
    <w:rsid w:val="7F1A2ADD"/>
    <w:rsid w:val="7F1FE4C4"/>
    <w:rsid w:val="7F2E9941"/>
    <w:rsid w:val="7F33F16A"/>
    <w:rsid w:val="7F3F0374"/>
    <w:rsid w:val="7F3F48D2"/>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0159"/>
    <w:rsid w:val="7F7F6CA6"/>
    <w:rsid w:val="7F7FA077"/>
    <w:rsid w:val="7F7FA806"/>
    <w:rsid w:val="7F9E5011"/>
    <w:rsid w:val="7F9FA1D3"/>
    <w:rsid w:val="7FA72D69"/>
    <w:rsid w:val="7FAD3878"/>
    <w:rsid w:val="7FAF19EE"/>
    <w:rsid w:val="7FB9C803"/>
    <w:rsid w:val="7FBA1318"/>
    <w:rsid w:val="7FBBD329"/>
    <w:rsid w:val="7FBD0DDC"/>
    <w:rsid w:val="7FBD3C31"/>
    <w:rsid w:val="7FBD6887"/>
    <w:rsid w:val="7FBDBB49"/>
    <w:rsid w:val="7FBF10A2"/>
    <w:rsid w:val="7FBF4759"/>
    <w:rsid w:val="7FC68F76"/>
    <w:rsid w:val="7FC7B7AE"/>
    <w:rsid w:val="7FCB0E86"/>
    <w:rsid w:val="7FCDBC4D"/>
    <w:rsid w:val="7FCEEA31"/>
    <w:rsid w:val="7FCFE3A1"/>
    <w:rsid w:val="7FD7B55D"/>
    <w:rsid w:val="7FDA4A78"/>
    <w:rsid w:val="7FDBD71A"/>
    <w:rsid w:val="7FDE6D84"/>
    <w:rsid w:val="7FDF0F57"/>
    <w:rsid w:val="7FDF8A26"/>
    <w:rsid w:val="7FE45506"/>
    <w:rsid w:val="7FE74340"/>
    <w:rsid w:val="7FE777B0"/>
    <w:rsid w:val="7FEA3A9C"/>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EDA8"/>
    <w:rsid w:val="7FFFFFF5"/>
    <w:rsid w:val="80FFD23B"/>
    <w:rsid w:val="87647AF8"/>
    <w:rsid w:val="87FDA02F"/>
    <w:rsid w:val="8BAD3C64"/>
    <w:rsid w:val="8DFFD1AA"/>
    <w:rsid w:val="8F3E3382"/>
    <w:rsid w:val="8F7302B9"/>
    <w:rsid w:val="8FBB9A55"/>
    <w:rsid w:val="91DFE8F5"/>
    <w:rsid w:val="93DB74AF"/>
    <w:rsid w:val="97D71DFE"/>
    <w:rsid w:val="99ED0C9D"/>
    <w:rsid w:val="99FEE736"/>
    <w:rsid w:val="9A1E0A07"/>
    <w:rsid w:val="9ABD6D3E"/>
    <w:rsid w:val="9D3EAF1C"/>
    <w:rsid w:val="9D6B2ED6"/>
    <w:rsid w:val="9D7F0DA6"/>
    <w:rsid w:val="9D9F82B4"/>
    <w:rsid w:val="9DBE3653"/>
    <w:rsid w:val="9DBF28CB"/>
    <w:rsid w:val="9DE5F549"/>
    <w:rsid w:val="9DEEA1A7"/>
    <w:rsid w:val="9DFFC56B"/>
    <w:rsid w:val="9EFFBFDC"/>
    <w:rsid w:val="9F1F0774"/>
    <w:rsid w:val="9F5770BF"/>
    <w:rsid w:val="9F746438"/>
    <w:rsid w:val="9F7F0326"/>
    <w:rsid w:val="9FAE96CE"/>
    <w:rsid w:val="9FBF075C"/>
    <w:rsid w:val="9FBF926B"/>
    <w:rsid w:val="9FFFBA19"/>
    <w:rsid w:val="9FFFF6C8"/>
    <w:rsid w:val="A4F29759"/>
    <w:rsid w:val="A56A5B4C"/>
    <w:rsid w:val="A5FD18B9"/>
    <w:rsid w:val="A5FD887E"/>
    <w:rsid w:val="A69E7D90"/>
    <w:rsid w:val="A798F561"/>
    <w:rsid w:val="A79F4A7A"/>
    <w:rsid w:val="A7F5298F"/>
    <w:rsid w:val="A9FBD03D"/>
    <w:rsid w:val="ABF7DC2D"/>
    <w:rsid w:val="ABFFE5E5"/>
    <w:rsid w:val="AD6D9B49"/>
    <w:rsid w:val="AD7E0448"/>
    <w:rsid w:val="ADFA5E98"/>
    <w:rsid w:val="ADFFDB04"/>
    <w:rsid w:val="AEAF57D7"/>
    <w:rsid w:val="AEBFBB0B"/>
    <w:rsid w:val="AEF841E1"/>
    <w:rsid w:val="AF3EBA8C"/>
    <w:rsid w:val="AF3F1F03"/>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944576"/>
    <w:rsid w:val="B6F78BBC"/>
    <w:rsid w:val="B6FF60FB"/>
    <w:rsid w:val="B777BAE6"/>
    <w:rsid w:val="B7792E3B"/>
    <w:rsid w:val="B77E4031"/>
    <w:rsid w:val="B77F9227"/>
    <w:rsid w:val="B78ED157"/>
    <w:rsid w:val="B78F4E27"/>
    <w:rsid w:val="B7A2D194"/>
    <w:rsid w:val="B7BF41DE"/>
    <w:rsid w:val="B7BF6161"/>
    <w:rsid w:val="B7DA7682"/>
    <w:rsid w:val="B7DC0139"/>
    <w:rsid w:val="B7DF8790"/>
    <w:rsid w:val="B7EF1635"/>
    <w:rsid w:val="B7F3D556"/>
    <w:rsid w:val="B7F59EB5"/>
    <w:rsid w:val="B82FA061"/>
    <w:rsid w:val="B8834A40"/>
    <w:rsid w:val="B8C36AD2"/>
    <w:rsid w:val="B8FB85AD"/>
    <w:rsid w:val="B94390A1"/>
    <w:rsid w:val="B9F7DB7E"/>
    <w:rsid w:val="B9FDF686"/>
    <w:rsid w:val="BABB2ACA"/>
    <w:rsid w:val="BB5D82F3"/>
    <w:rsid w:val="BB6D2A73"/>
    <w:rsid w:val="BB7916AC"/>
    <w:rsid w:val="BBCF4FBF"/>
    <w:rsid w:val="BBDD7A8B"/>
    <w:rsid w:val="BBDEB2DA"/>
    <w:rsid w:val="BBDF3B74"/>
    <w:rsid w:val="BBDF9C7C"/>
    <w:rsid w:val="BBFE9003"/>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AA910C"/>
    <w:rsid w:val="BEBBD8C1"/>
    <w:rsid w:val="BEDB8436"/>
    <w:rsid w:val="BEF7187E"/>
    <w:rsid w:val="BEFB0E83"/>
    <w:rsid w:val="BF3A91C7"/>
    <w:rsid w:val="BF604D9D"/>
    <w:rsid w:val="BF6BD8BA"/>
    <w:rsid w:val="BF76AA92"/>
    <w:rsid w:val="BF76E7B0"/>
    <w:rsid w:val="BF77B18C"/>
    <w:rsid w:val="BF793CE4"/>
    <w:rsid w:val="BF7E4088"/>
    <w:rsid w:val="BF7EDFC0"/>
    <w:rsid w:val="BF7F3C1C"/>
    <w:rsid w:val="BF9A05E5"/>
    <w:rsid w:val="BFA12AD0"/>
    <w:rsid w:val="BFB75766"/>
    <w:rsid w:val="BFBD201B"/>
    <w:rsid w:val="BFBD622E"/>
    <w:rsid w:val="BFBFCBD6"/>
    <w:rsid w:val="BFDBC591"/>
    <w:rsid w:val="BFDC8098"/>
    <w:rsid w:val="BFDFF8CA"/>
    <w:rsid w:val="BFE32A1E"/>
    <w:rsid w:val="BFEDD8B4"/>
    <w:rsid w:val="BFEEB6FB"/>
    <w:rsid w:val="BFEF8AF5"/>
    <w:rsid w:val="BFF5BC68"/>
    <w:rsid w:val="BFF7C788"/>
    <w:rsid w:val="BFFC6D96"/>
    <w:rsid w:val="BFFF0B13"/>
    <w:rsid w:val="BFFFF591"/>
    <w:rsid w:val="C57B30B2"/>
    <w:rsid w:val="C5923726"/>
    <w:rsid w:val="C5BF2169"/>
    <w:rsid w:val="C5DF0AA3"/>
    <w:rsid w:val="C7470024"/>
    <w:rsid w:val="C7AD4B17"/>
    <w:rsid w:val="CB339C4C"/>
    <w:rsid w:val="CB5FE9A0"/>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3FAC7A"/>
    <w:rsid w:val="D7BBF31B"/>
    <w:rsid w:val="D7CC3800"/>
    <w:rsid w:val="D7D5CC6F"/>
    <w:rsid w:val="D7DE753A"/>
    <w:rsid w:val="D7E09F42"/>
    <w:rsid w:val="D7FB59A0"/>
    <w:rsid w:val="D7FED8D0"/>
    <w:rsid w:val="D7FF672B"/>
    <w:rsid w:val="D7FFF9DF"/>
    <w:rsid w:val="D8A9D188"/>
    <w:rsid w:val="D9BD42E9"/>
    <w:rsid w:val="D9BE4408"/>
    <w:rsid w:val="DABFB485"/>
    <w:rsid w:val="DB2E96B1"/>
    <w:rsid w:val="DB99523A"/>
    <w:rsid w:val="DBBFC65C"/>
    <w:rsid w:val="DBCB3E80"/>
    <w:rsid w:val="DBD5E18D"/>
    <w:rsid w:val="DBDD1800"/>
    <w:rsid w:val="DBEA5FD9"/>
    <w:rsid w:val="DBF6C713"/>
    <w:rsid w:val="DBFAB6E2"/>
    <w:rsid w:val="DBFB628C"/>
    <w:rsid w:val="DBFF2B01"/>
    <w:rsid w:val="DBFFB739"/>
    <w:rsid w:val="DC7FF3D4"/>
    <w:rsid w:val="DCBDD353"/>
    <w:rsid w:val="DCE9A5E8"/>
    <w:rsid w:val="DCEBD107"/>
    <w:rsid w:val="DCEFE6D6"/>
    <w:rsid w:val="DCFC881A"/>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368F0"/>
    <w:rsid w:val="DFE73EF5"/>
    <w:rsid w:val="DFEC7A3A"/>
    <w:rsid w:val="DFEFA24D"/>
    <w:rsid w:val="DFEFFE04"/>
    <w:rsid w:val="DFF0F891"/>
    <w:rsid w:val="DFF30972"/>
    <w:rsid w:val="DFFB4111"/>
    <w:rsid w:val="DFFBC7E1"/>
    <w:rsid w:val="DFFCACE0"/>
    <w:rsid w:val="DFFE1E36"/>
    <w:rsid w:val="DFFF2B5D"/>
    <w:rsid w:val="DFFF3928"/>
    <w:rsid w:val="DFFFB827"/>
    <w:rsid w:val="E17F3390"/>
    <w:rsid w:val="E1BDB81F"/>
    <w:rsid w:val="E1EF2A08"/>
    <w:rsid w:val="E2ED36E5"/>
    <w:rsid w:val="E5BFBD14"/>
    <w:rsid w:val="E5FD79EC"/>
    <w:rsid w:val="E69DB6F6"/>
    <w:rsid w:val="E6EEE5E3"/>
    <w:rsid w:val="E6FA0EAF"/>
    <w:rsid w:val="E6FF671B"/>
    <w:rsid w:val="E7BECC07"/>
    <w:rsid w:val="E7DD1255"/>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BD923"/>
    <w:rsid w:val="EAFEB82D"/>
    <w:rsid w:val="EB7E0D37"/>
    <w:rsid w:val="EBAD28DF"/>
    <w:rsid w:val="EBB6D35F"/>
    <w:rsid w:val="EBBF4A2E"/>
    <w:rsid w:val="EBBFAF58"/>
    <w:rsid w:val="EBD957CC"/>
    <w:rsid w:val="EBF3BC79"/>
    <w:rsid w:val="EBFBA9D6"/>
    <w:rsid w:val="EBFD03CE"/>
    <w:rsid w:val="EBFFD39E"/>
    <w:rsid w:val="EC75EFAF"/>
    <w:rsid w:val="EC7FA350"/>
    <w:rsid w:val="ECF1EE47"/>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A54636"/>
    <w:rsid w:val="EFB99481"/>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899859"/>
    <w:rsid w:val="F2BF5C01"/>
    <w:rsid w:val="F2DCE203"/>
    <w:rsid w:val="F2FBA260"/>
    <w:rsid w:val="F32FE83B"/>
    <w:rsid w:val="F3723DB1"/>
    <w:rsid w:val="F3D7D169"/>
    <w:rsid w:val="F3EA0697"/>
    <w:rsid w:val="F3F2F550"/>
    <w:rsid w:val="F3F5BEE9"/>
    <w:rsid w:val="F3F8EE6C"/>
    <w:rsid w:val="F3FB14F0"/>
    <w:rsid w:val="F3FF05B4"/>
    <w:rsid w:val="F3FFD2DD"/>
    <w:rsid w:val="F4225257"/>
    <w:rsid w:val="F4571BDB"/>
    <w:rsid w:val="F4BF339E"/>
    <w:rsid w:val="F4CF00A8"/>
    <w:rsid w:val="F4EBD455"/>
    <w:rsid w:val="F57EA373"/>
    <w:rsid w:val="F5AB4465"/>
    <w:rsid w:val="F5AF1AAC"/>
    <w:rsid w:val="F5D6D416"/>
    <w:rsid w:val="F5EF5BA1"/>
    <w:rsid w:val="F5FFA048"/>
    <w:rsid w:val="F65EB912"/>
    <w:rsid w:val="F66E6811"/>
    <w:rsid w:val="F6F715DC"/>
    <w:rsid w:val="F6FC548F"/>
    <w:rsid w:val="F6FF0645"/>
    <w:rsid w:val="F70F4387"/>
    <w:rsid w:val="F75DEE87"/>
    <w:rsid w:val="F76FC34E"/>
    <w:rsid w:val="F77EAFBC"/>
    <w:rsid w:val="F79BF327"/>
    <w:rsid w:val="F7BB0BC8"/>
    <w:rsid w:val="F7BB5C28"/>
    <w:rsid w:val="F7BB7DA5"/>
    <w:rsid w:val="F7BF4B69"/>
    <w:rsid w:val="F7BFDD02"/>
    <w:rsid w:val="F7C640FC"/>
    <w:rsid w:val="F7D30B5E"/>
    <w:rsid w:val="F7D5FA45"/>
    <w:rsid w:val="F7DF177A"/>
    <w:rsid w:val="F7DFD18F"/>
    <w:rsid w:val="F7E9BB8D"/>
    <w:rsid w:val="F7EF6B7F"/>
    <w:rsid w:val="F7EFD4DB"/>
    <w:rsid w:val="F7FCA197"/>
    <w:rsid w:val="F7FD22F1"/>
    <w:rsid w:val="F7FD386B"/>
    <w:rsid w:val="F7FD7703"/>
    <w:rsid w:val="F7FE284C"/>
    <w:rsid w:val="F7FF9535"/>
    <w:rsid w:val="F7FF9C5D"/>
    <w:rsid w:val="F7FFC5CE"/>
    <w:rsid w:val="F7FFFA83"/>
    <w:rsid w:val="F8BCFDD8"/>
    <w:rsid w:val="F8DFCC7B"/>
    <w:rsid w:val="F8E5AE44"/>
    <w:rsid w:val="F8F29178"/>
    <w:rsid w:val="F917FFBA"/>
    <w:rsid w:val="F935F7E5"/>
    <w:rsid w:val="F94A355D"/>
    <w:rsid w:val="F94ED4F1"/>
    <w:rsid w:val="F956B32B"/>
    <w:rsid w:val="F96FE810"/>
    <w:rsid w:val="F9FA94DA"/>
    <w:rsid w:val="F9FFCD8A"/>
    <w:rsid w:val="F9FFE9E2"/>
    <w:rsid w:val="FA673975"/>
    <w:rsid w:val="FA6F5FA1"/>
    <w:rsid w:val="FA6F7A3B"/>
    <w:rsid w:val="FA9F3B8F"/>
    <w:rsid w:val="FABB1ADF"/>
    <w:rsid w:val="FAFB5879"/>
    <w:rsid w:val="FAFFE8B1"/>
    <w:rsid w:val="FB0FA5A1"/>
    <w:rsid w:val="FB1B2E8B"/>
    <w:rsid w:val="FB5DDB87"/>
    <w:rsid w:val="FB5F2D39"/>
    <w:rsid w:val="FB5F7A41"/>
    <w:rsid w:val="FB6141D0"/>
    <w:rsid w:val="FB737713"/>
    <w:rsid w:val="FB7620CB"/>
    <w:rsid w:val="FBAD924E"/>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D1654"/>
    <w:rsid w:val="FBFF537C"/>
    <w:rsid w:val="FBFF59BB"/>
    <w:rsid w:val="FBFFFF9E"/>
    <w:rsid w:val="FC2F7095"/>
    <w:rsid w:val="FC45570C"/>
    <w:rsid w:val="FC5D01CF"/>
    <w:rsid w:val="FC7390B6"/>
    <w:rsid w:val="FC7D08FF"/>
    <w:rsid w:val="FCBD7C47"/>
    <w:rsid w:val="FCCAE4B4"/>
    <w:rsid w:val="FCCEA637"/>
    <w:rsid w:val="FCEF4AA4"/>
    <w:rsid w:val="FCF3C0FF"/>
    <w:rsid w:val="FCFE3BF1"/>
    <w:rsid w:val="FCFFC7AA"/>
    <w:rsid w:val="FD1F198B"/>
    <w:rsid w:val="FD3D1E0E"/>
    <w:rsid w:val="FD538289"/>
    <w:rsid w:val="FD5A3379"/>
    <w:rsid w:val="FD7F9963"/>
    <w:rsid w:val="FD9F4A15"/>
    <w:rsid w:val="FDAFF0EB"/>
    <w:rsid w:val="FDBE483E"/>
    <w:rsid w:val="FDCBF945"/>
    <w:rsid w:val="FDDF292B"/>
    <w:rsid w:val="FDE47190"/>
    <w:rsid w:val="FDEB5CB7"/>
    <w:rsid w:val="FDEB6716"/>
    <w:rsid w:val="FDEF2A04"/>
    <w:rsid w:val="FDF19A20"/>
    <w:rsid w:val="FDF399A8"/>
    <w:rsid w:val="FDF63A37"/>
    <w:rsid w:val="FDF97ECA"/>
    <w:rsid w:val="FDFF1998"/>
    <w:rsid w:val="FDFF695A"/>
    <w:rsid w:val="FDFFD0E6"/>
    <w:rsid w:val="FDFFF9C0"/>
    <w:rsid w:val="FE2D8208"/>
    <w:rsid w:val="FE39F1BD"/>
    <w:rsid w:val="FE3EDEB0"/>
    <w:rsid w:val="FE665DB5"/>
    <w:rsid w:val="FE671CFE"/>
    <w:rsid w:val="FE6FD557"/>
    <w:rsid w:val="FE71C8AF"/>
    <w:rsid w:val="FE7F36DC"/>
    <w:rsid w:val="FE7F6C7B"/>
    <w:rsid w:val="FEA89E19"/>
    <w:rsid w:val="FEAB2201"/>
    <w:rsid w:val="FEABC31E"/>
    <w:rsid w:val="FEB633E9"/>
    <w:rsid w:val="FEBFBACD"/>
    <w:rsid w:val="FED376AA"/>
    <w:rsid w:val="FED76919"/>
    <w:rsid w:val="FEDB8BC8"/>
    <w:rsid w:val="FEDEB09E"/>
    <w:rsid w:val="FEEF0ED8"/>
    <w:rsid w:val="FEF608EA"/>
    <w:rsid w:val="FEF7D53C"/>
    <w:rsid w:val="FEF99CBF"/>
    <w:rsid w:val="FEFC12E3"/>
    <w:rsid w:val="FEFEA587"/>
    <w:rsid w:val="FEFF7BD4"/>
    <w:rsid w:val="FF1E1442"/>
    <w:rsid w:val="FF3D390A"/>
    <w:rsid w:val="FF3E59B5"/>
    <w:rsid w:val="FF4FE9F1"/>
    <w:rsid w:val="FF5B8D7F"/>
    <w:rsid w:val="FF5D1F29"/>
    <w:rsid w:val="FF659D82"/>
    <w:rsid w:val="FF660C39"/>
    <w:rsid w:val="FF6BA83A"/>
    <w:rsid w:val="FF6C3765"/>
    <w:rsid w:val="FF6FB5D7"/>
    <w:rsid w:val="FF738773"/>
    <w:rsid w:val="FF75DB73"/>
    <w:rsid w:val="FF7AEC13"/>
    <w:rsid w:val="FF7B52EA"/>
    <w:rsid w:val="FF7B874E"/>
    <w:rsid w:val="FF7C84EC"/>
    <w:rsid w:val="FF7DC127"/>
    <w:rsid w:val="FF7EEB41"/>
    <w:rsid w:val="FF7F4185"/>
    <w:rsid w:val="FF7F4461"/>
    <w:rsid w:val="FF8F6649"/>
    <w:rsid w:val="FF97B671"/>
    <w:rsid w:val="FF9FA27F"/>
    <w:rsid w:val="FFA6D6F5"/>
    <w:rsid w:val="FFADDE42"/>
    <w:rsid w:val="FFAF5F11"/>
    <w:rsid w:val="FFB2CB99"/>
    <w:rsid w:val="FFB769D4"/>
    <w:rsid w:val="FFBCC349"/>
    <w:rsid w:val="FFBD8E1E"/>
    <w:rsid w:val="FFBEB8C7"/>
    <w:rsid w:val="FFBF0390"/>
    <w:rsid w:val="FFC7C6F9"/>
    <w:rsid w:val="FFCC2759"/>
    <w:rsid w:val="FFCE4F99"/>
    <w:rsid w:val="FFCF23F3"/>
    <w:rsid w:val="FFCF688E"/>
    <w:rsid w:val="FFCF6C60"/>
    <w:rsid w:val="FFD34341"/>
    <w:rsid w:val="FFD51B27"/>
    <w:rsid w:val="FFD55392"/>
    <w:rsid w:val="FFD73722"/>
    <w:rsid w:val="FFD9E784"/>
    <w:rsid w:val="FFDC3BE9"/>
    <w:rsid w:val="FFDD0B96"/>
    <w:rsid w:val="FFDDA225"/>
    <w:rsid w:val="FFDDC40C"/>
    <w:rsid w:val="FFDE8C99"/>
    <w:rsid w:val="FFDE8DF5"/>
    <w:rsid w:val="FFDF3294"/>
    <w:rsid w:val="FFDF4B46"/>
    <w:rsid w:val="FFE5B316"/>
    <w:rsid w:val="FFE91623"/>
    <w:rsid w:val="FFE9570B"/>
    <w:rsid w:val="FFEABAC4"/>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B15"/>
    <w:rsid w:val="FFFB5C95"/>
    <w:rsid w:val="FFFBAE4E"/>
    <w:rsid w:val="FFFD5F2A"/>
    <w:rsid w:val="FFFD8BDA"/>
    <w:rsid w:val="FFFDC7E6"/>
    <w:rsid w:val="FFFDDB9B"/>
    <w:rsid w:val="FFFE0AE4"/>
    <w:rsid w:val="FFFE5B9E"/>
    <w:rsid w:val="FFFEAABD"/>
    <w:rsid w:val="FFFECC37"/>
    <w:rsid w:val="FFFF058F"/>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qFormat/>
    <w:uiPriority w:val="9"/>
    <w:pPr>
      <w:keepNext/>
      <w:keepLines/>
      <w:spacing w:before="260" w:after="260" w:line="416" w:lineRule="auto"/>
      <w:outlineLvl w:val="2"/>
    </w:pPr>
    <w:rPr>
      <w:bCs/>
      <w:szCs w:val="32"/>
    </w:rPr>
  </w:style>
  <w:style w:type="paragraph" w:styleId="6">
    <w:name w:val="heading 4"/>
    <w:basedOn w:val="1"/>
    <w:next w:val="1"/>
    <w:qFormat/>
    <w:uiPriority w:val="99"/>
    <w:pPr>
      <w:widowControl/>
      <w:spacing w:before="100" w:beforeAutospacing="1" w:after="100" w:afterAutospacing="1"/>
      <w:jc w:val="left"/>
      <w:outlineLvl w:val="3"/>
    </w:pPr>
    <w:rPr>
      <w:rFonts w:ascii="宋体" w:hAnsi="宋体" w:cs="宋体"/>
      <w:b/>
      <w:bCs/>
      <w:kern w:val="0"/>
      <w:sz w:val="24"/>
      <w:szCs w:val="2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annotation text"/>
    <w:basedOn w:val="1"/>
    <w:link w:val="28"/>
    <w:qFormat/>
    <w:uiPriority w:val="0"/>
    <w:pPr>
      <w:jc w:val="left"/>
    </w:pPr>
  </w:style>
  <w:style w:type="paragraph" w:styleId="8">
    <w:name w:val="Body Text Indent"/>
    <w:basedOn w:val="1"/>
    <w:next w:val="1"/>
    <w:qFormat/>
    <w:uiPriority w:val="0"/>
    <w:pPr>
      <w:spacing w:line="480" w:lineRule="exact"/>
      <w:ind w:firstLine="480" w:firstLineChars="200"/>
    </w:pPr>
    <w:rPr>
      <w:rFonts w:ascii="宋体" w:hAnsi="宋体"/>
      <w:color w:val="FF0000"/>
      <w:kern w:val="0"/>
      <w:sz w:val="24"/>
    </w:rPr>
  </w:style>
  <w:style w:type="paragraph" w:styleId="9">
    <w:name w:val="Plain Text"/>
    <w:basedOn w:val="1"/>
    <w:next w:val="1"/>
    <w:qFormat/>
    <w:uiPriority w:val="99"/>
    <w:rPr>
      <w:rFonts w:ascii="宋体" w:hAnsi="Courier New" w:cs="Courier New"/>
      <w:szCs w:val="21"/>
    </w:rPr>
  </w:style>
  <w:style w:type="paragraph" w:styleId="10">
    <w:name w:val="Body Text Indent 2"/>
    <w:basedOn w:val="1"/>
    <w:next w:val="11"/>
    <w:qFormat/>
    <w:uiPriority w:val="0"/>
    <w:pPr>
      <w:spacing w:line="460" w:lineRule="exact"/>
      <w:ind w:firstLine="600" w:firstLineChars="200"/>
    </w:pPr>
    <w:rPr>
      <w:rFonts w:ascii="仿宋_GB2312" w:hAnsi="宋体" w:eastAsia="仿宋_GB2312"/>
      <w:sz w:val="30"/>
      <w:szCs w:val="28"/>
    </w:rPr>
  </w:style>
  <w:style w:type="paragraph" w:styleId="11">
    <w:name w:val="Body Text First Indent 2"/>
    <w:basedOn w:val="8"/>
    <w:next w:val="1"/>
    <w:unhideWhenUsed/>
    <w:qFormat/>
    <w:uiPriority w:val="0"/>
    <w:pPr>
      <w:spacing w:after="120" w:line="240" w:lineRule="auto"/>
      <w:ind w:left="420" w:leftChars="200" w:firstLine="420"/>
    </w:pPr>
  </w:style>
  <w:style w:type="paragraph" w:styleId="12">
    <w:name w:val="Balloon Text"/>
    <w:basedOn w:val="1"/>
    <w:link w:val="30"/>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annotation subject"/>
    <w:basedOn w:val="7"/>
    <w:next w:val="7"/>
    <w:link w:val="29"/>
    <w:qFormat/>
    <w:uiPriority w:val="0"/>
    <w:rPr>
      <w:b/>
      <w:bCs/>
    </w:rPr>
  </w:style>
  <w:style w:type="paragraph" w:styleId="16">
    <w:name w:val="Body Text First Indent"/>
    <w:basedOn w:val="2"/>
    <w:unhideWhenUsed/>
    <w:qFormat/>
    <w:uiPriority w:val="99"/>
    <w:pPr>
      <w:ind w:firstLine="420" w:firstLineChars="100"/>
    </w:pPr>
    <w:rPr>
      <w:szCs w:val="22"/>
    </w:rPr>
  </w:style>
  <w:style w:type="character" w:styleId="19">
    <w:name w:val="page number"/>
    <w:basedOn w:val="18"/>
    <w:qFormat/>
    <w:uiPriority w:val="0"/>
  </w:style>
  <w:style w:type="character" w:styleId="20">
    <w:name w:val="annotation reference"/>
    <w:basedOn w:val="18"/>
    <w:qFormat/>
    <w:uiPriority w:val="0"/>
    <w:rPr>
      <w:sz w:val="21"/>
      <w:szCs w:val="21"/>
    </w:rPr>
  </w:style>
  <w:style w:type="paragraph" w:customStyle="1" w:styleId="21">
    <w:name w:val="样式 标题 2"/>
    <w:basedOn w:val="4"/>
    <w:next w:val="22"/>
    <w:qFormat/>
    <w:uiPriority w:val="0"/>
    <w:pPr>
      <w:spacing w:before="50" w:after="50"/>
    </w:pPr>
    <w:rPr>
      <w:szCs w:val="28"/>
    </w:rPr>
  </w:style>
  <w:style w:type="paragraph" w:customStyle="1" w:styleId="22">
    <w:name w:val="Default1"/>
    <w:basedOn w:val="23"/>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3">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4">
    <w:name w:val="xl27"/>
    <w:basedOn w:val="1"/>
    <w:next w:val="25"/>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5">
    <w:name w:val="A正文"/>
    <w:basedOn w:val="1"/>
    <w:qFormat/>
    <w:uiPriority w:val="0"/>
    <w:pPr>
      <w:widowControl/>
      <w:overflowPunct w:val="0"/>
      <w:autoSpaceDE w:val="0"/>
      <w:autoSpaceDN w:val="0"/>
      <w:jc w:val="left"/>
      <w:textAlignment w:val="baseline"/>
    </w:pPr>
  </w:style>
  <w:style w:type="paragraph" w:customStyle="1" w:styleId="26">
    <w:name w:val="Default"/>
    <w:basedOn w:val="27"/>
    <w:next w:val="9"/>
    <w:qFormat/>
    <w:uiPriority w:val="0"/>
    <w:pPr>
      <w:autoSpaceDE w:val="0"/>
      <w:autoSpaceDN w:val="0"/>
      <w:adjustRightInd w:val="0"/>
    </w:pPr>
    <w:rPr>
      <w:rFonts w:ascii="仿宋_GB2312" w:eastAsia="仿宋_GB2312" w:cs="仿宋_GB2312"/>
      <w:sz w:val="24"/>
    </w:rPr>
  </w:style>
  <w:style w:type="paragraph" w:customStyle="1" w:styleId="27">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character" w:customStyle="1" w:styleId="28">
    <w:name w:val="批注文字 Char"/>
    <w:basedOn w:val="18"/>
    <w:link w:val="7"/>
    <w:qFormat/>
    <w:uiPriority w:val="0"/>
    <w:rPr>
      <w:kern w:val="2"/>
      <w:sz w:val="21"/>
      <w:szCs w:val="24"/>
    </w:rPr>
  </w:style>
  <w:style w:type="character" w:customStyle="1" w:styleId="29">
    <w:name w:val="批注主题 Char"/>
    <w:basedOn w:val="28"/>
    <w:link w:val="15"/>
    <w:qFormat/>
    <w:uiPriority w:val="0"/>
    <w:rPr>
      <w:b/>
      <w:bCs/>
      <w:kern w:val="2"/>
      <w:sz w:val="21"/>
      <w:szCs w:val="24"/>
    </w:rPr>
  </w:style>
  <w:style w:type="character" w:customStyle="1" w:styleId="30">
    <w:name w:val="批注框文本 Char"/>
    <w:basedOn w:val="18"/>
    <w:link w:val="12"/>
    <w:qFormat/>
    <w:uiPriority w:val="0"/>
    <w:rPr>
      <w:kern w:val="2"/>
      <w:sz w:val="18"/>
      <w:szCs w:val="18"/>
    </w:rPr>
  </w:style>
  <w:style w:type="paragraph" w:customStyle="1" w:styleId="31">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Zxmsoft</Company>
  <Pages>8</Pages>
  <Words>753</Words>
  <Characters>4296</Characters>
  <Lines>35</Lines>
  <Paragraphs>10</Paragraphs>
  <TotalTime>0</TotalTime>
  <ScaleCrop>false</ScaleCrop>
  <LinksUpToDate>false</LinksUpToDate>
  <CharactersWithSpaces>5039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2022-03-07T01:25:00Z</dcterms:created>
  <dc:creator>Administrator</dc:creator>
  <cp:lastModifiedBy>admin123</cp:lastModifiedBy>
  <cp:lastPrinted>2023-02-11T19:02:00Z</cp:lastPrinted>
  <dcterms:modified xsi:type="dcterms:W3CDTF">2023-03-20T09:38:52Z</dcterms:modified>
  <cp:revision>530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FCBE9B4CC0E04C92A70FAB8A4987C073</vt:lpwstr>
  </property>
</Properties>
</file>