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23</w:t>
      </w:r>
      <w:r>
        <w:rPr>
          <w:rFonts w:hint="eastAsia" w:ascii="仿宋_GB2312" w:eastAsia="仿宋_GB2312"/>
          <w:sz w:val="32"/>
        </w:rPr>
        <w:t>〕</w:t>
      </w:r>
      <w:r>
        <w:rPr>
          <w:rFonts w:hint="eastAsia" w:ascii="仿宋_GB2312" w:eastAsia="仿宋_GB2312"/>
          <w:sz w:val="32"/>
          <w:lang w:val="en-US" w:eastAsia="zh-CN"/>
        </w:rPr>
        <w:t>22</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pStyle w:val="11"/>
        <w:spacing w:line="520" w:lineRule="exact"/>
        <w:jc w:val="center"/>
        <w:rPr>
          <w:rFonts w:hint="eastAsia" w:ascii="方正小标宋简体" w:hAnsi="黑体" w:eastAsia="方正小标宋简体" w:cs="Courier New"/>
          <w:sz w:val="44"/>
          <w:szCs w:val="44"/>
        </w:rPr>
      </w:pPr>
      <w:r>
        <w:rPr>
          <w:rFonts w:hint="eastAsia" w:ascii="方正小标宋简体" w:hAnsi="黑体" w:eastAsia="方正小标宋简体" w:cs="Courier New"/>
          <w:sz w:val="44"/>
          <w:szCs w:val="44"/>
        </w:rPr>
        <w:t>关于</w:t>
      </w:r>
      <w:r>
        <w:rPr>
          <w:rFonts w:hint="eastAsia" w:ascii="方正小标宋简体" w:hAnsi="黑体" w:eastAsia="方正小标宋简体" w:cs="Courier New"/>
          <w:sz w:val="44"/>
          <w:szCs w:val="44"/>
          <w:lang w:eastAsia="zh-CN"/>
        </w:rPr>
        <w:t>江西亚驰新材料科技有限公司年产</w:t>
      </w:r>
      <w:r>
        <w:rPr>
          <w:rFonts w:hint="eastAsia" w:ascii="方正小标宋简体" w:hAnsi="黑体" w:eastAsia="方正小标宋简体" w:cs="Courier New"/>
          <w:sz w:val="44"/>
          <w:szCs w:val="44"/>
          <w:lang w:val="en-US" w:eastAsia="zh-CN"/>
        </w:rPr>
        <w:t>5万</w:t>
      </w:r>
      <w:r>
        <w:rPr>
          <w:rFonts w:hint="eastAsia" w:ascii="方正小标宋简体" w:hAnsi="黑体" w:eastAsia="方正小标宋简体" w:cs="Courier New"/>
          <w:sz w:val="44"/>
          <w:szCs w:val="44"/>
          <w:lang w:eastAsia="zh-CN"/>
        </w:rPr>
        <w:t>吨锂电池负极材料项目</w:t>
      </w:r>
      <w:r>
        <w:rPr>
          <w:rFonts w:hint="eastAsia" w:ascii="方正小标宋简体" w:hAnsi="黑体" w:eastAsia="方正小标宋简体" w:cs="Courier New"/>
          <w:sz w:val="44"/>
          <w:szCs w:val="44"/>
        </w:rPr>
        <w:t>环境影响报告书的批复</w:t>
      </w:r>
    </w:p>
    <w:p>
      <w:pPr>
        <w:keepNext w:val="0"/>
        <w:keepLines w:val="0"/>
        <w:pageBreakBefore w:val="0"/>
        <w:widowControl w:val="0"/>
        <w:kinsoku/>
        <w:wordWrap/>
        <w:overflowPunct/>
        <w:topLinePunct w:val="0"/>
        <w:autoSpaceDE w:val="0"/>
        <w:autoSpaceDN/>
        <w:bidi w:val="0"/>
        <w:spacing w:line="560" w:lineRule="exact"/>
        <w:jc w:val="left"/>
        <w:textAlignment w:val="auto"/>
        <w:rPr>
          <w:rFonts w:hint="eastAsia" w:ascii="仿宋_GB2312" w:hAnsi="仿宋" w:eastAsia="仿宋_GB2312" w:cs="仿宋"/>
          <w:kern w:val="2"/>
          <w:sz w:val="32"/>
          <w:szCs w:val="32"/>
          <w:lang w:val="en-US" w:eastAsia="zh-CN" w:bidi="ar-SA"/>
        </w:rPr>
      </w:pPr>
    </w:p>
    <w:p>
      <w:pPr>
        <w:keepNext w:val="0"/>
        <w:keepLines w:val="0"/>
        <w:pageBreakBefore w:val="0"/>
        <w:widowControl w:val="0"/>
        <w:kinsoku/>
        <w:wordWrap/>
        <w:overflowPunct/>
        <w:topLinePunct w:val="0"/>
        <w:autoSpaceDE w:val="0"/>
        <w:autoSpaceDN/>
        <w:bidi w:val="0"/>
        <w:spacing w:line="560" w:lineRule="exact"/>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江西亚驰新材料科技有限公司：</w:t>
      </w:r>
    </w:p>
    <w:p>
      <w:pPr>
        <w:pStyle w:val="11"/>
        <w:keepNext w:val="0"/>
        <w:keepLines w:val="0"/>
        <w:pageBreakBefore w:val="0"/>
        <w:widowControl w:val="0"/>
        <w:kinsoku/>
        <w:wordWrap/>
        <w:overflowPunct/>
        <w:topLinePunct w:val="0"/>
        <w:autoSpaceDN/>
        <w:bidi w:val="0"/>
        <w:spacing w:line="560"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你公司《关于请求审批〈</w:t>
      </w:r>
      <w:r>
        <w:rPr>
          <w:rFonts w:hint="eastAsia" w:ascii="仿宋_GB2312" w:hAnsi="仿宋" w:eastAsia="仿宋_GB2312" w:cs="仿宋"/>
          <w:sz w:val="32"/>
          <w:szCs w:val="32"/>
          <w:lang w:eastAsia="zh-CN"/>
        </w:rPr>
        <w:t>江西亚驰新材料科技有限公司年产</w:t>
      </w:r>
      <w:r>
        <w:rPr>
          <w:rFonts w:hint="eastAsia" w:ascii="仿宋_GB2312" w:hAnsi="仿宋" w:eastAsia="仿宋_GB2312" w:cs="仿宋"/>
          <w:sz w:val="32"/>
          <w:szCs w:val="32"/>
          <w:lang w:val="en-US" w:eastAsia="zh-CN"/>
        </w:rPr>
        <w:t>5万</w:t>
      </w:r>
      <w:r>
        <w:rPr>
          <w:rFonts w:hint="eastAsia" w:ascii="仿宋_GB2312" w:hAnsi="仿宋" w:eastAsia="仿宋_GB2312" w:cs="仿宋"/>
          <w:sz w:val="32"/>
          <w:szCs w:val="32"/>
          <w:lang w:eastAsia="zh-CN"/>
        </w:rPr>
        <w:t>吨锂电池负极材料项目</w:t>
      </w:r>
      <w:r>
        <w:rPr>
          <w:rFonts w:hint="eastAsia" w:ascii="仿宋_GB2312" w:hAnsi="仿宋" w:eastAsia="仿宋_GB2312" w:cs="仿宋"/>
          <w:sz w:val="32"/>
          <w:szCs w:val="32"/>
        </w:rPr>
        <w:t>环境影响报告书〉的请示》以及相关资料收悉，经研究，批复如下：</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一、项目建设内容及批复意见</w:t>
      </w:r>
    </w:p>
    <w:p>
      <w:pPr>
        <w:keepNext w:val="0"/>
        <w:keepLines w:val="0"/>
        <w:pageBreakBefore w:val="0"/>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江西亚驰新材料科技有限公司</w:t>
      </w:r>
      <w:r>
        <w:rPr>
          <w:rFonts w:hint="eastAsia" w:ascii="仿宋_GB2312" w:hAnsi="仿宋_GB2312" w:eastAsia="仿宋_GB2312" w:cs="仿宋_GB2312"/>
          <w:bCs/>
          <w:color w:val="auto"/>
          <w:sz w:val="32"/>
          <w:szCs w:val="32"/>
          <w:lang w:eastAsia="zh-CN"/>
        </w:rPr>
        <w:t>年产</w:t>
      </w:r>
      <w:r>
        <w:rPr>
          <w:rFonts w:hint="eastAsia" w:ascii="仿宋_GB2312" w:hAnsi="仿宋_GB2312" w:eastAsia="仿宋_GB2312" w:cs="仿宋_GB2312"/>
          <w:bCs/>
          <w:color w:val="auto"/>
          <w:sz w:val="32"/>
          <w:szCs w:val="32"/>
          <w:lang w:val="en-US" w:eastAsia="zh-CN"/>
        </w:rPr>
        <w:t>5万</w:t>
      </w:r>
      <w:r>
        <w:rPr>
          <w:rFonts w:hint="eastAsia" w:ascii="仿宋_GB2312" w:hAnsi="仿宋_GB2312" w:eastAsia="仿宋_GB2312" w:cs="仿宋_GB2312"/>
          <w:bCs/>
          <w:color w:val="auto"/>
          <w:sz w:val="32"/>
          <w:szCs w:val="32"/>
          <w:lang w:eastAsia="zh-CN"/>
        </w:rPr>
        <w:t>吨锂电池负极材料项目</w:t>
      </w:r>
      <w:r>
        <w:rPr>
          <w:rFonts w:hint="eastAsia" w:ascii="仿宋_GB2312" w:hAnsi="仿宋_GB2312" w:eastAsia="仿宋_GB2312" w:cs="仿宋_GB2312"/>
          <w:color w:val="auto"/>
          <w:sz w:val="32"/>
          <w:szCs w:val="32"/>
        </w:rPr>
        <w:t>拟建于</w:t>
      </w:r>
      <w:r>
        <w:rPr>
          <w:rFonts w:hint="eastAsia" w:ascii="仿宋_GB2312" w:hAnsi="仿宋_GB2312" w:eastAsia="仿宋_GB2312" w:cs="仿宋_GB2312"/>
          <w:color w:val="auto"/>
          <w:sz w:val="32"/>
          <w:szCs w:val="32"/>
          <w:lang w:val="zh-CN" w:eastAsia="zh-CN"/>
        </w:rPr>
        <w:t>宜春市万载县工业园区百合大道与鹅峰路交叉路口往西约</w:t>
      </w:r>
      <w:r>
        <w:rPr>
          <w:rFonts w:hint="eastAsia" w:ascii="仿宋_GB2312" w:hAnsi="仿宋_GB2312" w:eastAsia="仿宋_GB2312" w:cs="仿宋_GB2312"/>
          <w:color w:val="auto"/>
          <w:sz w:val="32"/>
          <w:szCs w:val="32"/>
          <w:lang w:val="en-US" w:eastAsia="zh-CN"/>
        </w:rPr>
        <w:t>220米、</w:t>
      </w:r>
      <w:r>
        <w:rPr>
          <w:rFonts w:hint="eastAsia" w:ascii="仿宋_GB2312" w:hAnsi="仿宋_GB2312" w:eastAsia="仿宋_GB2312" w:cs="仿宋_GB2312"/>
          <w:color w:val="auto"/>
          <w:sz w:val="32"/>
          <w:szCs w:val="32"/>
          <w:lang w:val="zh-CN" w:eastAsia="zh-CN"/>
        </w:rPr>
        <w:t>江西省万日橡胶有限责任公司厂区内</w:t>
      </w:r>
      <w:r>
        <w:rPr>
          <w:rFonts w:hint="eastAsia" w:ascii="仿宋_GB2312" w:hAnsi="仿宋_GB2312" w:eastAsia="仿宋_GB2312" w:cs="仿宋_GB2312"/>
          <w:color w:val="auto"/>
          <w:sz w:val="32"/>
          <w:szCs w:val="32"/>
          <w:lang w:val="en-US" w:eastAsia="zh-CN"/>
        </w:rPr>
        <w:t>，厂址中心地理位置坐标为东经114°28'53.74"、北纬 27°7'32.49"，总占地面积25483m</w:t>
      </w:r>
      <w:r>
        <w:rPr>
          <w:rFonts w:hint="eastAsia" w:ascii="仿宋_GB2312" w:hAnsi="仿宋_GB2312" w:eastAsia="仿宋_GB2312" w:cs="仿宋_GB2312"/>
          <w:color w:val="auto"/>
          <w:sz w:val="32"/>
          <w:szCs w:val="32"/>
          <w:vertAlign w:val="superscript"/>
          <w:lang w:val="en-US" w:eastAsia="zh-CN"/>
        </w:rPr>
        <w:t>2</w:t>
      </w:r>
      <w:r>
        <w:rPr>
          <w:rFonts w:hint="eastAsia" w:ascii="仿宋_GB2312" w:hAnsi="仿宋_GB2312" w:eastAsia="仿宋_GB2312" w:cs="仿宋_GB2312"/>
          <w:color w:val="auto"/>
          <w:sz w:val="32"/>
          <w:szCs w:val="32"/>
          <w:lang w:val="en-US" w:eastAsia="zh-CN"/>
        </w:rPr>
        <w:t>。本项目预碳化车间东侧为百合大道，南侧为粉碎车间、粉碎车间南侧为空置厂房，预碳化车间西侧为仓库、仓库西侧为居民，预碳化车间北侧为万载三羊实业有限公司。</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FF0000"/>
          <w:spacing w:val="4"/>
          <w:kern w:val="24"/>
          <w:sz w:val="32"/>
          <w:szCs w:val="32"/>
          <w:lang w:val="en-US" w:eastAsia="zh-CN"/>
        </w:rPr>
      </w:pPr>
      <w:r>
        <w:rPr>
          <w:rFonts w:hint="eastAsia" w:ascii="仿宋_GB2312" w:hAnsi="仿宋_GB2312" w:eastAsia="仿宋_GB2312" w:cs="仿宋_GB2312"/>
          <w:color w:val="auto"/>
          <w:sz w:val="32"/>
          <w:szCs w:val="32"/>
        </w:rPr>
        <w:t>本项目为</w:t>
      </w:r>
      <w:r>
        <w:rPr>
          <w:rFonts w:hint="eastAsia" w:ascii="仿宋_GB2312" w:hAnsi="仿宋_GB2312" w:eastAsia="仿宋_GB2312" w:cs="仿宋_GB2312"/>
          <w:color w:val="auto"/>
          <w:sz w:val="32"/>
          <w:szCs w:val="32"/>
          <w:lang w:val="en-US" w:eastAsia="zh-CN"/>
        </w:rPr>
        <w:t>新建项目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4"/>
          <w:kern w:val="24"/>
          <w:sz w:val="32"/>
          <w:szCs w:val="32"/>
          <w:lang w:val="zh-CN"/>
        </w:rPr>
        <w:t>主要以</w:t>
      </w:r>
      <w:r>
        <w:rPr>
          <w:rFonts w:hint="eastAsia" w:ascii="仿宋_GB2312" w:hAnsi="仿宋_GB2312" w:eastAsia="仿宋_GB2312" w:cs="仿宋_GB2312"/>
          <w:color w:val="auto"/>
          <w:spacing w:val="4"/>
          <w:kern w:val="24"/>
          <w:sz w:val="32"/>
          <w:szCs w:val="32"/>
          <w:lang w:val="en-US" w:eastAsia="zh-CN"/>
        </w:rPr>
        <w:t>煅后石油焦</w:t>
      </w:r>
      <w:r>
        <w:rPr>
          <w:rFonts w:hint="eastAsia" w:ascii="仿宋_GB2312" w:hAnsi="仿宋_GB2312" w:eastAsia="仿宋_GB2312" w:cs="仿宋_GB2312"/>
          <w:color w:val="auto"/>
          <w:spacing w:val="4"/>
          <w:kern w:val="24"/>
          <w:sz w:val="32"/>
          <w:szCs w:val="32"/>
          <w:lang w:val="zh-CN"/>
        </w:rPr>
        <w:t>等原材料，经磨粉、分级、预碳化、打散、除磁、筛分、包装等工艺生产</w:t>
      </w:r>
      <w:r>
        <w:rPr>
          <w:rFonts w:hint="eastAsia" w:ascii="仿宋_GB2312" w:hAnsi="仿宋_GB2312" w:eastAsia="仿宋_GB2312" w:cs="仿宋_GB2312"/>
          <w:color w:val="auto"/>
          <w:spacing w:val="4"/>
          <w:kern w:val="24"/>
          <w:sz w:val="32"/>
          <w:szCs w:val="32"/>
          <w:lang w:val="en-US" w:eastAsia="zh-CN"/>
        </w:rPr>
        <w:t>锂电池负极材料的前端产品</w:t>
      </w:r>
      <w:r>
        <w:rPr>
          <w:rFonts w:hint="eastAsia" w:ascii="仿宋_GB2312" w:hAnsi="仿宋_GB2312" w:eastAsia="仿宋_GB2312" w:cs="仿宋_GB2312"/>
          <w:color w:val="auto"/>
          <w:spacing w:val="4"/>
          <w:kern w:val="24"/>
          <w:sz w:val="32"/>
          <w:szCs w:val="32"/>
          <w:lang w:val="zh-CN"/>
        </w:rPr>
        <w:t>。</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产品方案：</w:t>
      </w:r>
      <w:r>
        <w:rPr>
          <w:rFonts w:hint="eastAsia" w:ascii="仿宋_GB2312" w:hAnsi="仿宋_GB2312" w:eastAsia="仿宋_GB2312" w:cs="仿宋_GB2312"/>
          <w:color w:val="auto"/>
          <w:sz w:val="32"/>
          <w:szCs w:val="32"/>
          <w:lang w:val="en-US" w:eastAsia="zh-CN"/>
        </w:rPr>
        <w:t>年生产锂电池负极材料前端产品50000t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N/>
        <w:bidi w:val="0"/>
        <w:adjustRightInd w:val="0"/>
        <w:snapToGrid w:val="0"/>
        <w:spacing w:line="560" w:lineRule="exact"/>
        <w:ind w:firstLine="672" w:firstLineChars="21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项目总投资1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000万元，其中环保投资</w:t>
      </w:r>
      <w:r>
        <w:rPr>
          <w:rFonts w:hint="eastAsia" w:ascii="仿宋_GB2312" w:hAnsi="仿宋_GB2312" w:eastAsia="仿宋_GB2312" w:cs="仿宋_GB2312"/>
          <w:color w:val="auto"/>
          <w:sz w:val="32"/>
          <w:szCs w:val="32"/>
          <w:lang w:val="en-US" w:eastAsia="zh-CN"/>
        </w:rPr>
        <w:t>175</w:t>
      </w:r>
      <w:r>
        <w:rPr>
          <w:rFonts w:hint="eastAsia" w:ascii="仿宋_GB2312" w:hAnsi="仿宋_GB2312" w:eastAsia="仿宋_GB2312" w:cs="仿宋_GB2312"/>
          <w:color w:val="auto"/>
          <w:sz w:val="32"/>
          <w:szCs w:val="32"/>
        </w:rPr>
        <w:t>万元，占总投资的</w:t>
      </w:r>
      <w:r>
        <w:rPr>
          <w:rFonts w:hint="eastAsia" w:ascii="仿宋_GB2312" w:hAnsi="仿宋_GB2312" w:eastAsia="仿宋_GB2312" w:cs="仿宋_GB2312"/>
          <w:color w:val="auto"/>
          <w:sz w:val="32"/>
          <w:szCs w:val="32"/>
          <w:lang w:val="en-US" w:eastAsia="zh-CN"/>
        </w:rPr>
        <w:t>1.75</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你公司应全面落实《江西亚驰新材料科技有限公司年产</w:t>
      </w:r>
      <w:r>
        <w:rPr>
          <w:rFonts w:hint="eastAsia" w:ascii="仿宋_GB2312" w:hAnsi="仿宋" w:eastAsia="仿宋_GB2312" w:cs="仿宋"/>
          <w:sz w:val="32"/>
          <w:szCs w:val="32"/>
          <w:lang w:val="en-US" w:eastAsia="zh-CN"/>
        </w:rPr>
        <w:t>5万</w:t>
      </w:r>
      <w:r>
        <w:rPr>
          <w:rFonts w:hint="eastAsia" w:ascii="仿宋_GB2312" w:hAnsi="仿宋" w:eastAsia="仿宋_GB2312" w:cs="仿宋"/>
          <w:sz w:val="32"/>
          <w:szCs w:val="32"/>
          <w:lang w:eastAsia="zh-CN"/>
        </w:rPr>
        <w:t>吨锂电池负极材料项目环境影响报告书》（以下简称《报告书》）、《江西亚驰新材料科技有限公司年产</w:t>
      </w:r>
      <w:r>
        <w:rPr>
          <w:rFonts w:hint="eastAsia" w:ascii="仿宋_GB2312" w:hAnsi="仿宋" w:eastAsia="仿宋_GB2312" w:cs="仿宋"/>
          <w:sz w:val="32"/>
          <w:szCs w:val="32"/>
          <w:lang w:val="en-US" w:eastAsia="zh-CN"/>
        </w:rPr>
        <w:t>5万</w:t>
      </w:r>
      <w:r>
        <w:rPr>
          <w:rFonts w:hint="eastAsia" w:ascii="仿宋_GB2312" w:hAnsi="仿宋" w:eastAsia="仿宋_GB2312" w:cs="仿宋"/>
          <w:sz w:val="32"/>
          <w:szCs w:val="32"/>
          <w:lang w:eastAsia="zh-CN"/>
        </w:rPr>
        <w:t>吨锂电池负极材料项目环境影响报告书评估意见》（以下简称《评估意见》）提出的各项污染防治措施、环境风险防范措施，缓解和控制不利环境影响。从环境保护角度我局原则同意《报告书》中所列工程性质、地点、规模、生产工艺和环境保护对策措施。</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二、污染防治措施及要求</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项目在工程设计、建设和生产过程中必须认真落实《报告书》、《评估意见》提出的各项环保要求，并重点做好以下几项工作：</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hAnsi="仿宋" w:eastAsia="仿宋_GB2312" w:cs="仿宋"/>
          <w:sz w:val="32"/>
          <w:szCs w:val="32"/>
        </w:rPr>
      </w:pPr>
      <w:r>
        <w:rPr>
          <w:rFonts w:hint="eastAsia" w:ascii="楷体" w:hAnsi="楷体" w:eastAsia="楷体" w:cs="楷体"/>
          <w:color w:val="000000"/>
          <w:sz w:val="32"/>
          <w:szCs w:val="32"/>
          <w:lang w:val="en-US" w:eastAsia="zh-CN"/>
        </w:rPr>
        <w:t>（一）在设计、建设和运行中，</w:t>
      </w:r>
      <w:r>
        <w:rPr>
          <w:rFonts w:hint="eastAsia" w:ascii="仿宋_GB2312" w:hAnsi="仿宋" w:eastAsia="仿宋_GB2312" w:cs="仿宋"/>
          <w:sz w:val="32"/>
          <w:szCs w:val="32"/>
        </w:rPr>
        <w:t>按照“环保优先、绿色发展”目标和循环经济、清洁生产的理念，采用国内外成熟可靠、技术先进、环境友好的工艺技术方案，选用优质装备和原材料，强化各装置节能降耗措施，减少污染物的产生量和排放量。</w:t>
      </w:r>
    </w:p>
    <w:p>
      <w:pPr>
        <w:keepNext w:val="0"/>
        <w:keepLines w:val="0"/>
        <w:pageBreakBefore w:val="0"/>
        <w:kinsoku/>
        <w:wordWrap/>
        <w:overflowPunct/>
        <w:topLinePunct w:val="0"/>
        <w:autoSpaceDN/>
        <w:bidi w:val="0"/>
        <w:spacing w:line="560" w:lineRule="exact"/>
        <w:ind w:firstLine="640" w:firstLineChars="200"/>
        <w:jc w:val="both"/>
        <w:textAlignment w:val="auto"/>
        <w:rPr>
          <w:rFonts w:hint="default" w:ascii="仿宋_GB2312" w:hAnsi="仿宋_GB2312" w:eastAsia="仿宋_GB2312" w:cs="仿宋_GB2312"/>
          <w:snapToGrid w:val="0"/>
          <w:color w:val="auto"/>
          <w:sz w:val="32"/>
          <w:szCs w:val="32"/>
          <w:lang w:val="en-US" w:eastAsia="zh-CN"/>
        </w:rPr>
      </w:pPr>
      <w:r>
        <w:rPr>
          <w:rFonts w:hint="eastAsia" w:ascii="楷体" w:hAnsi="楷体" w:eastAsia="楷体" w:cs="楷体"/>
          <w:color w:val="000000"/>
          <w:sz w:val="32"/>
          <w:szCs w:val="32"/>
          <w:lang w:val="en-US" w:eastAsia="zh-CN"/>
        </w:rPr>
        <w:t>（二）严格落实水污染防治措施。</w:t>
      </w:r>
      <w:r>
        <w:rPr>
          <w:rFonts w:hint="eastAsia" w:ascii="仿宋_GB2312" w:hAnsi="仿宋" w:eastAsia="仿宋_GB2312" w:cs="仿宋"/>
          <w:sz w:val="32"/>
          <w:szCs w:val="32"/>
        </w:rPr>
        <w:t>按“清污分流、雨污分流、分质处理、一水多用”原则，合理制定废水收集、处理方案。</w:t>
      </w:r>
      <w:r>
        <w:rPr>
          <w:rFonts w:hint="eastAsia" w:ascii="仿宋_GB2312" w:hAnsi="仿宋" w:eastAsia="仿宋_GB2312" w:cs="仿宋"/>
          <w:color w:val="auto"/>
          <w:sz w:val="32"/>
          <w:szCs w:val="32"/>
        </w:rPr>
        <w:t>项目废水主要为</w:t>
      </w:r>
      <w:r>
        <w:rPr>
          <w:rFonts w:hint="eastAsia" w:ascii="仿宋_GB2312" w:hAnsi="仿宋_GB2312" w:eastAsia="仿宋_GB2312" w:cs="仿宋_GB2312"/>
          <w:snapToGrid w:val="0"/>
          <w:color w:val="auto"/>
          <w:sz w:val="32"/>
          <w:szCs w:val="32"/>
          <w:lang w:val="en-US" w:eastAsia="zh-CN"/>
        </w:rPr>
        <w:t>脱硫废水</w:t>
      </w:r>
      <w:r>
        <w:rPr>
          <w:rFonts w:hint="eastAsia" w:ascii="仿宋_GB2312" w:hAnsi="仿宋" w:eastAsia="仿宋_GB2312" w:cs="仿宋"/>
          <w:color w:val="auto"/>
          <w:sz w:val="32"/>
          <w:szCs w:val="32"/>
          <w:lang w:val="en-US" w:eastAsia="zh-CN"/>
        </w:rPr>
        <w:t>、冷却废水、生活污水、初期雨水等</w:t>
      </w:r>
      <w:r>
        <w:rPr>
          <w:rFonts w:hint="eastAsia" w:ascii="仿宋_GB2312" w:hAnsi="仿宋" w:eastAsia="仿宋_GB2312" w:cs="仿宋"/>
          <w:color w:val="auto"/>
          <w:sz w:val="32"/>
          <w:szCs w:val="32"/>
        </w:rPr>
        <w:t>。</w:t>
      </w:r>
      <w:r>
        <w:rPr>
          <w:rFonts w:hint="eastAsia" w:ascii="仿宋_GB2312" w:hAnsi="仿宋_GB2312" w:eastAsia="仿宋_GB2312" w:cs="仿宋_GB2312"/>
          <w:bCs/>
          <w:snapToGrid w:val="0"/>
          <w:color w:val="auto"/>
          <w:sz w:val="32"/>
          <w:szCs w:val="32"/>
        </w:rPr>
        <w:t>其中</w:t>
      </w:r>
      <w:r>
        <w:rPr>
          <w:rFonts w:hint="eastAsia" w:ascii="仿宋_GB2312" w:hAnsi="仿宋_GB2312" w:eastAsia="仿宋_GB2312" w:cs="仿宋_GB2312"/>
          <w:snapToGrid w:val="0"/>
          <w:color w:val="auto"/>
          <w:sz w:val="32"/>
          <w:szCs w:val="32"/>
          <w:lang w:val="en-US" w:eastAsia="zh-CN"/>
        </w:rPr>
        <w:t>脱硫废水经沉淀后循环回用，不得外排；项目设备冷却采用间接冷却，冷却水循环使用，定期外排一部分水，外排水经厂区污水管道排入厂区污水总排口再外排至园区污水管网。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snapToGrid w:val="0"/>
          <w:color w:val="auto"/>
          <w:sz w:val="32"/>
          <w:szCs w:val="32"/>
        </w:rPr>
        <w:t>生活</w:t>
      </w:r>
      <w:r>
        <w:rPr>
          <w:rFonts w:hint="eastAsia" w:ascii="仿宋_GB2312" w:hAnsi="仿宋_GB2312" w:eastAsia="仿宋_GB2312" w:cs="仿宋_GB2312"/>
          <w:snapToGrid w:val="0"/>
          <w:color w:val="auto"/>
          <w:sz w:val="32"/>
          <w:szCs w:val="32"/>
          <w:lang w:eastAsia="zh-CN"/>
        </w:rPr>
        <w:t>污水</w:t>
      </w:r>
      <w:r>
        <w:rPr>
          <w:rFonts w:hint="eastAsia" w:ascii="仿宋_GB2312" w:hAnsi="仿宋_GB2312" w:eastAsia="仿宋_GB2312" w:cs="仿宋_GB2312"/>
          <w:snapToGrid w:val="0"/>
          <w:color w:val="auto"/>
          <w:sz w:val="32"/>
          <w:szCs w:val="32"/>
        </w:rPr>
        <w:t>经</w:t>
      </w:r>
      <w:r>
        <w:rPr>
          <w:rFonts w:hint="eastAsia" w:ascii="仿宋_GB2312" w:hAnsi="仿宋_GB2312" w:eastAsia="仿宋_GB2312" w:cs="仿宋_GB2312"/>
          <w:snapToGrid w:val="0"/>
          <w:color w:val="auto"/>
          <w:sz w:val="32"/>
          <w:szCs w:val="32"/>
          <w:lang w:eastAsia="zh-CN"/>
        </w:rPr>
        <w:t>厂区内隔油池、</w:t>
      </w:r>
      <w:r>
        <w:rPr>
          <w:rFonts w:hint="eastAsia" w:ascii="仿宋_GB2312" w:hAnsi="仿宋_GB2312" w:eastAsia="仿宋_GB2312" w:cs="仿宋_GB2312"/>
          <w:snapToGrid w:val="0"/>
          <w:color w:val="auto"/>
          <w:sz w:val="32"/>
          <w:szCs w:val="32"/>
        </w:rPr>
        <w:t>化粪池处理</w:t>
      </w:r>
      <w:r>
        <w:rPr>
          <w:rFonts w:hint="eastAsia" w:ascii="仿宋_GB2312" w:hAnsi="仿宋_GB2312" w:eastAsia="仿宋_GB2312" w:cs="仿宋_GB2312"/>
          <w:snapToGrid w:val="0"/>
          <w:color w:val="auto"/>
          <w:sz w:val="32"/>
          <w:szCs w:val="32"/>
          <w:lang w:eastAsia="zh-CN"/>
        </w:rPr>
        <w:t>，</w:t>
      </w:r>
      <w:r>
        <w:rPr>
          <w:rFonts w:hint="eastAsia" w:ascii="仿宋_GB2312" w:hAnsi="仿宋_GB2312" w:eastAsia="仿宋_GB2312" w:cs="仿宋_GB2312"/>
          <w:bCs/>
          <w:color w:val="auto"/>
          <w:sz w:val="32"/>
          <w:szCs w:val="32"/>
        </w:rPr>
        <w:t>初期雨水</w:t>
      </w:r>
      <w:r>
        <w:rPr>
          <w:rFonts w:hint="eastAsia" w:ascii="仿宋_GB2312" w:hAnsi="仿宋_GB2312" w:eastAsia="仿宋_GB2312" w:cs="仿宋_GB2312"/>
          <w:bCs/>
          <w:color w:val="auto"/>
          <w:sz w:val="32"/>
          <w:szCs w:val="32"/>
          <w:lang w:eastAsia="zh-CN"/>
        </w:rPr>
        <w:t>经收集流入初期雨水收集池</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经</w:t>
      </w:r>
      <w:r>
        <w:rPr>
          <w:rFonts w:hint="eastAsia" w:ascii="仿宋_GB2312" w:hAnsi="仿宋_GB2312" w:eastAsia="仿宋_GB2312" w:cs="仿宋_GB2312"/>
          <w:bCs/>
          <w:color w:val="auto"/>
          <w:sz w:val="32"/>
          <w:szCs w:val="32"/>
        </w:rPr>
        <w:t>沉淀处理</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达到污水处理厂接管标准后</w:t>
      </w:r>
      <w:r>
        <w:rPr>
          <w:rFonts w:hint="eastAsia" w:ascii="仿宋_GB2312" w:hAnsi="仿宋_GB2312" w:eastAsia="仿宋_GB2312" w:cs="仿宋_GB2312"/>
          <w:color w:val="auto"/>
          <w:sz w:val="32"/>
          <w:szCs w:val="32"/>
        </w:rPr>
        <w:t>排入万载县工业园污水处理厂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napToGrid w:val="0"/>
          <w:color w:val="auto"/>
          <w:w w:val="90"/>
          <w:sz w:val="32"/>
          <w:szCs w:val="32"/>
        </w:rPr>
        <w:t>尾水</w:t>
      </w:r>
      <w:r>
        <w:rPr>
          <w:rFonts w:hint="eastAsia" w:ascii="仿宋_GB2312" w:hAnsi="仿宋_GB2312" w:eastAsia="仿宋_GB2312" w:cs="仿宋_GB2312"/>
          <w:snapToGrid w:val="0"/>
          <w:color w:val="auto"/>
          <w:w w:val="90"/>
          <w:sz w:val="32"/>
          <w:szCs w:val="32"/>
          <w:lang w:eastAsia="zh-CN"/>
        </w:rPr>
        <w:t>排放</w:t>
      </w:r>
      <w:r>
        <w:rPr>
          <w:rFonts w:hint="eastAsia" w:ascii="仿宋_GB2312" w:hAnsi="仿宋_GB2312" w:eastAsia="仿宋_GB2312" w:cs="仿宋_GB2312"/>
          <w:snapToGrid w:val="0"/>
          <w:color w:val="auto"/>
          <w:w w:val="90"/>
          <w:sz w:val="32"/>
          <w:szCs w:val="32"/>
          <w:lang w:val="en-US" w:eastAsia="zh-CN"/>
        </w:rPr>
        <w:t>执行</w:t>
      </w:r>
      <w:r>
        <w:rPr>
          <w:rFonts w:hint="eastAsia" w:ascii="仿宋_GB2312" w:hAnsi="仿宋_GB2312" w:eastAsia="仿宋_GB2312" w:cs="仿宋_GB2312"/>
          <w:snapToGrid w:val="0"/>
          <w:color w:val="auto"/>
          <w:w w:val="90"/>
          <w:sz w:val="32"/>
          <w:szCs w:val="32"/>
        </w:rPr>
        <w:t>《城镇污水处理厂污染物排放标准》（GB18918-2002）</w:t>
      </w:r>
      <w:r>
        <w:rPr>
          <w:rFonts w:hint="eastAsia" w:ascii="仿宋_GB2312" w:hAnsi="仿宋_GB2312" w:eastAsia="仿宋_GB2312" w:cs="仿宋_GB2312"/>
          <w:snapToGrid w:val="0"/>
          <w:color w:val="auto"/>
          <w:sz w:val="32"/>
          <w:szCs w:val="32"/>
        </w:rPr>
        <w:t>中一级A标准，</w:t>
      </w:r>
      <w:r>
        <w:rPr>
          <w:rFonts w:hint="eastAsia" w:ascii="仿宋_GB2312" w:hAnsi="仿宋_GB2312" w:eastAsia="仿宋_GB2312" w:cs="仿宋_GB2312"/>
          <w:snapToGrid w:val="0"/>
          <w:color w:val="auto"/>
          <w:sz w:val="32"/>
          <w:szCs w:val="32"/>
          <w:lang w:val="en-US" w:eastAsia="zh-CN"/>
        </w:rPr>
        <w:t>最终</w:t>
      </w:r>
      <w:r>
        <w:rPr>
          <w:rFonts w:hint="eastAsia" w:ascii="仿宋_GB2312" w:hAnsi="仿宋_GB2312" w:eastAsia="仿宋_GB2312" w:cs="仿宋_GB2312"/>
          <w:snapToGrid w:val="0"/>
          <w:color w:val="auto"/>
          <w:sz w:val="32"/>
          <w:szCs w:val="32"/>
        </w:rPr>
        <w:t>排入锦江</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FF0000"/>
          <w:sz w:val="32"/>
          <w:szCs w:val="32"/>
          <w:lang w:eastAsia="zh-CN"/>
        </w:rPr>
      </w:pPr>
      <w:r>
        <w:rPr>
          <w:rFonts w:hint="eastAsia" w:ascii="楷体" w:hAnsi="楷体" w:eastAsia="楷体" w:cs="楷体"/>
          <w:color w:val="auto"/>
          <w:sz w:val="32"/>
          <w:szCs w:val="32"/>
          <w:lang w:val="en-US" w:eastAsia="zh-CN"/>
        </w:rPr>
        <w:t>（二）严格落实大气污染防治措施。</w:t>
      </w:r>
      <w:r>
        <w:rPr>
          <w:rFonts w:ascii="仿宋_GB2312" w:hAnsi="仿宋_GB2312" w:eastAsia="仿宋_GB2312" w:cs="仿宋_GB2312"/>
          <w:bCs/>
          <w:color w:val="auto"/>
          <w:sz w:val="32"/>
          <w:szCs w:val="32"/>
        </w:rPr>
        <w:t>项目运营期废气</w:t>
      </w:r>
      <w:r>
        <w:rPr>
          <w:rFonts w:hint="eastAsia" w:ascii="仿宋_GB2312" w:hAnsi="仿宋_GB2312" w:eastAsia="仿宋_GB2312" w:cs="仿宋_GB2312"/>
          <w:bCs/>
          <w:color w:val="auto"/>
          <w:sz w:val="32"/>
          <w:szCs w:val="32"/>
        </w:rPr>
        <w:t>主要为坩埚进料、装炉、预碳化出料、解碎、除磁、筛分、包装</w:t>
      </w:r>
      <w:r>
        <w:rPr>
          <w:rFonts w:hint="eastAsia" w:ascii="仿宋_GB2312" w:hAnsi="仿宋_GB2312" w:eastAsia="仿宋_GB2312" w:cs="仿宋_GB2312"/>
          <w:bCs/>
          <w:color w:val="auto"/>
          <w:sz w:val="32"/>
          <w:szCs w:val="32"/>
          <w:lang w:eastAsia="zh-CN"/>
        </w:rPr>
        <w:t>工序废气，预碳</w:t>
      </w:r>
      <w:r>
        <w:rPr>
          <w:rFonts w:hint="eastAsia" w:ascii="仿宋_GB2312" w:hAnsi="仿宋_GB2312" w:eastAsia="仿宋_GB2312" w:cs="仿宋_GB2312"/>
          <w:bCs/>
          <w:color w:val="auto"/>
          <w:sz w:val="32"/>
          <w:szCs w:val="32"/>
          <w:lang w:val="en-US" w:eastAsia="zh-CN"/>
        </w:rPr>
        <w:t>化</w:t>
      </w:r>
      <w:r>
        <w:rPr>
          <w:rFonts w:hint="eastAsia" w:ascii="仿宋_GB2312" w:hAnsi="仿宋_GB2312" w:eastAsia="仿宋_GB2312" w:cs="仿宋_GB2312"/>
          <w:bCs/>
          <w:color w:val="auto"/>
          <w:sz w:val="32"/>
          <w:szCs w:val="32"/>
        </w:rPr>
        <w:t>废气</w:t>
      </w:r>
      <w:r>
        <w:rPr>
          <w:rFonts w:hint="eastAsia" w:ascii="仿宋_GB2312" w:hAnsi="仿宋_GB2312" w:eastAsia="仿宋_GB2312" w:cs="仿宋_GB2312"/>
          <w:bCs/>
          <w:color w:val="auto"/>
          <w:sz w:val="32"/>
          <w:szCs w:val="32"/>
          <w:lang w:val="en-US" w:eastAsia="zh-CN"/>
        </w:rPr>
        <w:t>，磨粉、分级工序废气</w:t>
      </w:r>
      <w:r>
        <w:rPr>
          <w:rFonts w:hint="eastAsia" w:ascii="仿宋_GB2312" w:hAnsi="仿宋_GB2312" w:eastAsia="仿宋_GB2312" w:cs="仿宋_GB2312"/>
          <w:bCs/>
          <w:color w:val="auto"/>
          <w:sz w:val="32"/>
          <w:szCs w:val="32"/>
          <w:lang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sz w:val="32"/>
          <w:szCs w:val="32"/>
        </w:rPr>
        <w:t>坩埚进料、装炉、预碳化出料、解碎、除磁、筛分、包装</w:t>
      </w:r>
      <w:r>
        <w:rPr>
          <w:rFonts w:hint="eastAsia" w:ascii="仿宋_GB2312" w:hAnsi="仿宋_GB2312" w:eastAsia="仿宋_GB2312" w:cs="仿宋_GB2312"/>
          <w:bCs/>
          <w:color w:val="auto"/>
          <w:sz w:val="32"/>
          <w:szCs w:val="32"/>
          <w:lang w:eastAsia="zh-CN"/>
        </w:rPr>
        <w:t>废气，主要污染物为</w:t>
      </w:r>
      <w:r>
        <w:rPr>
          <w:rFonts w:hint="eastAsia" w:ascii="仿宋_GB2312" w:hAnsi="仿宋_GB2312" w:eastAsia="仿宋_GB2312" w:cs="仿宋_GB2312"/>
          <w:bCs/>
          <w:color w:val="auto"/>
          <w:sz w:val="32"/>
          <w:szCs w:val="32"/>
        </w:rPr>
        <w:t>颗粒物</w:t>
      </w:r>
      <w:r>
        <w:rPr>
          <w:rFonts w:hint="eastAsia" w:ascii="仿宋_GB2312" w:hAnsi="仿宋_GB2312" w:eastAsia="仿宋_GB2312" w:cs="仿宋_GB2312"/>
          <w:bCs/>
          <w:color w:val="auto"/>
          <w:sz w:val="32"/>
          <w:szCs w:val="32"/>
          <w:lang w:eastAsia="zh-CN"/>
        </w:rPr>
        <w:t>，经集气罩收集后再</w:t>
      </w:r>
      <w:r>
        <w:rPr>
          <w:rFonts w:hint="eastAsia" w:ascii="仿宋_GB2312" w:hAnsi="仿宋_GB2312" w:eastAsia="仿宋_GB2312" w:cs="仿宋_GB2312"/>
          <w:bCs/>
          <w:color w:val="auto"/>
          <w:sz w:val="32"/>
          <w:szCs w:val="32"/>
          <w:lang w:val="en-US" w:eastAsia="zh-CN"/>
        </w:rPr>
        <w:t>经脉冲布袋除尘器处理，</w:t>
      </w:r>
      <w:r>
        <w:rPr>
          <w:rFonts w:hint="eastAsia" w:ascii="仿宋_GB2312" w:hAnsi="仿宋_GB2312" w:eastAsia="仿宋_GB2312" w:cs="仿宋_GB2312"/>
          <w:color w:val="auto"/>
          <w:sz w:val="32"/>
          <w:szCs w:val="32"/>
          <w:lang w:val="en-US" w:eastAsia="zh-CN"/>
        </w:rPr>
        <w:t>颗粒物执行</w:t>
      </w:r>
      <w:r>
        <w:rPr>
          <w:rFonts w:hint="eastAsia" w:ascii="仿宋_GB2312" w:hAnsi="仿宋_GB2312" w:eastAsia="仿宋_GB2312" w:cs="仿宋_GB2312"/>
          <w:bCs/>
          <w:color w:val="auto"/>
          <w:sz w:val="32"/>
          <w:szCs w:val="32"/>
          <w:lang w:val="en-US" w:eastAsia="zh-CN"/>
        </w:rPr>
        <w:t>《大气污染物综合排放标准》（GB16297-1996）</w:t>
      </w:r>
      <w:r>
        <w:rPr>
          <w:rFonts w:hint="eastAsia" w:ascii="仿宋_GB2312" w:hAnsi="仿宋_GB2312" w:eastAsia="仿宋_GB2312" w:cs="仿宋_GB2312"/>
          <w:bCs/>
          <w:color w:val="auto"/>
          <w:sz w:val="32"/>
          <w:szCs w:val="32"/>
        </w:rPr>
        <w:t>表2中最高允许排放浓度</w:t>
      </w:r>
      <w:r>
        <w:rPr>
          <w:rFonts w:hint="eastAsia" w:ascii="仿宋_GB2312" w:hAnsi="仿宋_GB2312" w:eastAsia="仿宋_GB2312" w:cs="仿宋_GB2312"/>
          <w:bCs/>
          <w:color w:val="auto"/>
          <w:sz w:val="32"/>
          <w:szCs w:val="32"/>
          <w:lang w:eastAsia="zh-CN"/>
        </w:rPr>
        <w:t>中“碳黑尘”标准</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预碳化</w:t>
      </w:r>
      <w:r>
        <w:rPr>
          <w:rFonts w:hint="eastAsia" w:ascii="仿宋_GB2312" w:hAnsi="仿宋_GB2312" w:eastAsia="仿宋_GB2312" w:cs="仿宋_GB2312"/>
          <w:bCs/>
          <w:color w:val="auto"/>
          <w:sz w:val="32"/>
          <w:szCs w:val="32"/>
        </w:rPr>
        <w:t>废气</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主要污染物为颗粒物、非甲烷总烃、二氧化硫、氮氧化物等，废气经收集后再经“湿式除尘+碱法脱硫设施”或采取其他更为成熟稳定工艺处理后，SO</w:t>
      </w:r>
      <w:r>
        <w:rPr>
          <w:rFonts w:hint="eastAsia" w:ascii="仿宋_GB2312" w:hAnsi="仿宋_GB2312" w:eastAsia="仿宋_GB2312" w:cs="仿宋_GB2312"/>
          <w:bCs/>
          <w:color w:val="auto"/>
          <w:sz w:val="32"/>
          <w:szCs w:val="32"/>
          <w:vertAlign w:val="subscript"/>
          <w:lang w:val="en-US" w:eastAsia="zh-CN"/>
        </w:rPr>
        <w:t>2</w:t>
      </w:r>
      <w:r>
        <w:rPr>
          <w:rFonts w:hint="eastAsia" w:ascii="仿宋_GB2312" w:hAnsi="仿宋_GB2312" w:eastAsia="仿宋_GB2312" w:cs="仿宋_GB2312"/>
          <w:bCs/>
          <w:color w:val="auto"/>
          <w:sz w:val="32"/>
          <w:szCs w:val="32"/>
          <w:vertAlign w:val="baseline"/>
          <w:lang w:val="en-US" w:eastAsia="zh-CN"/>
        </w:rPr>
        <w:t>、</w:t>
      </w:r>
      <w:r>
        <w:rPr>
          <w:rFonts w:hint="eastAsia" w:ascii="仿宋_GB2312" w:hAnsi="仿宋_GB2312" w:eastAsia="仿宋_GB2312" w:cs="仿宋_GB2312"/>
          <w:bCs/>
          <w:color w:val="auto"/>
          <w:sz w:val="32"/>
          <w:szCs w:val="32"/>
          <w:lang w:val="en-US" w:eastAsia="zh-CN"/>
        </w:rPr>
        <w:t>非甲烷总烃、颗粒物、NO</w:t>
      </w:r>
      <w:r>
        <w:rPr>
          <w:rFonts w:hint="eastAsia" w:ascii="仿宋_GB2312" w:hAnsi="仿宋_GB2312" w:eastAsia="仿宋_GB2312" w:cs="仿宋_GB2312"/>
          <w:bCs/>
          <w:color w:val="auto"/>
          <w:sz w:val="32"/>
          <w:szCs w:val="32"/>
          <w:vertAlign w:val="subscript"/>
          <w:lang w:val="en-US" w:eastAsia="zh-CN"/>
        </w:rPr>
        <w:t>X</w:t>
      </w:r>
      <w:r>
        <w:rPr>
          <w:rFonts w:hint="eastAsia" w:ascii="仿宋_GB2312" w:hAnsi="仿宋_GB2312" w:eastAsia="仿宋_GB2312" w:cs="仿宋_GB2312"/>
          <w:bCs/>
          <w:color w:val="auto"/>
          <w:sz w:val="32"/>
          <w:szCs w:val="32"/>
          <w:vertAlign w:val="baseline"/>
          <w:lang w:val="en-US" w:eastAsia="zh-CN"/>
        </w:rPr>
        <w:t>执行</w:t>
      </w:r>
      <w:r>
        <w:rPr>
          <w:rFonts w:hint="eastAsia" w:ascii="仿宋_GB2312" w:hAnsi="仿宋_GB2312" w:eastAsia="仿宋_GB2312" w:cs="仿宋_GB2312"/>
          <w:bCs/>
          <w:color w:val="auto"/>
          <w:sz w:val="32"/>
          <w:szCs w:val="32"/>
          <w:lang w:val="en-US" w:eastAsia="zh-CN"/>
        </w:rPr>
        <w:t>《大气污染物综合排放标准》（GB16297-1996）表2中相应标准。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snapToGrid w:val="0"/>
          <w:color w:val="auto"/>
          <w:sz w:val="32"/>
          <w:szCs w:val="32"/>
        </w:rPr>
        <w:t>项目无组织废气为各工序未收集粉尘和预碳化隧道窑开窑时未收集到的废气</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color w:val="auto"/>
          <w:kern w:val="0"/>
          <w:sz w:val="32"/>
          <w:szCs w:val="32"/>
        </w:rPr>
        <w:t>通过</w:t>
      </w:r>
      <w:r>
        <w:rPr>
          <w:rFonts w:hint="eastAsia" w:ascii="仿宋_GB2312" w:hAnsi="仿宋_GB2312" w:eastAsia="仿宋_GB2312" w:cs="仿宋_GB2312"/>
          <w:bCs/>
          <w:color w:val="auto"/>
          <w:kern w:val="0"/>
          <w:sz w:val="32"/>
          <w:szCs w:val="32"/>
          <w:lang w:eastAsia="zh-CN"/>
        </w:rPr>
        <w:t>采用密闭装置，</w:t>
      </w:r>
      <w:r>
        <w:rPr>
          <w:rFonts w:hint="eastAsia" w:ascii="仿宋_GB2312" w:hAnsi="仿宋_GB2312" w:eastAsia="仿宋_GB2312" w:cs="仿宋_GB2312"/>
          <w:bCs/>
          <w:snapToGrid w:val="0"/>
          <w:color w:val="auto"/>
          <w:sz w:val="32"/>
          <w:szCs w:val="32"/>
        </w:rPr>
        <w:t>加强生产设备和管道管理，杜绝跑冒滴漏现象发生等措施</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kern w:val="0"/>
          <w:sz w:val="32"/>
          <w:szCs w:val="32"/>
        </w:rPr>
        <w:t>无组织颗粒物</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非甲烷总烃、二氧化硫、氮氧化物</w:t>
      </w:r>
      <w:r>
        <w:rPr>
          <w:rFonts w:hint="eastAsia" w:ascii="仿宋_GB2312" w:hAnsi="仿宋_GB2312" w:eastAsia="仿宋_GB2312" w:cs="仿宋_GB2312"/>
          <w:bCs/>
          <w:color w:val="auto"/>
          <w:kern w:val="0"/>
          <w:sz w:val="32"/>
          <w:szCs w:val="32"/>
        </w:rPr>
        <w:t>的厂界浓度</w:t>
      </w:r>
      <w:r>
        <w:rPr>
          <w:rFonts w:hint="eastAsia" w:ascii="仿宋_GB2312" w:hAnsi="仿宋_GB2312" w:eastAsia="仿宋_GB2312" w:cs="仿宋_GB2312"/>
          <w:bCs/>
          <w:color w:val="auto"/>
          <w:kern w:val="0"/>
          <w:sz w:val="32"/>
          <w:szCs w:val="32"/>
          <w:lang w:val="en-US" w:eastAsia="zh-CN"/>
        </w:rPr>
        <w:t>执行</w:t>
      </w:r>
      <w:r>
        <w:rPr>
          <w:rFonts w:hint="eastAsia" w:ascii="仿宋_GB2312" w:hAnsi="仿宋_GB2312" w:eastAsia="仿宋_GB2312" w:cs="仿宋_GB2312"/>
          <w:bCs/>
          <w:color w:val="auto"/>
          <w:kern w:val="0"/>
          <w:sz w:val="32"/>
          <w:szCs w:val="32"/>
        </w:rPr>
        <w:t>《大气污染物综合排放标准》（GB16297</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1996）中无组织排放</w:t>
      </w:r>
      <w:r>
        <w:rPr>
          <w:rFonts w:hint="eastAsia" w:ascii="仿宋_GB2312" w:hAnsi="仿宋_GB2312" w:eastAsia="仿宋_GB2312" w:cs="仿宋_GB2312"/>
          <w:bCs/>
          <w:color w:val="auto"/>
          <w:kern w:val="0"/>
          <w:sz w:val="32"/>
          <w:szCs w:val="32"/>
          <w:lang w:val="en-US" w:eastAsia="zh-CN"/>
        </w:rPr>
        <w:t>监控浓度</w:t>
      </w:r>
      <w:r>
        <w:rPr>
          <w:rFonts w:hint="eastAsia" w:ascii="仿宋_GB2312" w:hAnsi="仿宋_GB2312" w:eastAsia="仿宋_GB2312" w:cs="仿宋_GB2312"/>
          <w:bCs/>
          <w:color w:val="auto"/>
          <w:kern w:val="0"/>
          <w:sz w:val="32"/>
          <w:szCs w:val="32"/>
        </w:rPr>
        <w:t>限值</w:t>
      </w:r>
      <w:r>
        <w:rPr>
          <w:rFonts w:hint="eastAsia" w:ascii="仿宋_GB2312" w:hAnsi="仿宋_GB2312" w:eastAsia="仿宋_GB2312" w:cs="仿宋_GB2312"/>
          <w:bCs/>
          <w:color w:val="auto"/>
          <w:kern w:val="0"/>
          <w:sz w:val="32"/>
          <w:szCs w:val="32"/>
          <w:lang w:val="en-US" w:eastAsia="zh-CN"/>
        </w:rPr>
        <w:t>的要求</w:t>
      </w:r>
      <w:r>
        <w:rPr>
          <w:rFonts w:hint="eastAsia" w:ascii="仿宋_GB2312" w:hAnsi="仿宋_GB2312" w:eastAsia="仿宋_GB2312" w:cs="仿宋_GB2312"/>
          <w:bCs/>
          <w:color w:val="auto"/>
          <w:kern w:val="0"/>
          <w:sz w:val="32"/>
          <w:szCs w:val="32"/>
        </w:rPr>
        <w:t>。</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（三）严格落实固体废物分类处置和综合利用措施。</w:t>
      </w:r>
      <w:r>
        <w:rPr>
          <w:rFonts w:hint="eastAsia" w:ascii="仿宋_GB2312" w:hAnsi="仿宋" w:eastAsia="仿宋_GB2312" w:cs="仿宋"/>
          <w:color w:val="auto"/>
          <w:sz w:val="32"/>
          <w:szCs w:val="32"/>
        </w:rPr>
        <w:t>应按“资源化、减量化、无害化”处置原则，认真落实固废分类收集、处置和综合利用措施。产生的一般工业固体废物应合法处置，生活垃圾收集后由当地环卫部门</w:t>
      </w:r>
      <w:r>
        <w:rPr>
          <w:rFonts w:hint="eastAsia" w:ascii="仿宋_GB2312" w:hAnsi="仿宋" w:eastAsia="仿宋_GB2312" w:cs="仿宋"/>
          <w:color w:val="auto"/>
          <w:sz w:val="32"/>
          <w:szCs w:val="32"/>
          <w:lang w:val="en-US" w:eastAsia="zh-CN"/>
        </w:rPr>
        <w:t>统一清运处置</w:t>
      </w:r>
      <w:r>
        <w:rPr>
          <w:rFonts w:hint="eastAsia" w:ascii="仿宋_GB2312" w:hAnsi="仿宋" w:eastAsia="仿宋_GB2312" w:cs="仿宋"/>
          <w:color w:val="auto"/>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仿宋" w:eastAsia="仿宋_GB2312" w:cs="仿宋"/>
          <w:color w:val="auto"/>
          <w:sz w:val="32"/>
          <w:szCs w:val="32"/>
        </w:rPr>
      </w:pPr>
      <w:r>
        <w:rPr>
          <w:rFonts w:hint="eastAsia" w:ascii="仿宋_GB2312" w:hAnsi="仿宋" w:eastAsia="仿宋_GB2312" w:cs="仿宋"/>
          <w:b w:val="0"/>
          <w:color w:val="auto"/>
          <w:kern w:val="2"/>
          <w:sz w:val="32"/>
          <w:szCs w:val="32"/>
          <w:lang w:val="en-US" w:eastAsia="zh-CN" w:bidi="ar-SA"/>
        </w:rPr>
        <w:t>应在厂区内设置足够容积的一般工业固体废物暂存库和危险废物暂存库。危险废物暂存库设计、建设和运行必须满足《危险废物贮存污染控制标准》（GB 18597-2001）及其修改单要求；一般工业固体废物综合利用或合理处置，一般工业固体废物暂存库设计、建设和运行必须满足《一般工业固体废物贮存和填埋污染控制标准》(GB 18599-2020)要求。</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textAlignment w:val="auto"/>
        <w:rPr>
          <w:rFonts w:hint="eastAsia" w:ascii="仿宋_GB2312" w:hAnsi="仿宋" w:eastAsia="仿宋_GB2312" w:cs="仿宋"/>
          <w:b w:val="0"/>
          <w:color w:val="FF0000"/>
          <w:kern w:val="2"/>
          <w:sz w:val="32"/>
          <w:szCs w:val="32"/>
          <w:lang w:val="en-US" w:eastAsia="zh-CN" w:bidi="ar-SA"/>
        </w:rPr>
      </w:pPr>
      <w:r>
        <w:rPr>
          <w:rFonts w:hint="eastAsia" w:ascii="楷体" w:hAnsi="楷体" w:eastAsia="楷体" w:cs="楷体"/>
          <w:color w:val="auto"/>
          <w:sz w:val="32"/>
          <w:szCs w:val="32"/>
          <w:lang w:val="en-US" w:eastAsia="zh-CN"/>
        </w:rPr>
        <w:t>（四）严格落实噪声污染防治措施。</w:t>
      </w:r>
      <w:r>
        <w:rPr>
          <w:rFonts w:hint="eastAsia" w:ascii="仿宋_GB2312" w:hAnsi="仿宋_GB2312" w:eastAsia="仿宋_GB2312" w:cs="仿宋_GB2312"/>
          <w:color w:val="auto"/>
          <w:sz w:val="32"/>
          <w:szCs w:val="32"/>
        </w:rPr>
        <w:t>应选用低噪声设备，采用减震、隔声、吸声、消声措施，同时加强设备的维护和管理，合理规划平面布置，加强厂区绿化，厂界噪声需满足《工业企业厂界环境噪声排放标准》（GB 12348-2008）中</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类标准要求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项目地周边敏感点可达到《工业企业厂界环境噪声排放标准》（GB12348-2008）中2类标准要求</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ascii="仿宋_GB2312" w:hAnsi="仿宋" w:eastAsia="仿宋_GB2312" w:cs="仿宋"/>
          <w:color w:val="auto"/>
          <w:sz w:val="32"/>
          <w:szCs w:val="32"/>
        </w:rPr>
      </w:pPr>
      <w:r>
        <w:rPr>
          <w:rFonts w:hint="eastAsia" w:ascii="楷体" w:hAnsi="楷体" w:eastAsia="楷体" w:cs="楷体"/>
          <w:color w:val="auto"/>
          <w:sz w:val="32"/>
          <w:szCs w:val="32"/>
          <w:lang w:val="en-US" w:eastAsia="zh-CN"/>
        </w:rPr>
        <w:t>（五）严格落实土壤和地下水污染防治措施。</w:t>
      </w:r>
      <w:r>
        <w:rPr>
          <w:rFonts w:hint="eastAsia" w:ascii="仿宋_GB2312" w:hAnsi="仿宋_GB2312" w:eastAsia="仿宋_GB2312" w:cs="仿宋_GB2312"/>
          <w:color w:val="auto"/>
          <w:sz w:val="32"/>
          <w:szCs w:val="32"/>
        </w:rPr>
        <w:t>按“源头控制、分区防治、污染监控、应急响应”相结合的原则做好土壤和地下水污染防治工作，从污染物的产生、入渗、扩散、应急响应全阶段进行控制，严格做好分区防渗措施。</w:t>
      </w:r>
      <w:r>
        <w:rPr>
          <w:rFonts w:hint="eastAsia" w:ascii="仿宋_GB2312" w:hAnsi="仿宋" w:eastAsia="仿宋_GB2312"/>
          <w:color w:val="auto"/>
          <w:kern w:val="0"/>
          <w:sz w:val="32"/>
          <w:szCs w:val="32"/>
        </w:rPr>
        <w:t>按照</w:t>
      </w:r>
      <w:r>
        <w:rPr>
          <w:rFonts w:hint="eastAsia" w:ascii="仿宋_GB2312" w:hAnsi="仿宋" w:eastAsia="仿宋_GB2312"/>
          <w:color w:val="auto"/>
          <w:kern w:val="0"/>
          <w:sz w:val="32"/>
          <w:szCs w:val="32"/>
          <w:lang w:eastAsia="zh-CN"/>
        </w:rPr>
        <w:t>《</w:t>
      </w:r>
      <w:r>
        <w:rPr>
          <w:rFonts w:hint="eastAsia" w:ascii="仿宋_GB2312" w:hAnsi="仿宋" w:eastAsia="仿宋_GB2312"/>
          <w:color w:val="auto"/>
          <w:kern w:val="0"/>
          <w:sz w:val="32"/>
          <w:szCs w:val="32"/>
        </w:rPr>
        <w:t>报告书</w:t>
      </w:r>
      <w:r>
        <w:rPr>
          <w:rFonts w:hint="eastAsia" w:ascii="仿宋_GB2312" w:hAnsi="仿宋" w:eastAsia="仿宋_GB2312"/>
          <w:color w:val="auto"/>
          <w:kern w:val="0"/>
          <w:sz w:val="32"/>
          <w:szCs w:val="32"/>
          <w:lang w:eastAsia="zh-CN"/>
        </w:rPr>
        <w:t>》</w:t>
      </w:r>
      <w:r>
        <w:rPr>
          <w:rFonts w:hint="default" w:ascii="仿宋_GB2312" w:hAnsi="仿宋" w:eastAsia="仿宋_GB2312"/>
          <w:color w:val="auto"/>
          <w:kern w:val="0"/>
          <w:sz w:val="32"/>
          <w:szCs w:val="32"/>
        </w:rPr>
        <w:t>和《评估意见》</w:t>
      </w:r>
      <w:r>
        <w:rPr>
          <w:rFonts w:hint="eastAsia" w:ascii="仿宋_GB2312" w:hAnsi="仿宋" w:eastAsia="仿宋_GB2312"/>
          <w:color w:val="auto"/>
          <w:kern w:val="0"/>
          <w:sz w:val="32"/>
          <w:szCs w:val="32"/>
        </w:rPr>
        <w:t>中要求合理设置地下水及土壤监测布点，制定环境监测计划，加强厂区和周边区域地下水及土壤环境质量监控，一旦发现污染情况，必须立即采取措施，防止污染扩散</w:t>
      </w:r>
      <w:r>
        <w:rPr>
          <w:rFonts w:hint="eastAsia" w:ascii="仿宋_GB2312" w:hAnsi="仿宋" w:eastAsia="仿宋_GB2312" w:cs="仿宋"/>
          <w:color w:val="auto"/>
          <w:sz w:val="32"/>
          <w:szCs w:val="32"/>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jc w:val="left"/>
        <w:textAlignment w:val="auto"/>
        <w:rPr>
          <w:rFonts w:ascii="仿宋_GB2312" w:hAnsi="仿宋" w:eastAsia="仿宋_GB2312" w:cs="仿宋"/>
          <w:color w:val="FF0000"/>
          <w:sz w:val="32"/>
          <w:szCs w:val="32"/>
        </w:rPr>
      </w:pPr>
      <w:r>
        <w:rPr>
          <w:rFonts w:hint="eastAsia" w:ascii="楷体" w:hAnsi="楷体" w:eastAsia="楷体" w:cs="楷体"/>
          <w:color w:val="auto"/>
          <w:sz w:val="32"/>
          <w:szCs w:val="32"/>
          <w:lang w:val="en-US" w:eastAsia="zh-CN"/>
        </w:rPr>
        <w:t>（六）严格落实环境风险防范措施。</w:t>
      </w:r>
      <w:r>
        <w:rPr>
          <w:rFonts w:hint="eastAsia" w:ascii="仿宋_GB2312" w:hAnsi="仿宋_GB2312" w:eastAsia="仿宋_GB2312" w:cs="仿宋_GB2312"/>
          <w:color w:val="auto"/>
          <w:sz w:val="32"/>
          <w:szCs w:val="32"/>
          <w:lang w:eastAsia="zh-CN"/>
        </w:rPr>
        <w:t>严格落实《报告书》和《评估意见》提出的各项环境风险防控措施。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须报市、县生态环境部门备案）应与相邻企业、当地政府进行有效衔接，定期协同有关部门开展应急演练。</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ascii="仿宋_GB2312" w:hAnsi="宋体" w:eastAsia="仿宋_GB2312" w:cs="宋体"/>
          <w:color w:val="auto"/>
          <w:kern w:val="0"/>
          <w:sz w:val="32"/>
          <w:szCs w:val="32"/>
          <w:lang w:val="en-US" w:eastAsia="zh-CN" w:bidi="ar-SA"/>
        </w:rPr>
      </w:pPr>
      <w:r>
        <w:rPr>
          <w:rFonts w:hint="eastAsia" w:ascii="楷体" w:hAnsi="楷体" w:eastAsia="楷体" w:cs="楷体"/>
          <w:color w:val="auto"/>
          <w:sz w:val="32"/>
          <w:szCs w:val="32"/>
          <w:lang w:val="en-US" w:eastAsia="zh-CN"/>
        </w:rPr>
        <w:t>（七）落实规范排污口要求。</w:t>
      </w:r>
      <w:r>
        <w:rPr>
          <w:rFonts w:hint="eastAsia" w:ascii="仿宋_GB2312" w:hAnsi="仿宋" w:eastAsia="仿宋_GB2312" w:cs="仿宋"/>
          <w:color w:val="000000" w:themeColor="text1"/>
          <w:sz w:val="32"/>
          <w:szCs w:val="32"/>
          <w14:textFill>
            <w14:solidFill>
              <w14:schemeClr w14:val="tx1"/>
            </w14:solidFill>
          </w14:textFill>
        </w:rPr>
        <w:t>你公司应按</w:t>
      </w:r>
      <w:r>
        <w:rPr>
          <w:rFonts w:hint="eastAsia" w:ascii="仿宋_GB2312" w:hAnsi="华文仿宋" w:eastAsia="仿宋_GB2312"/>
          <w:color w:val="000000" w:themeColor="text1"/>
          <w:sz w:val="32"/>
          <w:szCs w:val="32"/>
          <w14:textFill>
            <w14:solidFill>
              <w14:schemeClr w14:val="tx1"/>
            </w14:solidFill>
          </w14:textFill>
        </w:rPr>
        <w:t>要求设置废气在线监控设施，并与当地生态环境部门联网</w:t>
      </w:r>
      <w:r>
        <w:rPr>
          <w:rFonts w:hint="eastAsia" w:ascii="仿宋_GB2312" w:hAnsi="华文仿宋" w:eastAsia="仿宋_GB2312"/>
          <w:color w:val="000000" w:themeColor="text1"/>
          <w:sz w:val="32"/>
          <w:szCs w:val="32"/>
          <w:lang w:eastAsia="zh-CN"/>
          <w14:textFill>
            <w14:solidFill>
              <w14:schemeClr w14:val="tx1"/>
            </w14:solidFill>
          </w14:textFill>
        </w:rPr>
        <w:t>。</w:t>
      </w:r>
      <w:r>
        <w:rPr>
          <w:rFonts w:hint="eastAsia" w:ascii="仿宋_GB2312" w:hAnsi="宋体" w:eastAsia="仿宋_GB2312" w:cs="宋体"/>
          <w:color w:val="auto"/>
          <w:kern w:val="0"/>
          <w:sz w:val="32"/>
          <w:szCs w:val="32"/>
          <w:lang w:val="en-US" w:eastAsia="zh-CN" w:bidi="ar-SA"/>
        </w:rPr>
        <w:t>按国家和省、市排污口规范化要求设置各类排污口和标识并建档。</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楷体" w:hAnsi="楷体" w:eastAsia="楷体" w:cs="楷体"/>
          <w:color w:val="auto"/>
          <w:sz w:val="32"/>
          <w:szCs w:val="32"/>
          <w:lang w:val="en-US" w:eastAsia="zh-CN"/>
        </w:rPr>
        <w:t>（八）项目周围规划控制要求。</w:t>
      </w:r>
      <w:r>
        <w:rPr>
          <w:rFonts w:hint="eastAsia" w:ascii="仿宋_GB2312" w:hAnsi="宋体" w:eastAsia="仿宋_GB2312" w:cs="宋体"/>
          <w:color w:val="auto"/>
          <w:kern w:val="0"/>
          <w:sz w:val="32"/>
          <w:szCs w:val="32"/>
          <w:lang w:val="en-US" w:eastAsia="zh-CN" w:bidi="ar-SA"/>
        </w:rPr>
        <w:t>根据《报告书》和《评估意见》结论</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snapToGrid w:val="0"/>
          <w:color w:val="auto"/>
          <w:sz w:val="32"/>
          <w:szCs w:val="32"/>
        </w:rPr>
        <w:t>确定本项目卫生防护距离</w:t>
      </w:r>
      <w:r>
        <w:rPr>
          <w:rFonts w:hint="eastAsia" w:ascii="仿宋_GB2312" w:hAnsi="仿宋_GB2312" w:eastAsia="仿宋_GB2312" w:cs="仿宋_GB2312"/>
          <w:snapToGrid w:val="0"/>
          <w:color w:val="auto"/>
          <w:sz w:val="32"/>
          <w:szCs w:val="32"/>
          <w:lang w:eastAsia="zh-CN"/>
        </w:rPr>
        <w:t>为</w:t>
      </w:r>
      <w:r>
        <w:rPr>
          <w:rFonts w:hint="eastAsia" w:ascii="仿宋_GB2312" w:hAnsi="仿宋_GB2312" w:eastAsia="仿宋_GB2312" w:cs="仿宋_GB2312"/>
          <w:snapToGrid w:val="0"/>
          <w:color w:val="auto"/>
          <w:sz w:val="32"/>
          <w:szCs w:val="32"/>
        </w:rPr>
        <w:t>预碳化车间和粉碎车间外扩50米的范围</w:t>
      </w:r>
      <w:r>
        <w:rPr>
          <w:rFonts w:hint="eastAsia" w:ascii="仿宋_GB2312" w:hAnsi="仿宋_GB2312" w:eastAsia="仿宋_GB2312" w:cs="仿宋_GB2312"/>
          <w:snapToGrid w:val="0"/>
          <w:color w:val="auto"/>
          <w:sz w:val="32"/>
          <w:szCs w:val="32"/>
          <w:lang w:eastAsia="zh-CN"/>
        </w:rPr>
        <w:t>。</w:t>
      </w:r>
      <w:r>
        <w:rPr>
          <w:rFonts w:hint="eastAsia" w:ascii="仿宋_GB2312" w:hAnsi="仿宋" w:eastAsia="仿宋_GB2312" w:cs="仿宋"/>
          <w:color w:val="auto"/>
          <w:sz w:val="32"/>
          <w:szCs w:val="32"/>
        </w:rPr>
        <w:t>你公司应</w:t>
      </w:r>
      <w:r>
        <w:rPr>
          <w:rFonts w:hint="eastAsia" w:ascii="仿宋_GB2312" w:hAnsi="仿宋" w:eastAsia="仿宋_GB2312" w:cs="仿宋"/>
          <w:color w:val="auto"/>
          <w:sz w:val="32"/>
          <w:szCs w:val="32"/>
          <w:lang w:val="en-US" w:eastAsia="zh-CN"/>
        </w:rPr>
        <w:t>配合规划部门</w:t>
      </w:r>
      <w:r>
        <w:rPr>
          <w:rFonts w:hint="eastAsia" w:ascii="仿宋_GB2312" w:hAnsi="仿宋" w:eastAsia="仿宋_GB2312" w:cs="仿宋"/>
          <w:color w:val="auto"/>
          <w:sz w:val="32"/>
          <w:szCs w:val="32"/>
        </w:rPr>
        <w:t>，严格控制好本项目周边规划，项目卫生防护距离范围内不得新建居民住宅、学校及医院等环境敏感建筑。</w:t>
      </w:r>
    </w:p>
    <w:p>
      <w:pPr>
        <w:pStyle w:val="2"/>
        <w:keepNext w:val="0"/>
        <w:keepLines w:val="0"/>
        <w:pageBreakBefore w:val="0"/>
        <w:kinsoku/>
        <w:wordWrap/>
        <w:overflowPunct/>
        <w:topLinePunct w:val="0"/>
        <w:autoSpaceDN/>
        <w:bidi w:val="0"/>
        <w:spacing w:line="560" w:lineRule="exact"/>
        <w:textAlignment w:val="auto"/>
        <w:rPr>
          <w:rFonts w:hint="default" w:ascii="楷体" w:hAnsi="楷体" w:eastAsia="楷体" w:cs="楷体"/>
          <w:color w:val="auto"/>
          <w:kern w:val="0"/>
          <w:sz w:val="32"/>
          <w:szCs w:val="32"/>
          <w:lang w:val="en-US" w:eastAsia="zh-CN" w:bidi="ar-SA"/>
        </w:rPr>
      </w:pPr>
      <w:r>
        <w:rPr>
          <w:rFonts w:hint="eastAsia" w:ascii="楷体" w:hAnsi="楷体" w:eastAsia="楷体" w:cs="楷体"/>
          <w:color w:val="auto"/>
          <w:kern w:val="0"/>
          <w:sz w:val="32"/>
          <w:szCs w:val="32"/>
          <w:lang w:val="en-US" w:eastAsia="zh-CN" w:bidi="ar-SA"/>
        </w:rPr>
        <w:t>（九）总量控制要求。</w:t>
      </w:r>
      <w:r>
        <w:rPr>
          <w:rFonts w:hint="eastAsia" w:ascii="仿宋_GB2312" w:hAnsi="仿宋_GB2312" w:eastAsia="仿宋_GB2312" w:cs="仿宋_GB2312"/>
          <w:bCs/>
          <w:color w:val="auto"/>
          <w:sz w:val="32"/>
          <w:szCs w:val="32"/>
        </w:rPr>
        <w:t>主要污染物COD</w:t>
      </w:r>
      <w:r>
        <w:rPr>
          <w:rFonts w:hint="eastAsia" w:ascii="仿宋_GB2312" w:hAnsi="仿宋_GB2312" w:eastAsia="仿宋_GB2312" w:cs="仿宋_GB2312"/>
          <w:bCs/>
          <w:color w:val="auto"/>
          <w:sz w:val="32"/>
          <w:szCs w:val="32"/>
          <w:vertAlign w:val="subscript"/>
        </w:rPr>
        <w:t>Cr</w:t>
      </w:r>
      <w:r>
        <w:rPr>
          <w:rFonts w:hint="eastAsia" w:ascii="仿宋_GB2312" w:hAnsi="仿宋_GB2312" w:eastAsia="仿宋_GB2312" w:cs="仿宋_GB2312"/>
          <w:bCs/>
          <w:color w:val="auto"/>
          <w:sz w:val="32"/>
          <w:szCs w:val="32"/>
        </w:rPr>
        <w:t>、NH</w:t>
      </w:r>
      <w:r>
        <w:rPr>
          <w:rFonts w:hint="eastAsia" w:ascii="仿宋_GB2312" w:hAnsi="仿宋_GB2312" w:eastAsia="仿宋_GB2312" w:cs="仿宋_GB2312"/>
          <w:bCs/>
          <w:color w:val="auto"/>
          <w:sz w:val="32"/>
          <w:szCs w:val="32"/>
          <w:vertAlign w:val="subscript"/>
        </w:rPr>
        <w:t>3</w:t>
      </w:r>
      <w:r>
        <w:rPr>
          <w:rFonts w:hint="eastAsia" w:ascii="仿宋_GB2312" w:hAnsi="仿宋_GB2312" w:eastAsia="仿宋_GB2312" w:cs="仿宋_GB2312"/>
          <w:bCs/>
          <w:color w:val="auto"/>
          <w:sz w:val="32"/>
          <w:szCs w:val="32"/>
        </w:rPr>
        <w:t>-N、</w:t>
      </w:r>
      <w:r>
        <w:rPr>
          <w:rFonts w:hint="eastAsia" w:ascii="仿宋_GB2312" w:hAnsi="仿宋_GB2312" w:eastAsia="仿宋_GB2312" w:cs="仿宋_GB2312"/>
          <w:bCs/>
          <w:color w:val="auto"/>
          <w:sz w:val="32"/>
          <w:szCs w:val="32"/>
          <w:lang w:val="en-US" w:eastAsia="zh-CN"/>
        </w:rPr>
        <w:t>VOCs</w:t>
      </w:r>
      <w:r>
        <w:rPr>
          <w:rFonts w:hint="eastAsia" w:ascii="仿宋_GB2312" w:hAnsi="仿宋_GB2312" w:eastAsia="仿宋_GB2312" w:cs="仿宋_GB2312"/>
          <w:bCs/>
          <w:color w:val="auto"/>
          <w:sz w:val="32"/>
          <w:szCs w:val="32"/>
        </w:rPr>
        <w:t>、NO</w:t>
      </w:r>
      <w:r>
        <w:rPr>
          <w:rFonts w:hint="eastAsia" w:ascii="仿宋_GB2312" w:hAnsi="仿宋_GB2312" w:eastAsia="仿宋_GB2312" w:cs="仿宋_GB2312"/>
          <w:bCs/>
          <w:color w:val="auto"/>
          <w:sz w:val="32"/>
          <w:szCs w:val="32"/>
          <w:vertAlign w:val="subscript"/>
        </w:rPr>
        <w:t>X</w:t>
      </w:r>
      <w:r>
        <w:rPr>
          <w:rFonts w:hint="eastAsia" w:ascii="仿宋_GB2312" w:hAnsi="仿宋_GB2312" w:eastAsia="仿宋_GB2312" w:cs="仿宋_GB2312"/>
          <w:bCs/>
          <w:color w:val="auto"/>
          <w:sz w:val="32"/>
          <w:szCs w:val="32"/>
        </w:rPr>
        <w:t>等排放量</w:t>
      </w:r>
      <w:r>
        <w:rPr>
          <w:rFonts w:hint="eastAsia" w:hAnsi="仿宋_GB2312" w:cs="仿宋_GB2312"/>
          <w:bCs/>
          <w:color w:val="auto"/>
          <w:sz w:val="32"/>
          <w:szCs w:val="32"/>
          <w:lang w:val="en-US" w:eastAsia="zh-CN"/>
        </w:rPr>
        <w:t>应</w:t>
      </w:r>
      <w:r>
        <w:rPr>
          <w:rFonts w:hint="eastAsia" w:ascii="仿宋_GB2312" w:hAnsi="仿宋_GB2312" w:eastAsia="仿宋_GB2312" w:cs="仿宋_GB2312"/>
          <w:bCs/>
          <w:color w:val="auto"/>
          <w:sz w:val="32"/>
          <w:szCs w:val="32"/>
        </w:rPr>
        <w:t>满足</w:t>
      </w:r>
      <w:r>
        <w:rPr>
          <w:rFonts w:hint="eastAsia" w:hAnsi="仿宋_GB2312" w:cs="仿宋_GB2312"/>
          <w:bCs/>
          <w:color w:val="auto"/>
          <w:sz w:val="32"/>
          <w:szCs w:val="32"/>
          <w:lang w:val="en-US" w:eastAsia="zh-CN"/>
        </w:rPr>
        <w:t>我局及宜春市万载生态环境局确认的</w:t>
      </w:r>
      <w:r>
        <w:rPr>
          <w:rFonts w:hint="eastAsia" w:ascii="仿宋_GB2312" w:hAnsi="仿宋_GB2312" w:eastAsia="仿宋_GB2312" w:cs="仿宋_GB2312"/>
          <w:bCs/>
          <w:color w:val="auto"/>
          <w:sz w:val="32"/>
          <w:szCs w:val="32"/>
        </w:rPr>
        <w:t>污染物排放总量控制指标要求。</w:t>
      </w:r>
    </w:p>
    <w:p>
      <w:pPr>
        <w:pStyle w:val="32"/>
        <w:keepNext w:val="0"/>
        <w:keepLines w:val="0"/>
        <w:pageBreakBefore w:val="0"/>
        <w:widowControl w:val="0"/>
        <w:kinsoku/>
        <w:wordWrap/>
        <w:overflowPunct/>
        <w:topLinePunct w:val="0"/>
        <w:autoSpaceDN/>
        <w:bidi w:val="0"/>
        <w:adjustRightInd w:val="0"/>
        <w:snapToGrid w:val="0"/>
        <w:spacing w:line="560" w:lineRule="exact"/>
        <w:ind w:firstLine="659" w:firstLineChars="206"/>
        <w:textAlignment w:val="auto"/>
        <w:rPr>
          <w:rFonts w:hint="eastAsia" w:ascii="仿宋_GB2312" w:hAnsi="仿宋" w:eastAsia="仿宋_GB2312" w:cs="仿宋"/>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十</w:t>
      </w:r>
      <w:r>
        <w:rPr>
          <w:rFonts w:hint="eastAsia" w:ascii="楷体" w:hAnsi="楷体" w:eastAsia="楷体" w:cs="楷体"/>
          <w:color w:val="auto"/>
          <w:sz w:val="32"/>
          <w:szCs w:val="32"/>
          <w:lang w:eastAsia="zh-CN"/>
        </w:rPr>
        <w:t>）信息公开要求。</w:t>
      </w:r>
      <w:r>
        <w:rPr>
          <w:rFonts w:hint="eastAsia" w:ascii="仿宋_GB2312" w:hAnsi="仿宋" w:eastAsia="仿宋_GB2312" w:cs="仿宋"/>
          <w:color w:val="auto"/>
          <w:sz w:val="32"/>
          <w:szCs w:val="32"/>
        </w:rPr>
        <w:t>你公司应依法实施信息公开，接</w:t>
      </w:r>
      <w:r>
        <w:rPr>
          <w:rFonts w:hint="eastAsia" w:ascii="仿宋_GB2312" w:hAnsi="仿宋" w:eastAsia="仿宋_GB2312" w:cs="仿宋"/>
          <w:color w:val="auto"/>
          <w:sz w:val="32"/>
          <w:szCs w:val="32"/>
          <w:lang w:val="en-US" w:eastAsia="zh-CN"/>
        </w:rPr>
        <w:t>受</w:t>
      </w:r>
      <w:r>
        <w:rPr>
          <w:rFonts w:hint="eastAsia" w:ascii="仿宋_GB2312" w:hAnsi="仿宋" w:eastAsia="仿宋_GB2312" w:cs="仿宋"/>
          <w:color w:val="auto"/>
          <w:sz w:val="32"/>
          <w:szCs w:val="32"/>
        </w:rPr>
        <w:t>社会监督。项目应定期公示企业环境报告，公布污染物排放和环境管理情况。</w:t>
      </w:r>
    </w:p>
    <w:p>
      <w:pPr>
        <w:pStyle w:val="32"/>
        <w:keepNext w:val="0"/>
        <w:keepLines w:val="0"/>
        <w:pageBreakBefore w:val="0"/>
        <w:widowControl w:val="0"/>
        <w:kinsoku/>
        <w:wordWrap/>
        <w:overflowPunct/>
        <w:topLinePunct w:val="0"/>
        <w:autoSpaceDN/>
        <w:bidi w:val="0"/>
        <w:adjustRightInd w:val="0"/>
        <w:snapToGrid w:val="0"/>
        <w:spacing w:line="560" w:lineRule="exact"/>
        <w:ind w:firstLine="659" w:firstLineChars="206"/>
        <w:textAlignment w:val="auto"/>
        <w:rPr>
          <w:rFonts w:ascii="黑体" w:hAnsi="黑体" w:eastAsia="黑体" w:cs="黑体"/>
          <w:sz w:val="32"/>
          <w:szCs w:val="32"/>
        </w:rPr>
      </w:pPr>
      <w:r>
        <w:rPr>
          <w:rFonts w:hint="eastAsia" w:ascii="黑体" w:hAnsi="黑体" w:eastAsia="黑体" w:cs="黑体"/>
          <w:sz w:val="32"/>
          <w:szCs w:val="32"/>
        </w:rPr>
        <w:t>三、项目试运行和竣工验收的环保要求</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eastAsia="仿宋_GB2312"/>
          <w:sz w:val="32"/>
          <w:szCs w:val="32"/>
        </w:rPr>
      </w:pPr>
      <w:r>
        <w:rPr>
          <w:rFonts w:hint="eastAsia" w:ascii="仿宋_GB2312" w:hAnsi="Calibri" w:eastAsia="仿宋_GB2312"/>
          <w:sz w:val="32"/>
          <w:szCs w:val="32"/>
        </w:rPr>
        <w:t>项目初步设计阶段应进一步优化细化环境保护设施，在环保篇章中落实生态环境保护的各项措施及投资。在施工招标文件、施工合同和工程监理招标文件中明确环保条款和责任。项目建设必须严格执行环境保护设施与主体工程同时设计、同时施工、同时投入使用的环境保护“三同时”制度</w:t>
      </w:r>
      <w:r>
        <w:rPr>
          <w:rFonts w:hint="eastAsia" w:ascii="仿宋_GB2312" w:eastAsia="仿宋_GB2312"/>
          <w:sz w:val="32"/>
          <w:szCs w:val="32"/>
        </w:rPr>
        <w:t>。</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CESI黑体-GB2312" w:hAnsi="CESI黑体-GB2312" w:eastAsia="CESI黑体-GB2312" w:cs="CESI黑体-GB2312"/>
          <w:sz w:val="32"/>
          <w:szCs w:val="32"/>
        </w:rPr>
      </w:pPr>
      <w:r>
        <w:rPr>
          <w:rFonts w:hint="eastAsia" w:ascii="仿宋_GB2312" w:hAnsi="Calibri" w:eastAsia="仿宋_GB2312"/>
          <w:sz w:val="32"/>
          <w:szCs w:val="32"/>
        </w:rPr>
        <w:t>项目竣工后，你公司应按照有关规定对配套建设的环保设施进行验收，并依法向社会公开，未经验收或验收不合格不得投入使用。你公司在开展环保设施验收过程中应如实查验、监测、记载项目环境保护设施的建设和调试情况，不得弄虚作假。</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四、其他环保要求</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（一）项目变更环保要求。</w:t>
      </w:r>
      <w:r>
        <w:rPr>
          <w:rFonts w:hint="eastAsia" w:ascii="仿宋_GB2312" w:hAnsi="Calibri" w:eastAsia="仿宋_GB2312"/>
          <w:sz w:val="32"/>
          <w:szCs w:val="32"/>
        </w:rPr>
        <w:t>本项目批准后，若项目建设性质、规模、地点、内容、采用的生产工艺或者防治污染的措施等发生重大变化应重新报批环境影响评价文件，审批后超过5年方动工建设的，应当报我局重新审核。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（二）排污许可要求。</w:t>
      </w:r>
      <w:r>
        <w:rPr>
          <w:rFonts w:hint="eastAsia" w:ascii="仿宋_GB2312" w:hAnsi="Calibri" w:eastAsia="仿宋_GB2312"/>
          <w:sz w:val="32"/>
          <w:szCs w:val="32"/>
        </w:rPr>
        <w:t>在启动生产设施或者发生实际排污行为前，按照经批准的环境影响评价文件认真梳理并确认各项环境保护措施落实后，依法申领排污许可证。建立与项目环境保护工作需求相适应的环境管理团队，完善企业各项环境管理制度，加强环境管理，做到依证排污。</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（三）日常环保监管。</w:t>
      </w:r>
      <w:r>
        <w:rPr>
          <w:rFonts w:hint="eastAsia" w:ascii="仿宋_GB2312" w:hAnsi="Calibri" w:eastAsia="仿宋_GB2312"/>
          <w:sz w:val="32"/>
          <w:szCs w:val="32"/>
        </w:rPr>
        <w:t>请</w:t>
      </w:r>
      <w:r>
        <w:rPr>
          <w:rFonts w:hint="eastAsia" w:ascii="仿宋_GB2312" w:hAnsi="Calibri" w:eastAsia="仿宋_GB2312"/>
          <w:sz w:val="32"/>
          <w:szCs w:val="32"/>
          <w:lang w:eastAsia="zh-CN"/>
        </w:rPr>
        <w:t>宜春市生态环境保护综合执法支队、</w:t>
      </w:r>
      <w:r>
        <w:rPr>
          <w:rFonts w:hint="eastAsia" w:ascii="仿宋_GB2312" w:hAnsi="Calibri" w:eastAsia="仿宋_GB2312"/>
          <w:sz w:val="32"/>
          <w:szCs w:val="32"/>
        </w:rPr>
        <w:t>宜春市</w:t>
      </w:r>
      <w:r>
        <w:rPr>
          <w:rFonts w:hint="eastAsia" w:ascii="仿宋_GB2312" w:eastAsia="仿宋_GB2312"/>
          <w:sz w:val="32"/>
          <w:szCs w:val="32"/>
          <w:lang w:val="en-US" w:eastAsia="zh-CN"/>
        </w:rPr>
        <w:t>万载</w:t>
      </w:r>
      <w:r>
        <w:rPr>
          <w:rFonts w:hint="eastAsia" w:ascii="仿宋_GB2312" w:hAnsi="Calibri" w:eastAsia="仿宋_GB2312"/>
          <w:sz w:val="32"/>
          <w:szCs w:val="32"/>
        </w:rPr>
        <w:t>生态环境局负责该项目建设和运行的监管。你公司应在收到本批复后20个工作日内，将批准后的</w:t>
      </w:r>
      <w:r>
        <w:rPr>
          <w:rFonts w:hint="eastAsia" w:ascii="仿宋_GB2312" w:hAnsi="Calibri" w:eastAsia="仿宋_GB2312"/>
          <w:sz w:val="32"/>
          <w:szCs w:val="32"/>
          <w:lang w:eastAsia="zh-CN"/>
        </w:rPr>
        <w:t>《</w:t>
      </w:r>
      <w:r>
        <w:rPr>
          <w:rFonts w:hint="eastAsia" w:ascii="仿宋_GB2312" w:hAnsi="Calibri" w:eastAsia="仿宋_GB2312"/>
          <w:sz w:val="32"/>
          <w:szCs w:val="32"/>
        </w:rPr>
        <w:t>报告书</w:t>
      </w:r>
      <w:r>
        <w:rPr>
          <w:rFonts w:hint="eastAsia" w:ascii="仿宋_GB2312" w:hAnsi="Calibri" w:eastAsia="仿宋_GB2312"/>
          <w:sz w:val="32"/>
          <w:szCs w:val="32"/>
          <w:lang w:eastAsia="zh-CN"/>
        </w:rPr>
        <w:t>》</w:t>
      </w:r>
      <w:r>
        <w:rPr>
          <w:rFonts w:hint="eastAsia" w:ascii="仿宋_GB2312" w:hAnsi="Calibri" w:eastAsia="仿宋_GB2312"/>
          <w:sz w:val="32"/>
          <w:szCs w:val="32"/>
        </w:rPr>
        <w:t>送至</w:t>
      </w:r>
      <w:r>
        <w:rPr>
          <w:rFonts w:hint="eastAsia" w:ascii="仿宋_GB2312" w:hAnsi="Calibri" w:eastAsia="仿宋_GB2312"/>
          <w:sz w:val="32"/>
          <w:szCs w:val="32"/>
          <w:lang w:eastAsia="zh-CN"/>
        </w:rPr>
        <w:t>宜春市</w:t>
      </w:r>
      <w:r>
        <w:rPr>
          <w:rFonts w:hint="eastAsia" w:ascii="仿宋_GB2312" w:eastAsia="仿宋_GB2312"/>
          <w:sz w:val="32"/>
          <w:szCs w:val="32"/>
          <w:lang w:val="en-US" w:eastAsia="zh-CN"/>
        </w:rPr>
        <w:t>万载</w:t>
      </w:r>
      <w:r>
        <w:rPr>
          <w:rFonts w:hint="eastAsia" w:ascii="仿宋_GB2312" w:hAnsi="Calibri" w:eastAsia="仿宋_GB2312"/>
          <w:sz w:val="32"/>
          <w:szCs w:val="32"/>
        </w:rPr>
        <w:t>生态环境局并按规定接受各级环保行政主管部门的监督检查。</w:t>
      </w:r>
    </w:p>
    <w:p>
      <w:pPr>
        <w:keepNext w:val="0"/>
        <w:keepLines w:val="0"/>
        <w:pageBreakBefore w:val="0"/>
        <w:kinsoku/>
        <w:wordWrap/>
        <w:overflowPunct/>
        <w:topLinePunct w:val="0"/>
        <w:autoSpaceDN/>
        <w:bidi w:val="0"/>
        <w:spacing w:line="480" w:lineRule="exact"/>
        <w:textAlignment w:val="auto"/>
        <w:rPr>
          <w:rFonts w:hint="eastAsia"/>
        </w:rPr>
      </w:pPr>
    </w:p>
    <w:p>
      <w:pPr>
        <w:pStyle w:val="2"/>
        <w:keepNext w:val="0"/>
        <w:keepLines w:val="0"/>
        <w:pageBreakBefore w:val="0"/>
        <w:kinsoku/>
        <w:wordWrap/>
        <w:overflowPunct/>
        <w:topLinePunct w:val="0"/>
        <w:autoSpaceDN/>
        <w:bidi w:val="0"/>
        <w:spacing w:line="480" w:lineRule="exact"/>
        <w:textAlignment w:val="auto"/>
        <w:rPr>
          <w:rFonts w:hint="eastAsia"/>
        </w:rPr>
      </w:pPr>
    </w:p>
    <w:p>
      <w:pPr>
        <w:keepNext w:val="0"/>
        <w:keepLines w:val="0"/>
        <w:pageBreakBefore w:val="0"/>
        <w:kinsoku/>
        <w:wordWrap/>
        <w:overflowPunct/>
        <w:topLinePunct w:val="0"/>
        <w:autoSpaceDN/>
        <w:bidi w:val="0"/>
        <w:spacing w:line="480" w:lineRule="exact"/>
        <w:textAlignment w:val="auto"/>
        <w:rPr>
          <w:rFonts w:hint="eastAsia"/>
        </w:rPr>
      </w:pPr>
    </w:p>
    <w:p>
      <w:pPr>
        <w:keepNext w:val="0"/>
        <w:keepLines w:val="0"/>
        <w:pageBreakBefore w:val="0"/>
        <w:widowControl w:val="0"/>
        <w:kinsoku/>
        <w:wordWrap/>
        <w:overflowPunct/>
        <w:topLinePunct w:val="0"/>
        <w:autoSpaceDN/>
        <w:bidi w:val="0"/>
        <w:spacing w:line="480" w:lineRule="exact"/>
        <w:ind w:right="1077"/>
        <w:jc w:val="right"/>
        <w:textAlignment w:val="auto"/>
        <w:rPr>
          <w:rFonts w:ascii="仿宋_GB2312" w:hAnsi="华文仿宋" w:eastAsia="仿宋_GB2312"/>
          <w:sz w:val="32"/>
          <w:szCs w:val="32"/>
        </w:rPr>
      </w:pPr>
      <w:r>
        <w:rPr>
          <w:rFonts w:hint="eastAsia" w:ascii="仿宋_GB2312" w:hAnsi="华文仿宋" w:eastAsia="仿宋_GB2312"/>
          <w:sz w:val="32"/>
          <w:szCs w:val="32"/>
        </w:rPr>
        <w:t>宜春市生态环境局</w:t>
      </w:r>
    </w:p>
    <w:p>
      <w:pPr>
        <w:keepNext w:val="0"/>
        <w:keepLines w:val="0"/>
        <w:pageBreakBefore w:val="0"/>
        <w:widowControl w:val="0"/>
        <w:tabs>
          <w:tab w:val="left" w:pos="7655"/>
          <w:tab w:val="left" w:pos="7797"/>
        </w:tabs>
        <w:kinsoku/>
        <w:wordWrap/>
        <w:overflowPunct/>
        <w:topLinePunct w:val="0"/>
        <w:autoSpaceDE/>
        <w:autoSpaceDN/>
        <w:bidi w:val="0"/>
        <w:adjustRightInd/>
        <w:snapToGrid/>
        <w:spacing w:line="480" w:lineRule="exact"/>
        <w:ind w:firstLine="160" w:firstLineChars="50"/>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w:t>
      </w:r>
    </w:p>
    <w:p>
      <w:pPr>
        <w:pStyle w:val="2"/>
        <w:rPr>
          <w:rFonts w:hint="eastAsia"/>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r>
        <w:rPr>
          <w:rFonts w:hint="eastAsia" w:ascii="仿宋_GB2312" w:hAnsi="仿宋" w:eastAsia="仿宋_GB2312"/>
          <w:sz w:val="32"/>
        </w:rPr>
        <w:t>（此件</w:t>
      </w:r>
      <w:r>
        <w:rPr>
          <w:rFonts w:hint="eastAsia" w:ascii="仿宋_GB2312" w:hAnsi="仿宋" w:eastAsia="仿宋_GB2312"/>
          <w:sz w:val="32"/>
          <w:lang w:eastAsia="zh-CN"/>
        </w:rPr>
        <w:t>主动</w:t>
      </w:r>
      <w:r>
        <w:rPr>
          <w:rFonts w:hint="eastAsia" w:ascii="仿宋_GB2312" w:hAnsi="仿宋" w:eastAsia="仿宋_GB2312"/>
          <w:sz w:val="32"/>
        </w:rPr>
        <w:t>公开）</w:t>
      </w:r>
    </w:p>
    <w:p>
      <w:pPr>
        <w:rPr>
          <w:rFonts w:hint="eastAsia" w:ascii="仿宋_GB2312" w:hAnsi="仿宋" w:eastAsia="仿宋_GB2312"/>
          <w:sz w:val="32"/>
        </w:rPr>
      </w:pPr>
      <w:r>
        <w:rPr>
          <w:rFonts w:hint="eastAsia" w:ascii="仿宋_GB2312" w:hAnsi="仿宋" w:eastAsia="仿宋_GB2312"/>
          <w:sz w:val="32"/>
        </w:rPr>
        <w:br w:type="page"/>
      </w: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pStyle w:val="15"/>
        <w:keepNext w:val="0"/>
        <w:keepLines w:val="0"/>
        <w:pageBreakBefore w:val="0"/>
        <w:widowControl/>
        <w:kinsoku/>
        <w:wordWrap/>
        <w:overflowPunct/>
        <w:topLinePunct w:val="0"/>
        <w:autoSpaceDN/>
        <w:bidi w:val="0"/>
        <w:spacing w:line="480" w:lineRule="exact"/>
        <w:ind w:right="840" w:rightChars="400" w:firstLine="640" w:firstLineChars="200"/>
        <w:textAlignment w:val="auto"/>
        <w:rPr>
          <w:rFonts w:hint="eastAsia" w:ascii="仿宋_GB2312" w:hAnsi="仿宋" w:eastAsia="仿宋_GB2312"/>
          <w:sz w:val="32"/>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ascii="仿宋_GB2312" w:hAnsi="华文仿宋" w:eastAsia="仿宋_GB2312"/>
          <w:spacing w:val="-6"/>
          <w:sz w:val="32"/>
          <w:szCs w:val="32"/>
        </w:rPr>
      </w:pPr>
      <w:bookmarkStart w:id="0" w:name="_GoBack"/>
      <w:bookmarkEnd w:id="0"/>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spacing w:line="460" w:lineRule="exact"/>
        <w:ind w:left="910" w:leftChars="100" w:right="210" w:rightChars="100" w:hanging="700" w:hangingChars="250"/>
        <w:rPr>
          <w:rFonts w:ascii="仿宋_GB2312" w:eastAsia="仿宋_GB2312"/>
          <w:spacing w:val="-6"/>
          <w:sz w:val="28"/>
          <w:szCs w:val="28"/>
        </w:rPr>
      </w:pPr>
      <w:r>
        <w:rPr>
          <w:rFonts w:hint="eastAsia" w:ascii="仿宋_GB2312" w:hAnsi="宋体" w:eastAsia="仿宋_GB2312"/>
          <w:sz w:val="28"/>
          <w:szCs w:val="28"/>
        </w:rPr>
        <w:t>抄送:</w:t>
      </w:r>
      <w:r>
        <w:rPr>
          <w:rFonts w:hint="eastAsia" w:ascii="仿宋_GB2312" w:eastAsia="仿宋_GB2312"/>
          <w:spacing w:val="-6"/>
          <w:sz w:val="28"/>
          <w:szCs w:val="28"/>
        </w:rPr>
        <w:t>宜春市自然资源局、</w:t>
      </w:r>
      <w:r>
        <w:rPr>
          <w:rFonts w:hint="eastAsia" w:ascii="仿宋_GB2312" w:eastAsia="仿宋_GB2312"/>
          <w:spacing w:val="-6"/>
          <w:sz w:val="28"/>
          <w:szCs w:val="28"/>
          <w:lang w:val="en-US" w:eastAsia="zh-CN"/>
        </w:rPr>
        <w:t>万载</w:t>
      </w:r>
      <w:r>
        <w:rPr>
          <w:rFonts w:hint="eastAsia" w:ascii="仿宋_GB2312" w:eastAsia="仿宋_GB2312"/>
          <w:spacing w:val="-6"/>
          <w:sz w:val="28"/>
          <w:szCs w:val="28"/>
        </w:rPr>
        <w:t>县人民政府、宜春市</w:t>
      </w:r>
      <w:r>
        <w:rPr>
          <w:rFonts w:hint="eastAsia" w:ascii="仿宋_GB2312" w:eastAsia="仿宋_GB2312"/>
          <w:spacing w:val="-6"/>
          <w:sz w:val="28"/>
          <w:szCs w:val="28"/>
          <w:lang w:val="en-US" w:eastAsia="zh-CN"/>
        </w:rPr>
        <w:t>万载</w:t>
      </w:r>
      <w:r>
        <w:rPr>
          <w:rFonts w:hint="eastAsia" w:ascii="仿宋_GB2312" w:eastAsia="仿宋_GB2312"/>
          <w:spacing w:val="-6"/>
          <w:sz w:val="28"/>
          <w:szCs w:val="28"/>
        </w:rPr>
        <w:t>生态环境局、局相关科室、局直属有关单位、</w:t>
      </w:r>
      <w:r>
        <w:rPr>
          <w:rFonts w:hint="eastAsia" w:ascii="仿宋_GB2312" w:eastAsia="仿宋_GB2312"/>
          <w:snapToGrid w:val="0"/>
          <w:color w:val="auto"/>
          <w:sz w:val="28"/>
          <w:szCs w:val="28"/>
          <w:lang w:val="en-US" w:eastAsia="zh-CN"/>
        </w:rPr>
        <w:t>江西龙翔安全环保技术咨询有限公司</w:t>
      </w:r>
      <w:r>
        <w:rPr>
          <w:rFonts w:hint="eastAsia" w:ascii="仿宋_GB2312" w:eastAsia="仿宋_GB2312"/>
          <w:spacing w:val="-6"/>
          <w:sz w:val="28"/>
          <w:szCs w:val="28"/>
        </w:rPr>
        <w:t>。</w:t>
      </w:r>
    </w:p>
    <w:p>
      <w:pPr>
        <w:spacing w:line="140" w:lineRule="exact"/>
        <w:rPr>
          <w:rFonts w:hint="default" w:ascii="仿宋_GB2312" w:eastAsia="仿宋_GB2312"/>
          <w:sz w:val="32"/>
          <w:szCs w:val="32"/>
          <w:lang w:val="en-US" w:eastAsia="zh-CN"/>
        </w:rPr>
      </w:pP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2023年3月9日印发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34"/>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CESI黑体-GB2312">
    <w:panose1 w:val="02000500000000000000"/>
    <w:charset w:val="86"/>
    <w:family w:val="auto"/>
    <w:pitch w:val="default"/>
    <w:sig w:usb0="800002BF" w:usb1="184F6CF8" w:usb2="00000012" w:usb3="00000000" w:csb0="0004000F"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QJJ5fHAQAAmQMAAA4AAAAAAAAA&#10;AQAgAAAANAEAAGRycy9lMm9Eb2MueG1sUEsFBgAAAAAGAAYAWQEAAG0FAAAAAA==&#10;">
              <v:fill on="f" focussize="0,0"/>
              <v:stroke on="f"/>
              <v:imagedata o:title=""/>
              <o:lock v:ext="edit" aspectratio="f"/>
              <v:textbox inset="0mm,0mm,0mm,0mm" style="mso-fit-shape-to-text:t;">
                <w:txbxContent>
                  <w:p>
                    <w:pPr>
                      <w:pStyle w:val="1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8B783"/>
    <w:multiLevelType w:val="multilevel"/>
    <w:tmpl w:val="54B8B783"/>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ascii="宋体" w:hAnsi="宋体" w:eastAsia="宋体" w:cs="宋体"/>
      </w:rPr>
    </w:lvl>
    <w:lvl w:ilvl="2" w:tentative="0">
      <w:start w:val="1"/>
      <w:numFmt w:val="decimal"/>
      <w:lvlText w:val="%1.%2.%3."/>
      <w:lvlJc w:val="left"/>
      <w:pPr>
        <w:tabs>
          <w:tab w:val="left" w:pos="709"/>
        </w:tabs>
        <w:ind w:left="709" w:hanging="709"/>
      </w:pPr>
      <w:rPr>
        <w:rFonts w:hint="default" w:ascii="宋体" w:hAnsi="宋体" w:eastAsia="宋体" w:cs="宋体"/>
      </w:rPr>
    </w:lvl>
    <w:lvl w:ilvl="3" w:tentative="0">
      <w:start w:val="1"/>
      <w:numFmt w:val="decimal"/>
      <w:pStyle w:val="7"/>
      <w:lvlText w:val="%1.%2.%3.%4."/>
      <w:lvlJc w:val="left"/>
      <w:pPr>
        <w:tabs>
          <w:tab w:val="left" w:pos="850"/>
        </w:tabs>
        <w:ind w:left="850" w:hanging="850"/>
      </w:pPr>
      <w:rPr>
        <w:rFonts w:hint="default" w:ascii="宋体" w:hAnsi="宋体" w:eastAsia="宋体" w:cs="宋体"/>
      </w:rPr>
    </w:lvl>
    <w:lvl w:ilvl="4" w:tentative="0">
      <w:start w:val="1"/>
      <w:numFmt w:val="decimal"/>
      <w:lvlText w:val="%1.%2.%3.%4.%5."/>
      <w:lvlJc w:val="left"/>
      <w:pPr>
        <w:tabs>
          <w:tab w:val="left" w:pos="991"/>
        </w:tabs>
        <w:ind w:left="991" w:hanging="991"/>
      </w:pPr>
      <w:rPr>
        <w:rFonts w:hint="default" w:ascii="宋体" w:hAnsi="宋体" w:eastAsia="宋体" w:cs="宋体"/>
      </w:rPr>
    </w:lvl>
    <w:lvl w:ilvl="5" w:tentative="0">
      <w:start w:val="1"/>
      <w:numFmt w:val="decimal"/>
      <w:lvlText w:val="%1.%2.%3.%4.%5.%6."/>
      <w:lvlJc w:val="left"/>
      <w:pPr>
        <w:tabs>
          <w:tab w:val="left" w:pos="1134"/>
        </w:tabs>
        <w:ind w:left="1134" w:hanging="1134"/>
      </w:pPr>
      <w:rPr>
        <w:rFonts w:hint="default" w:ascii="宋体" w:hAnsi="宋体" w:eastAsia="宋体" w:cs="宋体"/>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DF3540"/>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E0D44"/>
    <w:rsid w:val="0FB96372"/>
    <w:rsid w:val="0FC37304"/>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19447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603596E"/>
    <w:rsid w:val="261457E5"/>
    <w:rsid w:val="2614741E"/>
    <w:rsid w:val="26526993"/>
    <w:rsid w:val="265C71AB"/>
    <w:rsid w:val="265E6149"/>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821"/>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EF53CB"/>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CF901D"/>
    <w:rsid w:val="33DC2DCC"/>
    <w:rsid w:val="33EB22FC"/>
    <w:rsid w:val="341B325B"/>
    <w:rsid w:val="342E31B0"/>
    <w:rsid w:val="344C7DAF"/>
    <w:rsid w:val="345F719B"/>
    <w:rsid w:val="349066C6"/>
    <w:rsid w:val="34AC31AC"/>
    <w:rsid w:val="34B40878"/>
    <w:rsid w:val="34C04967"/>
    <w:rsid w:val="34D5304A"/>
    <w:rsid w:val="34DE3D3B"/>
    <w:rsid w:val="34EB2034"/>
    <w:rsid w:val="35112672"/>
    <w:rsid w:val="352A5DFA"/>
    <w:rsid w:val="35413E85"/>
    <w:rsid w:val="35974677"/>
    <w:rsid w:val="35A80747"/>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7FC821"/>
    <w:rsid w:val="379E4A38"/>
    <w:rsid w:val="37BF760E"/>
    <w:rsid w:val="37DFA41B"/>
    <w:rsid w:val="37EF08E1"/>
    <w:rsid w:val="37F71AFA"/>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A93EF"/>
    <w:rsid w:val="3BFCF68E"/>
    <w:rsid w:val="3BFD5FAE"/>
    <w:rsid w:val="3BFDD051"/>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4C1125"/>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7654BD"/>
    <w:rsid w:val="45781435"/>
    <w:rsid w:val="458F461A"/>
    <w:rsid w:val="45A809B5"/>
    <w:rsid w:val="45B2422F"/>
    <w:rsid w:val="45B51851"/>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77BA1"/>
    <w:rsid w:val="482C068C"/>
    <w:rsid w:val="486E3D4D"/>
    <w:rsid w:val="48760EB1"/>
    <w:rsid w:val="48A9213B"/>
    <w:rsid w:val="48B03789"/>
    <w:rsid w:val="48CD5054"/>
    <w:rsid w:val="490365E8"/>
    <w:rsid w:val="491D0C22"/>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B9F78C"/>
    <w:rsid w:val="4DCA17BE"/>
    <w:rsid w:val="4DE52F92"/>
    <w:rsid w:val="4DE777E6"/>
    <w:rsid w:val="4DED67BF"/>
    <w:rsid w:val="4E6DB298"/>
    <w:rsid w:val="4E7816D4"/>
    <w:rsid w:val="4EAFD821"/>
    <w:rsid w:val="4EBC0FDC"/>
    <w:rsid w:val="4EBE67B2"/>
    <w:rsid w:val="4F260F14"/>
    <w:rsid w:val="4F3374B4"/>
    <w:rsid w:val="4F3DFD49"/>
    <w:rsid w:val="4F4F65BB"/>
    <w:rsid w:val="4F582044"/>
    <w:rsid w:val="4F6036C3"/>
    <w:rsid w:val="4F7B626C"/>
    <w:rsid w:val="4FB60EB6"/>
    <w:rsid w:val="4FC9436C"/>
    <w:rsid w:val="4FD72B41"/>
    <w:rsid w:val="4FDEFC08"/>
    <w:rsid w:val="4FF36A56"/>
    <w:rsid w:val="4FF41F1D"/>
    <w:rsid w:val="4FFDC21F"/>
    <w:rsid w:val="4FFE1847"/>
    <w:rsid w:val="4FFF086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0D55E"/>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A3F4B"/>
    <w:rsid w:val="5BDC5203"/>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09A9F"/>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1FF8"/>
    <w:rsid w:val="5FFC636E"/>
    <w:rsid w:val="5FFDC5BE"/>
    <w:rsid w:val="5FFE2399"/>
    <w:rsid w:val="5FFF20F2"/>
    <w:rsid w:val="5FFF361C"/>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F957"/>
    <w:rsid w:val="6A1F4150"/>
    <w:rsid w:val="6A2D1CCF"/>
    <w:rsid w:val="6A7E092E"/>
    <w:rsid w:val="6A904237"/>
    <w:rsid w:val="6AB5277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4EDF"/>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DF893A"/>
    <w:rsid w:val="6FE71825"/>
    <w:rsid w:val="6FEB3409"/>
    <w:rsid w:val="6FF2EFD2"/>
    <w:rsid w:val="6FF55067"/>
    <w:rsid w:val="6FF70C7C"/>
    <w:rsid w:val="6FF736B6"/>
    <w:rsid w:val="6FFE666F"/>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E9CBF5"/>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BF22D7"/>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5A155"/>
    <w:rsid w:val="78FD9EBC"/>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11045E"/>
    <w:rsid w:val="7B211BE0"/>
    <w:rsid w:val="7B3604A3"/>
    <w:rsid w:val="7B64B9A8"/>
    <w:rsid w:val="7B77B281"/>
    <w:rsid w:val="7B7E3534"/>
    <w:rsid w:val="7B975221"/>
    <w:rsid w:val="7BA47726"/>
    <w:rsid w:val="7BB23E9F"/>
    <w:rsid w:val="7BBE7689"/>
    <w:rsid w:val="7BCA5CF9"/>
    <w:rsid w:val="7BCF053D"/>
    <w:rsid w:val="7BCFB8A0"/>
    <w:rsid w:val="7BDB8B1C"/>
    <w:rsid w:val="7BDE04C2"/>
    <w:rsid w:val="7BDF1B52"/>
    <w:rsid w:val="7BDFF045"/>
    <w:rsid w:val="7BE31AA1"/>
    <w:rsid w:val="7BE627E0"/>
    <w:rsid w:val="7BED0A2D"/>
    <w:rsid w:val="7BEF63A1"/>
    <w:rsid w:val="7BF2732B"/>
    <w:rsid w:val="7BF36A1C"/>
    <w:rsid w:val="7BF73FA3"/>
    <w:rsid w:val="7BF84618"/>
    <w:rsid w:val="7BF98F73"/>
    <w:rsid w:val="7BFBE961"/>
    <w:rsid w:val="7BFCCF9A"/>
    <w:rsid w:val="7BFD23BE"/>
    <w:rsid w:val="7BFDF46B"/>
    <w:rsid w:val="7BFF1252"/>
    <w:rsid w:val="7BFF33B1"/>
    <w:rsid w:val="7BFF4CBB"/>
    <w:rsid w:val="7BFFBEF3"/>
    <w:rsid w:val="7BFFD859"/>
    <w:rsid w:val="7BFFFB61"/>
    <w:rsid w:val="7C199E8E"/>
    <w:rsid w:val="7C1E4662"/>
    <w:rsid w:val="7C6FAC73"/>
    <w:rsid w:val="7C805BDF"/>
    <w:rsid w:val="7C960D11"/>
    <w:rsid w:val="7C9D15C7"/>
    <w:rsid w:val="7CBE8518"/>
    <w:rsid w:val="7CD09542"/>
    <w:rsid w:val="7CD51442"/>
    <w:rsid w:val="7CEC546D"/>
    <w:rsid w:val="7CF11320"/>
    <w:rsid w:val="7CF81A8E"/>
    <w:rsid w:val="7D4877F9"/>
    <w:rsid w:val="7D5F766F"/>
    <w:rsid w:val="7D772C0B"/>
    <w:rsid w:val="7D7F3FD0"/>
    <w:rsid w:val="7D804B82"/>
    <w:rsid w:val="7D841571"/>
    <w:rsid w:val="7D9E4DCD"/>
    <w:rsid w:val="7DB44617"/>
    <w:rsid w:val="7DB912C6"/>
    <w:rsid w:val="7DCFA9AF"/>
    <w:rsid w:val="7DEFDD4D"/>
    <w:rsid w:val="7DF55D84"/>
    <w:rsid w:val="7DF5E540"/>
    <w:rsid w:val="7DFE1CC6"/>
    <w:rsid w:val="7DFFD3A2"/>
    <w:rsid w:val="7E15D1C6"/>
    <w:rsid w:val="7E1861B4"/>
    <w:rsid w:val="7E1E6385"/>
    <w:rsid w:val="7E1FF0C7"/>
    <w:rsid w:val="7E3D5B49"/>
    <w:rsid w:val="7E3D6278"/>
    <w:rsid w:val="7E4F8CD2"/>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CA79"/>
    <w:rsid w:val="7F0B523C"/>
    <w:rsid w:val="7F1A2ADD"/>
    <w:rsid w:val="7F1FE4C4"/>
    <w:rsid w:val="7F2E9941"/>
    <w:rsid w:val="7F3F0374"/>
    <w:rsid w:val="7F3F48D2"/>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DC"/>
    <w:rsid w:val="7FBD3C31"/>
    <w:rsid w:val="7FBD6887"/>
    <w:rsid w:val="7FBF10A2"/>
    <w:rsid w:val="7FBF4759"/>
    <w:rsid w:val="7FC7B7AE"/>
    <w:rsid w:val="7FCB0E86"/>
    <w:rsid w:val="7FCDBC4D"/>
    <w:rsid w:val="7FCFE3A1"/>
    <w:rsid w:val="7FD7B55D"/>
    <w:rsid w:val="7FDA4A78"/>
    <w:rsid w:val="7FDBD71A"/>
    <w:rsid w:val="7FDE6D84"/>
    <w:rsid w:val="7FDF0F57"/>
    <w:rsid w:val="7FDF8A26"/>
    <w:rsid w:val="7FDF9583"/>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7C1E9"/>
    <w:rsid w:val="7FF9D75E"/>
    <w:rsid w:val="7FFA0210"/>
    <w:rsid w:val="7FFB1B1E"/>
    <w:rsid w:val="7FFB5EB7"/>
    <w:rsid w:val="7FFBE9D5"/>
    <w:rsid w:val="7FFCFDD1"/>
    <w:rsid w:val="7FFDC326"/>
    <w:rsid w:val="7FFDF859"/>
    <w:rsid w:val="7FFF3702"/>
    <w:rsid w:val="7FFF5AD3"/>
    <w:rsid w:val="7FFF895A"/>
    <w:rsid w:val="7FFFEDA8"/>
    <w:rsid w:val="7FFFFFF5"/>
    <w:rsid w:val="80FFD23B"/>
    <w:rsid w:val="87647AF8"/>
    <w:rsid w:val="8BAD3C64"/>
    <w:rsid w:val="8DFFD1AA"/>
    <w:rsid w:val="8F3E3382"/>
    <w:rsid w:val="8F7302B9"/>
    <w:rsid w:val="8FBB9A55"/>
    <w:rsid w:val="91DFE8F5"/>
    <w:rsid w:val="93DB74AF"/>
    <w:rsid w:val="97D71DFE"/>
    <w:rsid w:val="97EE5875"/>
    <w:rsid w:val="99ED0C9D"/>
    <w:rsid w:val="99FEE736"/>
    <w:rsid w:val="9A1E0A07"/>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F6BE78"/>
    <w:rsid w:val="9FFFBA19"/>
    <w:rsid w:val="9FFFF6C8"/>
    <w:rsid w:val="A4F29759"/>
    <w:rsid w:val="A56A5B4C"/>
    <w:rsid w:val="A5FD887E"/>
    <w:rsid w:val="A69E7D90"/>
    <w:rsid w:val="A798F561"/>
    <w:rsid w:val="A7F5298F"/>
    <w:rsid w:val="A9BFC9F1"/>
    <w:rsid w:val="A9FBD03D"/>
    <w:rsid w:val="ABF7DC2D"/>
    <w:rsid w:val="ABFFE5E5"/>
    <w:rsid w:val="AD6D9B49"/>
    <w:rsid w:val="ADFA5E98"/>
    <w:rsid w:val="AEAF57D7"/>
    <w:rsid w:val="AEBFBB0B"/>
    <w:rsid w:val="AEF841E1"/>
    <w:rsid w:val="AF3EBA8C"/>
    <w:rsid w:val="AF4E1E1B"/>
    <w:rsid w:val="AF5E2C0D"/>
    <w:rsid w:val="AF7D47ED"/>
    <w:rsid w:val="AFAEDFA2"/>
    <w:rsid w:val="AFBCBFC8"/>
    <w:rsid w:val="AFBDFB09"/>
    <w:rsid w:val="AFBF3CD1"/>
    <w:rsid w:val="AFBFB8AE"/>
    <w:rsid w:val="AFBFF267"/>
    <w:rsid w:val="AFF77C1E"/>
    <w:rsid w:val="AFFEB026"/>
    <w:rsid w:val="AFFEF838"/>
    <w:rsid w:val="AFFF15B6"/>
    <w:rsid w:val="B0CFD3B6"/>
    <w:rsid w:val="B1EE9627"/>
    <w:rsid w:val="B1F7F022"/>
    <w:rsid w:val="B3630DF1"/>
    <w:rsid w:val="B3DED562"/>
    <w:rsid w:val="B4CF5131"/>
    <w:rsid w:val="B4FACC98"/>
    <w:rsid w:val="B53E93B6"/>
    <w:rsid w:val="B5E54587"/>
    <w:rsid w:val="B5F597AE"/>
    <w:rsid w:val="B6F78BBC"/>
    <w:rsid w:val="B6FF2A8E"/>
    <w:rsid w:val="B6FF60FB"/>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6F8FE0"/>
    <w:rsid w:val="B9F7DB7E"/>
    <w:rsid w:val="B9FDF686"/>
    <w:rsid w:val="BABB2ACA"/>
    <w:rsid w:val="BB5D82F3"/>
    <w:rsid w:val="BB6D2A73"/>
    <w:rsid w:val="BB7916AC"/>
    <w:rsid w:val="BBB26A87"/>
    <w:rsid w:val="BBCF4FBF"/>
    <w:rsid w:val="BBDD7A8B"/>
    <w:rsid w:val="BBDEB2DA"/>
    <w:rsid w:val="BBDF3B74"/>
    <w:rsid w:val="BBFE9003"/>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F3A91C7"/>
    <w:rsid w:val="BF604D9D"/>
    <w:rsid w:val="BF6BD8BA"/>
    <w:rsid w:val="BF76AA92"/>
    <w:rsid w:val="BF76E7B0"/>
    <w:rsid w:val="BF793CE4"/>
    <w:rsid w:val="BF7DBCB1"/>
    <w:rsid w:val="BF7E4088"/>
    <w:rsid w:val="BF7F3C1C"/>
    <w:rsid w:val="BF9A05E5"/>
    <w:rsid w:val="BFA12AD0"/>
    <w:rsid w:val="BFB75766"/>
    <w:rsid w:val="BFBD201B"/>
    <w:rsid w:val="BFBD622E"/>
    <w:rsid w:val="BFBFCBD6"/>
    <w:rsid w:val="BFD788CC"/>
    <w:rsid w:val="BFDBC591"/>
    <w:rsid w:val="BFDC8098"/>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B339C4C"/>
    <w:rsid w:val="CB5FE9A0"/>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26837E"/>
    <w:rsid w:val="D73FAC7A"/>
    <w:rsid w:val="D7BBF31B"/>
    <w:rsid w:val="D7D5CC6F"/>
    <w:rsid w:val="D7DE753A"/>
    <w:rsid w:val="D7E09F42"/>
    <w:rsid w:val="D7FB59A0"/>
    <w:rsid w:val="D7FED8D0"/>
    <w:rsid w:val="D7FF672B"/>
    <w:rsid w:val="D7FFF9DF"/>
    <w:rsid w:val="D8A9D188"/>
    <w:rsid w:val="D8E16115"/>
    <w:rsid w:val="D9BD42E9"/>
    <w:rsid w:val="D9BE4408"/>
    <w:rsid w:val="DABFB485"/>
    <w:rsid w:val="DB2E96B1"/>
    <w:rsid w:val="DB99523A"/>
    <w:rsid w:val="DBBFC65C"/>
    <w:rsid w:val="DBCB3E80"/>
    <w:rsid w:val="DBD5E18D"/>
    <w:rsid w:val="DBDD1800"/>
    <w:rsid w:val="DBEA5FD9"/>
    <w:rsid w:val="DBF6C713"/>
    <w:rsid w:val="DBFAB6E2"/>
    <w:rsid w:val="DBFF2B01"/>
    <w:rsid w:val="DBFFB739"/>
    <w:rsid w:val="DC7FF3D4"/>
    <w:rsid w:val="DCBDD353"/>
    <w:rsid w:val="DCE9A5E8"/>
    <w:rsid w:val="DCEBD107"/>
    <w:rsid w:val="DCEFE6D6"/>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B73CC"/>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30972"/>
    <w:rsid w:val="DFFB4111"/>
    <w:rsid w:val="DFFBC7E1"/>
    <w:rsid w:val="DFFCACE0"/>
    <w:rsid w:val="DFFF2B5D"/>
    <w:rsid w:val="DFFF3928"/>
    <w:rsid w:val="DFFFB827"/>
    <w:rsid w:val="E17F3390"/>
    <w:rsid w:val="E1BDB81F"/>
    <w:rsid w:val="E1EF2A08"/>
    <w:rsid w:val="E2ED36E5"/>
    <w:rsid w:val="E5BFBD14"/>
    <w:rsid w:val="E5FD79EC"/>
    <w:rsid w:val="E69DB6F6"/>
    <w:rsid w:val="E6EEE5E3"/>
    <w:rsid w:val="E6FA0EAF"/>
    <w:rsid w:val="E6FF671B"/>
    <w:rsid w:val="E7BECC07"/>
    <w:rsid w:val="E7DAA805"/>
    <w:rsid w:val="E7DD1255"/>
    <w:rsid w:val="E7E8552A"/>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7E0D37"/>
    <w:rsid w:val="EBAD28DF"/>
    <w:rsid w:val="EBB6D35F"/>
    <w:rsid w:val="EBBF4A2E"/>
    <w:rsid w:val="EBBFAF58"/>
    <w:rsid w:val="EBD957CC"/>
    <w:rsid w:val="EBFBA9D6"/>
    <w:rsid w:val="EBFD03CE"/>
    <w:rsid w:val="EBFFD39E"/>
    <w:rsid w:val="EC75EFAF"/>
    <w:rsid w:val="EC7FA350"/>
    <w:rsid w:val="ECF1EE47"/>
    <w:rsid w:val="ECF3EF46"/>
    <w:rsid w:val="ED690673"/>
    <w:rsid w:val="ED7E040F"/>
    <w:rsid w:val="EDC312B6"/>
    <w:rsid w:val="EDDD8395"/>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9FD679"/>
    <w:rsid w:val="EFB99481"/>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899859"/>
    <w:rsid w:val="F2BF5C01"/>
    <w:rsid w:val="F2DCE203"/>
    <w:rsid w:val="F2FBA260"/>
    <w:rsid w:val="F32FE83B"/>
    <w:rsid w:val="F3723DB1"/>
    <w:rsid w:val="F3D7D169"/>
    <w:rsid w:val="F3EA0697"/>
    <w:rsid w:val="F3F2F550"/>
    <w:rsid w:val="F3F5BEE9"/>
    <w:rsid w:val="F3F8EE6C"/>
    <w:rsid w:val="F3FB14F0"/>
    <w:rsid w:val="F3FF05B4"/>
    <w:rsid w:val="F3FFD2DD"/>
    <w:rsid w:val="F4571BDB"/>
    <w:rsid w:val="F4BF339E"/>
    <w:rsid w:val="F4CF00A8"/>
    <w:rsid w:val="F57EA373"/>
    <w:rsid w:val="F5AB4465"/>
    <w:rsid w:val="F5AF1AAC"/>
    <w:rsid w:val="F5D6D416"/>
    <w:rsid w:val="F5EF5BA1"/>
    <w:rsid w:val="F5FFA048"/>
    <w:rsid w:val="F66E6811"/>
    <w:rsid w:val="F6BD85FF"/>
    <w:rsid w:val="F6F715DC"/>
    <w:rsid w:val="F6FC548F"/>
    <w:rsid w:val="F6FF0645"/>
    <w:rsid w:val="F70F4387"/>
    <w:rsid w:val="F75DEE87"/>
    <w:rsid w:val="F76FC34E"/>
    <w:rsid w:val="F77EAFBC"/>
    <w:rsid w:val="F79BF327"/>
    <w:rsid w:val="F7BB0BC8"/>
    <w:rsid w:val="F7BB5C28"/>
    <w:rsid w:val="F7BB7DA5"/>
    <w:rsid w:val="F7BF4B69"/>
    <w:rsid w:val="F7BFDD02"/>
    <w:rsid w:val="F7C640FC"/>
    <w:rsid w:val="F7D30B5E"/>
    <w:rsid w:val="F7D5FA45"/>
    <w:rsid w:val="F7DF177A"/>
    <w:rsid w:val="F7DFD18F"/>
    <w:rsid w:val="F7EF6B7F"/>
    <w:rsid w:val="F7EFD4DB"/>
    <w:rsid w:val="F7F7CC16"/>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FA94DA"/>
    <w:rsid w:val="F9FFCD8A"/>
    <w:rsid w:val="F9FFE9E2"/>
    <w:rsid w:val="FA2DB75D"/>
    <w:rsid w:val="FA673975"/>
    <w:rsid w:val="FA6F5FA1"/>
    <w:rsid w:val="FA6F7A3B"/>
    <w:rsid w:val="FA9F3B8F"/>
    <w:rsid w:val="FABB1ADF"/>
    <w:rsid w:val="FAFB5879"/>
    <w:rsid w:val="FAFFE8B1"/>
    <w:rsid w:val="FB0FA5A1"/>
    <w:rsid w:val="FB1B2E8B"/>
    <w:rsid w:val="FB5DDB87"/>
    <w:rsid w:val="FB5F7A41"/>
    <w:rsid w:val="FB6141D0"/>
    <w:rsid w:val="FB6DADAC"/>
    <w:rsid w:val="FB737713"/>
    <w:rsid w:val="FB7620CB"/>
    <w:rsid w:val="FBAD924E"/>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FF9E"/>
    <w:rsid w:val="FC2F7095"/>
    <w:rsid w:val="FC45570C"/>
    <w:rsid w:val="FC5D01CF"/>
    <w:rsid w:val="FC7390B6"/>
    <w:rsid w:val="FC7D08FF"/>
    <w:rsid w:val="FC7FC3C2"/>
    <w:rsid w:val="FCBD7C47"/>
    <w:rsid w:val="FCCAE4B4"/>
    <w:rsid w:val="FCEF4AA4"/>
    <w:rsid w:val="FCF3C0FF"/>
    <w:rsid w:val="FCFE3BF1"/>
    <w:rsid w:val="FCFFC7AA"/>
    <w:rsid w:val="FD1F198B"/>
    <w:rsid w:val="FD3D1E0E"/>
    <w:rsid w:val="FD5A3379"/>
    <w:rsid w:val="FD7F9963"/>
    <w:rsid w:val="FD9F4A15"/>
    <w:rsid w:val="FDAFF0EB"/>
    <w:rsid w:val="FDBD24B9"/>
    <w:rsid w:val="FDBE483E"/>
    <w:rsid w:val="FDCBF945"/>
    <w:rsid w:val="FDDF292B"/>
    <w:rsid w:val="FDE47190"/>
    <w:rsid w:val="FDEB5CB7"/>
    <w:rsid w:val="FDEB6716"/>
    <w:rsid w:val="FDEF2A04"/>
    <w:rsid w:val="FDF399A8"/>
    <w:rsid w:val="FDF97ECA"/>
    <w:rsid w:val="FDFD1D0F"/>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EF0ED8"/>
    <w:rsid w:val="FEF608EA"/>
    <w:rsid w:val="FEF7D53C"/>
    <w:rsid w:val="FEF99CBF"/>
    <w:rsid w:val="FEFC12E3"/>
    <w:rsid w:val="FEFEA587"/>
    <w:rsid w:val="FEFF7BD4"/>
    <w:rsid w:val="FEFFF566"/>
    <w:rsid w:val="FF1E1442"/>
    <w:rsid w:val="FF3D390A"/>
    <w:rsid w:val="FF3E59B5"/>
    <w:rsid w:val="FF4FE9F1"/>
    <w:rsid w:val="FF5B8D7F"/>
    <w:rsid w:val="FF5D1F29"/>
    <w:rsid w:val="FF659D82"/>
    <w:rsid w:val="FF660C39"/>
    <w:rsid w:val="FF6BA83A"/>
    <w:rsid w:val="FF6C3765"/>
    <w:rsid w:val="FF6FB5D7"/>
    <w:rsid w:val="FF738773"/>
    <w:rsid w:val="FF75DB73"/>
    <w:rsid w:val="FF76FAD4"/>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CC349"/>
    <w:rsid w:val="FFBD8E1E"/>
    <w:rsid w:val="FFBEB8C7"/>
    <w:rsid w:val="FFBF0390"/>
    <w:rsid w:val="FFBFE7B9"/>
    <w:rsid w:val="FFC3DDC0"/>
    <w:rsid w:val="FFC7C6F9"/>
    <w:rsid w:val="FFCC2759"/>
    <w:rsid w:val="FFCE4F99"/>
    <w:rsid w:val="FFCF23F3"/>
    <w:rsid w:val="FFCF688E"/>
    <w:rsid w:val="FFCF6C60"/>
    <w:rsid w:val="FFD34341"/>
    <w:rsid w:val="FFD51B27"/>
    <w:rsid w:val="FFD55392"/>
    <w:rsid w:val="FFD6EC9F"/>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7B4"/>
    <w:rsid w:val="FFFB2B15"/>
    <w:rsid w:val="FFFBAE4E"/>
    <w:rsid w:val="FFFD5F2A"/>
    <w:rsid w:val="FFFD8BDA"/>
    <w:rsid w:val="FFFDC7E6"/>
    <w:rsid w:val="FFFDDB9B"/>
    <w:rsid w:val="FFFE0AE4"/>
    <w:rsid w:val="FFFE5B9E"/>
    <w:rsid w:val="FFFEAABD"/>
    <w:rsid w:val="FFFECC37"/>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6">
    <w:name w:val="heading 3"/>
    <w:basedOn w:val="1"/>
    <w:next w:val="1"/>
    <w:qFormat/>
    <w:uiPriority w:val="9"/>
    <w:pPr>
      <w:keepNext/>
      <w:keepLines/>
      <w:spacing w:before="260" w:after="260" w:line="416" w:lineRule="auto"/>
      <w:outlineLvl w:val="2"/>
    </w:pPr>
    <w:rPr>
      <w:bCs/>
      <w:szCs w:val="32"/>
    </w:rPr>
  </w:style>
  <w:style w:type="paragraph" w:styleId="7">
    <w:name w:val="heading 4"/>
    <w:basedOn w:val="1"/>
    <w:next w:val="1"/>
    <w:qFormat/>
    <w:uiPriority w:val="0"/>
    <w:pPr>
      <w:keepNext/>
      <w:keepLines/>
      <w:numPr>
        <w:ilvl w:val="3"/>
        <w:numId w:val="1"/>
      </w:numPr>
      <w:tabs>
        <w:tab w:val="left" w:pos="1726"/>
        <w:tab w:val="clear" w:pos="850"/>
      </w:tabs>
      <w:ind w:firstLineChars="0"/>
      <w:jc w:val="left"/>
      <w:outlineLvl w:val="3"/>
    </w:pPr>
    <w:rPr>
      <w:rFonts w:hAnsi="Arial"/>
      <w:bCs/>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line="460" w:lineRule="exact"/>
      <w:ind w:firstLine="600" w:firstLineChars="200"/>
    </w:pPr>
    <w:rPr>
      <w:rFonts w:ascii="仿宋_GB2312" w:hAnsi="宋体" w:eastAsia="仿宋_GB2312"/>
      <w:sz w:val="30"/>
      <w:szCs w:val="28"/>
    </w:rPr>
  </w:style>
  <w:style w:type="paragraph" w:styleId="3">
    <w:name w:val="Body Text First Indent 2"/>
    <w:basedOn w:val="1"/>
    <w:next w:val="1"/>
    <w:unhideWhenUsed/>
    <w:qFormat/>
    <w:uiPriority w:val="0"/>
    <w:pPr>
      <w:spacing w:after="120" w:line="240" w:lineRule="auto"/>
      <w:ind w:left="420" w:leftChars="200" w:firstLine="420"/>
    </w:pPr>
  </w:style>
  <w:style w:type="paragraph" w:styleId="8">
    <w:name w:val="annotation text"/>
    <w:basedOn w:val="1"/>
    <w:link w:val="26"/>
    <w:qFormat/>
    <w:uiPriority w:val="0"/>
    <w:pPr>
      <w:jc w:val="left"/>
    </w:pPr>
  </w:style>
  <w:style w:type="paragraph" w:styleId="9">
    <w:name w:val="Body Text"/>
    <w:basedOn w:val="1"/>
    <w:next w:val="1"/>
    <w:qFormat/>
    <w:uiPriority w:val="0"/>
    <w:pPr>
      <w:spacing w:after="120"/>
    </w:pPr>
  </w:style>
  <w:style w:type="paragraph" w:styleId="10">
    <w:name w:val="Body Text Indent"/>
    <w:basedOn w:val="1"/>
    <w:next w:val="2"/>
    <w:qFormat/>
    <w:uiPriority w:val="0"/>
    <w:pPr>
      <w:spacing w:line="480" w:lineRule="exact"/>
      <w:ind w:firstLine="480" w:firstLineChars="200"/>
    </w:pPr>
    <w:rPr>
      <w:rFonts w:ascii="宋体" w:hAnsi="宋体"/>
      <w:color w:val="FF0000"/>
      <w:kern w:val="0"/>
      <w:sz w:val="24"/>
    </w:rPr>
  </w:style>
  <w:style w:type="paragraph" w:styleId="11">
    <w:name w:val="Plain Text"/>
    <w:basedOn w:val="1"/>
    <w:unhideWhenUsed/>
    <w:qFormat/>
    <w:uiPriority w:val="99"/>
    <w:rPr>
      <w:rFonts w:ascii="宋体" w:hAnsi="Courier New" w:cs="Courier New"/>
    </w:rPr>
  </w:style>
  <w:style w:type="paragraph" w:styleId="12">
    <w:name w:val="Balloon Text"/>
    <w:basedOn w:val="1"/>
    <w:link w:val="28"/>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Normal (Web)"/>
    <w:basedOn w:val="1"/>
    <w:qFormat/>
    <w:uiPriority w:val="0"/>
    <w:pPr>
      <w:jc w:val="left"/>
    </w:pPr>
    <w:rPr>
      <w:rFonts w:cs="Times New Roman"/>
      <w:kern w:val="0"/>
      <w:sz w:val="24"/>
    </w:rPr>
  </w:style>
  <w:style w:type="paragraph" w:styleId="16">
    <w:name w:val="annotation subject"/>
    <w:basedOn w:val="8"/>
    <w:next w:val="8"/>
    <w:link w:val="27"/>
    <w:qFormat/>
    <w:uiPriority w:val="0"/>
    <w:rPr>
      <w:b/>
      <w:bCs/>
    </w:rPr>
  </w:style>
  <w:style w:type="paragraph" w:styleId="17">
    <w:name w:val="Body Text First Indent"/>
    <w:basedOn w:val="9"/>
    <w:unhideWhenUsed/>
    <w:qFormat/>
    <w:uiPriority w:val="99"/>
    <w:pPr>
      <w:spacing w:after="120"/>
      <w:ind w:firstLine="420" w:firstLineChars="100"/>
    </w:pPr>
    <w:rPr>
      <w:rFonts w:ascii="Calibri" w:hAnsi="Calibri" w:eastAsia="宋体" w:cs="Times New Roman"/>
      <w:szCs w:val="22"/>
    </w:rPr>
  </w:style>
  <w:style w:type="character" w:styleId="20">
    <w:name w:val="annotation reference"/>
    <w:basedOn w:val="19"/>
    <w:qFormat/>
    <w:uiPriority w:val="0"/>
    <w:rPr>
      <w:sz w:val="21"/>
      <w:szCs w:val="21"/>
    </w:rPr>
  </w:style>
  <w:style w:type="paragraph" w:customStyle="1" w:styleId="21">
    <w:name w:val="Default1"/>
    <w:basedOn w:val="22"/>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2">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3">
    <w:name w:val="样式 标题 2"/>
    <w:basedOn w:val="5"/>
    <w:next w:val="21"/>
    <w:qFormat/>
    <w:uiPriority w:val="0"/>
    <w:pPr>
      <w:spacing w:before="50" w:after="50"/>
    </w:pPr>
    <w:rPr>
      <w:szCs w:val="28"/>
    </w:rPr>
  </w:style>
  <w:style w:type="paragraph" w:customStyle="1" w:styleId="24">
    <w:name w:val="Default"/>
    <w:basedOn w:val="25"/>
    <w:next w:val="3"/>
    <w:qFormat/>
    <w:uiPriority w:val="0"/>
    <w:pPr>
      <w:autoSpaceDE w:val="0"/>
      <w:autoSpaceDN w:val="0"/>
      <w:adjustRightInd w:val="0"/>
    </w:pPr>
    <w:rPr>
      <w:rFonts w:ascii="仿宋_GB2312" w:eastAsia="仿宋_GB2312" w:cs="仿宋_GB2312"/>
      <w:sz w:val="24"/>
    </w:rPr>
  </w:style>
  <w:style w:type="paragraph" w:customStyle="1" w:styleId="25">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26">
    <w:name w:val="批注文字 Char"/>
    <w:basedOn w:val="19"/>
    <w:link w:val="8"/>
    <w:qFormat/>
    <w:uiPriority w:val="0"/>
    <w:rPr>
      <w:kern w:val="2"/>
      <w:sz w:val="21"/>
      <w:szCs w:val="24"/>
    </w:rPr>
  </w:style>
  <w:style w:type="character" w:customStyle="1" w:styleId="27">
    <w:name w:val="批注主题 Char"/>
    <w:basedOn w:val="26"/>
    <w:link w:val="16"/>
    <w:qFormat/>
    <w:uiPriority w:val="0"/>
    <w:rPr>
      <w:b/>
      <w:bCs/>
      <w:kern w:val="2"/>
      <w:sz w:val="21"/>
      <w:szCs w:val="24"/>
    </w:rPr>
  </w:style>
  <w:style w:type="character" w:customStyle="1" w:styleId="28">
    <w:name w:val="批注框文本 Char"/>
    <w:basedOn w:val="19"/>
    <w:link w:val="12"/>
    <w:qFormat/>
    <w:uiPriority w:val="0"/>
    <w:rPr>
      <w:kern w:val="2"/>
      <w:sz w:val="18"/>
      <w:szCs w:val="18"/>
    </w:rPr>
  </w:style>
  <w:style w:type="paragraph" w:customStyle="1" w:styleId="29">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0">
    <w:name w:val="List Paragraph"/>
    <w:basedOn w:val="1"/>
    <w:unhideWhenUsed/>
    <w:qFormat/>
    <w:uiPriority w:val="99"/>
    <w:pPr>
      <w:ind w:firstLine="420" w:firstLineChars="200"/>
    </w:pPr>
  </w:style>
  <w:style w:type="paragraph" w:customStyle="1" w:styleId="31">
    <w:name w:val="A0正文"/>
    <w:basedOn w:val="1"/>
    <w:qFormat/>
    <w:uiPriority w:val="0"/>
    <w:pPr>
      <w:spacing w:line="560" w:lineRule="exact"/>
      <w:ind w:firstLine="200" w:firstLineChars="200"/>
    </w:pPr>
    <w:rPr>
      <w:sz w:val="24"/>
      <w:szCs w:val="20"/>
      <w:lang w:val="zh-CN"/>
    </w:rPr>
  </w:style>
  <w:style w:type="paragraph" w:customStyle="1" w:styleId="32">
    <w:name w:val="小四+首行缩进"/>
    <w:basedOn w:val="1"/>
    <w:qFormat/>
    <w:uiPriority w:val="0"/>
    <w:pPr>
      <w:spacing w:line="360" w:lineRule="auto"/>
      <w:ind w:firstLine="482"/>
    </w:pPr>
    <w:rPr>
      <w:rFonts w:ascii="宋体" w:hAnsi="宋体"/>
      <w:kern w:val="0"/>
      <w:sz w:val="24"/>
    </w:rPr>
  </w:style>
  <w:style w:type="paragraph" w:customStyle="1" w:styleId="33">
    <w:name w:val="ZH正文"/>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1</Pages>
  <Words>558</Words>
  <Characters>3183</Characters>
  <Lines>26</Lines>
  <Paragraphs>7</Paragraphs>
  <TotalTime>4</TotalTime>
  <ScaleCrop>false</ScaleCrop>
  <LinksUpToDate>false</LinksUpToDate>
  <CharactersWithSpaces>3734</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2022-03-07T09:25:00Z</dcterms:created>
  <dc:creator>Administrator</dc:creator>
  <cp:lastModifiedBy>admin123</cp:lastModifiedBy>
  <cp:lastPrinted>2023-03-09T09:00:37Z</cp:lastPrinted>
  <dcterms:modified xsi:type="dcterms:W3CDTF">2023-03-09T09:00:40Z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FCBE9B4CC0E04C92A70FAB8A4987C073</vt:lpwstr>
  </property>
</Properties>
</file>