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w:t>
      </w:r>
      <w:r>
        <w:rPr>
          <w:rFonts w:hint="default"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20</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spacing w:line="52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关于</w:t>
      </w:r>
      <w:r>
        <w:rPr>
          <w:rFonts w:hint="eastAsia" w:ascii="方正小标宋简体" w:hAnsi="方正小标宋简体" w:eastAsia="方正小标宋简体" w:cs="方正小标宋简体"/>
          <w:bCs/>
          <w:sz w:val="44"/>
          <w:szCs w:val="44"/>
          <w:lang w:val="en-US" w:eastAsia="zh-CN"/>
        </w:rPr>
        <w:t>江西瑞雅药业有限公司年产807吨医药</w:t>
      </w:r>
    </w:p>
    <w:p>
      <w:pPr>
        <w:spacing w:line="520" w:lineRule="exact"/>
        <w:jc w:val="center"/>
        <w:rPr>
          <w:rFonts w:ascii="方正小标宋简体" w:hAnsi="宋体" w:eastAsia="方正小标宋简体"/>
          <w:w w:val="95"/>
          <w:sz w:val="44"/>
          <w:szCs w:val="44"/>
        </w:rPr>
      </w:pPr>
      <w:r>
        <w:rPr>
          <w:rFonts w:hint="eastAsia" w:ascii="方正小标宋简体" w:hAnsi="方正小标宋简体" w:eastAsia="方正小标宋简体" w:cs="方正小标宋简体"/>
          <w:bCs/>
          <w:sz w:val="44"/>
          <w:szCs w:val="44"/>
          <w:lang w:val="en-US" w:eastAsia="zh-CN"/>
        </w:rPr>
        <w:t>中间体技术改造项目</w:t>
      </w:r>
      <w:r>
        <w:rPr>
          <w:rFonts w:hint="eastAsia" w:ascii="方正小标宋简体" w:hAnsi="宋体" w:eastAsia="方正小标宋简体"/>
          <w:w w:val="95"/>
          <w:sz w:val="44"/>
          <w:szCs w:val="44"/>
        </w:rPr>
        <w:t>环境影响报告书的批复</w:t>
      </w:r>
    </w:p>
    <w:p>
      <w:pPr>
        <w:keepNext w:val="0"/>
        <w:keepLines w:val="0"/>
        <w:pageBreakBefore w:val="0"/>
        <w:widowControl w:val="0"/>
        <w:kinsoku/>
        <w:wordWrap/>
        <w:overflowPunct/>
        <w:topLinePunct w:val="0"/>
        <w:autoSpaceDE w:val="0"/>
        <w:autoSpaceDN/>
        <w:bidi w:val="0"/>
        <w:spacing w:line="560" w:lineRule="exact"/>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20" w:lineRule="exact"/>
        <w:textAlignment w:val="auto"/>
        <w:rPr>
          <w:rFonts w:hint="eastAsia" w:ascii="仿宋_GB2312" w:hAnsi="仿宋_GB2312" w:eastAsia="仿宋_GB2312" w:cs="仿宋_GB2312"/>
          <w:b w:val="0"/>
          <w:bCs/>
          <w:snapToGrid w:val="0"/>
          <w:color w:val="auto"/>
          <w:sz w:val="32"/>
          <w:szCs w:val="32"/>
          <w:lang w:val="en-US" w:eastAsia="zh-CN"/>
        </w:rPr>
      </w:pPr>
      <w:r>
        <w:rPr>
          <w:rFonts w:hint="eastAsia" w:ascii="仿宋_GB2312" w:hAnsi="仿宋_GB2312" w:eastAsia="仿宋_GB2312" w:cs="仿宋_GB2312"/>
          <w:b w:val="0"/>
          <w:bCs/>
          <w:snapToGrid w:val="0"/>
          <w:color w:val="auto"/>
          <w:sz w:val="32"/>
          <w:szCs w:val="32"/>
          <w:lang w:val="en-US" w:eastAsia="zh-CN"/>
        </w:rPr>
        <w:t>江西瑞雅药业有限公司：</w:t>
      </w:r>
    </w:p>
    <w:p>
      <w:pPr>
        <w:keepNext w:val="0"/>
        <w:keepLines w:val="0"/>
        <w:pageBreakBefore w:val="0"/>
        <w:widowControl w:val="0"/>
        <w:kinsoku/>
        <w:wordWrap/>
        <w:overflowPunct/>
        <w:topLinePunct w:val="0"/>
        <w:autoSpaceDN/>
        <w:bidi w:val="0"/>
        <w:spacing w:line="520" w:lineRule="exact"/>
        <w:jc w:val="left"/>
        <w:textAlignment w:val="auto"/>
        <w:rPr>
          <w:rFonts w:ascii="仿宋_GB2312" w:hAnsi="仿宋" w:eastAsia="仿宋_GB2312" w:cs="仿宋"/>
          <w:color w:val="auto"/>
          <w:sz w:val="32"/>
          <w:szCs w:val="32"/>
        </w:rPr>
      </w:pPr>
      <w:r>
        <w:rPr>
          <w:rFonts w:hint="default" w:ascii="仿宋_GB2312" w:hAnsi="仿宋" w:eastAsia="仿宋_GB2312" w:cs="仿宋"/>
          <w:color w:val="auto"/>
          <w:sz w:val="32"/>
          <w:szCs w:val="32"/>
          <w:lang w:val="en-US"/>
        </w:rPr>
        <w:t xml:space="preserve">    </w:t>
      </w:r>
      <w:r>
        <w:rPr>
          <w:rFonts w:hint="eastAsia" w:ascii="仿宋_GB2312" w:hAnsi="仿宋" w:eastAsia="仿宋_GB2312" w:cs="仿宋"/>
          <w:color w:val="auto"/>
          <w:sz w:val="32"/>
          <w:szCs w:val="32"/>
        </w:rPr>
        <w:t>你公司</w:t>
      </w:r>
      <w:r>
        <w:rPr>
          <w:rFonts w:hint="eastAsia" w:ascii="仿宋_GB2312" w:hAnsi="仿宋" w:eastAsia="仿宋_GB2312" w:cs="仿宋"/>
          <w:color w:val="auto"/>
          <w:sz w:val="32"/>
          <w:szCs w:val="32"/>
          <w:lang w:eastAsia="zh-CN"/>
        </w:rPr>
        <w:t>《关于请求审批</w:t>
      </w:r>
      <w:r>
        <w:rPr>
          <w:rFonts w:hint="eastAsia" w:ascii="仿宋_GB2312" w:hAnsi="仿宋" w:eastAsia="仿宋_GB2312" w:cs="仿宋"/>
          <w:color w:val="auto"/>
          <w:sz w:val="32"/>
          <w:szCs w:val="32"/>
          <w:lang w:val="en-US" w:eastAsia="zh-CN"/>
        </w:rPr>
        <w:t>〈江西瑞雅药业有限公司年产807吨医药中间体技术改造项目</w:t>
      </w:r>
      <w:r>
        <w:rPr>
          <w:rFonts w:hint="eastAsia" w:ascii="仿宋_GB2312" w:hAnsi="仿宋" w:eastAsia="仿宋_GB2312" w:cs="仿宋"/>
          <w:color w:val="auto"/>
          <w:sz w:val="32"/>
          <w:szCs w:val="32"/>
          <w:lang w:eastAsia="zh-CN"/>
        </w:rPr>
        <w:t>环境影响报告书〉的</w:t>
      </w:r>
      <w:r>
        <w:rPr>
          <w:rFonts w:hint="eastAsia" w:ascii="仿宋_GB2312" w:hAnsi="仿宋" w:eastAsia="仿宋_GB2312" w:cs="仿宋"/>
          <w:color w:val="auto"/>
          <w:sz w:val="32"/>
          <w:szCs w:val="32"/>
        </w:rPr>
        <w:t>请示》以及相关资料收悉，经研究，批复如下：</w:t>
      </w:r>
    </w:p>
    <w:p>
      <w:pPr>
        <w:keepNext w:val="0"/>
        <w:keepLines w:val="0"/>
        <w:pageBreakBefore w:val="0"/>
        <w:widowControl w:val="0"/>
        <w:kinsoku/>
        <w:wordWrap/>
        <w:overflowPunct/>
        <w:topLinePunct w:val="0"/>
        <w:autoSpaceDN/>
        <w:bidi w:val="0"/>
        <w:adjustRightInd/>
        <w:snapToGrid/>
        <w:spacing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黑体" w:hAnsi="黑体" w:eastAsia="黑体"/>
          <w:color w:val="auto"/>
          <w:kern w:val="0"/>
          <w:sz w:val="32"/>
          <w:szCs w:val="32"/>
        </w:rPr>
        <w:t>一、项目建设内容及批复意见</w:t>
      </w:r>
    </w:p>
    <w:p>
      <w:pPr>
        <w:pStyle w:val="39"/>
        <w:keepNext w:val="0"/>
        <w:keepLines w:val="0"/>
        <w:pageBreakBefore w:val="0"/>
        <w:widowControl w:val="0"/>
        <w:kinsoku/>
        <w:wordWrap/>
        <w:overflowPunct/>
        <w:topLinePunct w:val="0"/>
        <w:autoSpaceDE/>
        <w:autoSpaceDN/>
        <w:bidi w:val="0"/>
        <w:spacing w:line="520" w:lineRule="exact"/>
        <w:ind w:firstLine="640"/>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江西瑞雅药业有限公司年产807吨医药中间体技术改造项目拟建于江西上高高新技术产业园黄金堆化工集中区、现有厂区范围内，厂区中心地理位置坐标为东经115°0′35.535″、北纬28°16′1.607″,全厂占地面积约52.57亩。</w:t>
      </w:r>
    </w:p>
    <w:p>
      <w:pPr>
        <w:pStyle w:val="39"/>
        <w:keepNext w:val="0"/>
        <w:keepLines w:val="0"/>
        <w:pageBreakBefore w:val="0"/>
        <w:widowControl w:val="0"/>
        <w:kinsoku/>
        <w:wordWrap/>
        <w:overflowPunct/>
        <w:topLinePunct w:val="0"/>
        <w:autoSpaceDE/>
        <w:autoSpaceDN/>
        <w:bidi w:val="0"/>
        <w:spacing w:line="520" w:lineRule="exact"/>
        <w:ind w:firstLine="640"/>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本项目为技改项目，主要对现有产品进行优化升级和新增部分医药中间体产品，以及对部分环保、公辅工程进行提升改造。本次技改内容主要包括：（1）对现有产品进行调整，现有产品HEEP由240t/a减产至110t/a、DPA由300t/a减产至40t/a、40t/a CTP不再生产；对现有产品150t/a DAPP进行工艺升级，产能保持不变；其它产品产能及工艺均保持不变；本次技改共计减产医药中间体430t/a，技改后保留现有医药中间体产品377t/a。（2）新增430t/a新产品，包括：3t/aTDZ、3t/aBCCP、25t/a新冠三五环、25t/a新冠五元环、10t/a氘代溴苯、50t/a3-溴吡啶、50t/aBZF、50t/a7-AVCA、60t/aBPOX、60t/a CPT-8、40t/aFCA、50t/aCPT-5、1t/aPM、3t/aPWS等医药及化工中间体产品。（3）本次技改将101车间技改为丙类仓库，102、103、104车间依托原有的生产车间进行技改；贮运工程包括甲类仓库一、甲类仓库二、乙类仓库、丙类仓库、酸碱罐区、甲类埋地罐区，均依托原有工程进行技改，新建1座占地面积为250m2的液氮罐区和1座208丙类仓库。</w:t>
      </w:r>
    </w:p>
    <w:p>
      <w:pPr>
        <w:pStyle w:val="39"/>
        <w:keepNext w:val="0"/>
        <w:keepLines w:val="0"/>
        <w:pageBreakBefore w:val="0"/>
        <w:kinsoku/>
        <w:wordWrap/>
        <w:overflowPunct/>
        <w:topLinePunct w:val="0"/>
        <w:autoSpaceDE/>
        <w:autoSpaceDN/>
        <w:bidi w:val="0"/>
        <w:spacing w:line="520" w:lineRule="exact"/>
        <w:ind w:firstLine="640"/>
        <w:textAlignment w:val="auto"/>
        <w:rPr>
          <w:rFonts w:hint="default"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主要建设内容：主体工程包括依托现有101车间技改为丙类仓库，依托现有102车间、103车间、104车间进行技改调整产品生产线；贮运工程包括依托现有甲类仓库一、甲类仓库二、乙类仓库、丙类仓库、酸碱罐区、甲类埋地罐区，新建1座液氮储罐区、1座208丙类仓库；公用工程包括依托现有供排水工程、供电工程、供气工程、冷冻站、制氮间、冷却水循环系统、软水系统、锅炉房、综合楼、公用工程楼、控制室、五金仓库、循环（消防）水池等；环保工程包括依托现有车间废气预处理措施、含氢废气处理系统、综合废气处理措施、污水处理系统、事故应急池、危险废物暂存间、一般固废暂存间等。</w:t>
      </w:r>
    </w:p>
    <w:p>
      <w:pPr>
        <w:pStyle w:val="40"/>
        <w:keepNext w:val="0"/>
        <w:keepLines w:val="0"/>
        <w:pageBreakBefore w:val="0"/>
        <w:kinsoku/>
        <w:wordWrap/>
        <w:overflowPunct/>
        <w:topLinePunct w:val="0"/>
        <w:autoSpaceDE/>
        <w:autoSpaceDN/>
        <w:bidi w:val="0"/>
        <w:spacing w:line="520" w:lineRule="exact"/>
        <w:ind w:firstLine="640"/>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本项目总投资9000万，其中环保投资740万元，占总投资8.2%。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你公司应全面落实《江西瑞雅药业有限公司年产807吨医药中间体技术改造项目环境影响报告书》（以下简称《报告书》）、《江西瑞雅药业有限公司年产807吨医药中间体技术改造项目环境影响报告书评估意见》（以下简称《评估意见》）提出的各项污染防治措施以及环境风险防范措施和有关承诺要求，缓解和控制不利环境影响。从环境保护角度我局原则同意《报告书》中所列工程性质、地点、规模、生产工艺和环境保护对策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b w:val="0"/>
          <w:bCs/>
          <w:snapToGrid w:val="0"/>
          <w:color w:val="auto"/>
          <w:sz w:val="32"/>
          <w:szCs w:val="32"/>
          <w:lang w:val="en-US" w:eastAsia="zh-CN"/>
        </w:rPr>
      </w:pPr>
      <w:r>
        <w:rPr>
          <w:rFonts w:hint="eastAsia" w:ascii="方正黑体_GBK" w:hAnsi="方正黑体_GBK" w:eastAsia="方正黑体_GBK" w:cs="方正黑体_GBK"/>
          <w:color w:val="auto"/>
          <w:sz w:val="32"/>
          <w:szCs w:val="32"/>
          <w:lang w:val="en-US" w:eastAsia="zh-CN"/>
        </w:rPr>
        <w:t xml:space="preserve"> </w:t>
      </w:r>
      <w:r>
        <w:rPr>
          <w:rFonts w:hint="eastAsia" w:ascii="黑体" w:hAnsi="黑体" w:eastAsia="黑体"/>
          <w:color w:val="auto"/>
          <w:kern w:val="0"/>
          <w:sz w:val="32"/>
          <w:szCs w:val="32"/>
          <w:lang w:val="en-US" w:eastAsia="zh-CN"/>
        </w:rPr>
        <w:t>二、污染防治措施及要求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项目在工程设计、建设和生产过程中必须认真落实《报告书》和《评估意见》提出的各项环保要求，重点做好以下几项工作：</w:t>
      </w:r>
    </w:p>
    <w:p>
      <w:pPr>
        <w:pStyle w:val="41"/>
        <w:keepNext w:val="0"/>
        <w:keepLines w:val="0"/>
        <w:pageBreakBefore w:val="0"/>
        <w:numPr>
          <w:ilvl w:val="0"/>
          <w:numId w:val="0"/>
        </w:numPr>
        <w:kinsoku/>
        <w:wordWrap/>
        <w:overflowPunct/>
        <w:topLinePunct w:val="0"/>
        <w:autoSpaceDE/>
        <w:autoSpaceDN/>
        <w:bidi w:val="0"/>
        <w:spacing w:line="52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 w:val="0"/>
          <w:bCs/>
          <w:snapToGrid w:val="0"/>
          <w:color w:val="auto"/>
          <w:sz w:val="32"/>
          <w:szCs w:val="32"/>
          <w:lang w:val="en-US" w:eastAsia="zh-CN"/>
        </w:rPr>
        <w:t>（一）严格落实水污染防治措施</w:t>
      </w:r>
      <w:r>
        <w:rPr>
          <w:rFonts w:hint="eastAsia" w:ascii="仿宋_GB2312" w:hAnsi="仿宋_GB2312" w:eastAsia="仿宋_GB2312" w:cs="仿宋_GB2312"/>
          <w:b w:val="0"/>
          <w:bCs/>
          <w:snapToGrid w:val="0"/>
          <w:color w:val="auto"/>
          <w:sz w:val="32"/>
          <w:szCs w:val="32"/>
          <w:lang w:val="en-US" w:eastAsia="zh-CN"/>
        </w:rPr>
        <w:t>。按照“清污分流、雨污分流、分质处理、一水多用”原则，合理制定废水收集、处理方案。</w:t>
      </w:r>
      <w:r>
        <w:rPr>
          <w:rFonts w:hint="eastAsia" w:ascii="仿宋_GB2312" w:hAnsi="仿宋_GB2312" w:eastAsia="仿宋_GB2312"/>
          <w:bCs/>
          <w:color w:val="auto"/>
          <w:sz w:val="32"/>
          <w:szCs w:val="32"/>
        </w:rPr>
        <w:t>本项目废水主要</w:t>
      </w:r>
      <w:r>
        <w:rPr>
          <w:rFonts w:hint="eastAsia" w:ascii="仿宋_GB2312" w:hAnsi="仿宋_GB2312" w:eastAsia="仿宋_GB2312"/>
          <w:bCs/>
          <w:color w:val="auto"/>
          <w:sz w:val="32"/>
          <w:szCs w:val="32"/>
          <w:lang w:eastAsia="zh-CN"/>
        </w:rPr>
        <w:t>包括工艺</w:t>
      </w:r>
      <w:r>
        <w:rPr>
          <w:rFonts w:hint="eastAsia" w:ascii="仿宋_GB2312" w:hAnsi="仿宋_GB2312" w:eastAsia="仿宋_GB2312"/>
          <w:bCs/>
          <w:color w:val="auto"/>
          <w:sz w:val="32"/>
          <w:szCs w:val="32"/>
        </w:rPr>
        <w:t>废水、设备清洗废水、地面冲洗废水、真空泵废水、</w:t>
      </w:r>
      <w:r>
        <w:rPr>
          <w:rFonts w:hint="eastAsia" w:ascii="仿宋_GB2312" w:hAnsi="仿宋_GB2312" w:eastAsia="仿宋_GB2312"/>
          <w:bCs/>
          <w:color w:val="auto"/>
          <w:sz w:val="32"/>
          <w:szCs w:val="32"/>
          <w:lang w:val="en-US" w:eastAsia="zh-CN"/>
        </w:rPr>
        <w:t>实验室废水</w:t>
      </w:r>
      <w:r>
        <w:rPr>
          <w:rFonts w:hint="eastAsia" w:ascii="仿宋_GB2312" w:hAnsi="仿宋_GB2312" w:eastAsia="仿宋_GB2312"/>
          <w:bCs/>
          <w:color w:val="auto"/>
          <w:sz w:val="32"/>
          <w:szCs w:val="32"/>
          <w:lang w:eastAsia="zh-CN"/>
        </w:rPr>
        <w:t>、尾气吸收</w:t>
      </w:r>
      <w:r>
        <w:rPr>
          <w:rFonts w:hint="eastAsia" w:ascii="仿宋_GB2312" w:hAnsi="仿宋_GB2312" w:eastAsia="仿宋_GB2312"/>
          <w:bCs/>
          <w:color w:val="auto"/>
          <w:sz w:val="32"/>
          <w:szCs w:val="32"/>
        </w:rPr>
        <w:t>废水、</w:t>
      </w:r>
      <w:r>
        <w:rPr>
          <w:rFonts w:hint="eastAsia" w:ascii="仿宋_GB2312" w:hAnsi="仿宋_GB2312" w:eastAsia="仿宋_GB2312" w:cs="仿宋_GB2312"/>
          <w:bCs/>
          <w:color w:val="auto"/>
          <w:sz w:val="32"/>
          <w:szCs w:val="32"/>
          <w:lang w:eastAsia="zh-CN"/>
        </w:rPr>
        <w:t>纯水制备浓水</w:t>
      </w:r>
      <w:r>
        <w:rPr>
          <w:rFonts w:hint="eastAsia" w:ascii="仿宋_GB2312" w:hAnsi="仿宋_GB2312" w:eastAsia="仿宋_GB2312"/>
          <w:bCs/>
          <w:color w:val="auto"/>
          <w:sz w:val="32"/>
          <w:szCs w:val="32"/>
          <w:lang w:val="en-US" w:eastAsia="zh-CN"/>
        </w:rPr>
        <w:t>、锅炉排水、</w:t>
      </w:r>
      <w:r>
        <w:rPr>
          <w:rFonts w:hint="eastAsia" w:ascii="仿宋_GB2312" w:hAnsi="仿宋_GB2312" w:eastAsia="仿宋_GB2312"/>
          <w:bCs/>
          <w:color w:val="auto"/>
          <w:sz w:val="32"/>
          <w:szCs w:val="32"/>
        </w:rPr>
        <w:t>生活污水</w:t>
      </w:r>
      <w:r>
        <w:rPr>
          <w:rFonts w:hint="eastAsia" w:ascii="仿宋_GB2312" w:hAnsi="仿宋_GB2312" w:eastAsia="仿宋_GB2312" w:cs="仿宋_GB2312"/>
          <w:bCs/>
          <w:color w:val="auto"/>
          <w:sz w:val="32"/>
          <w:szCs w:val="32"/>
          <w:lang w:eastAsia="zh-CN"/>
        </w:rPr>
        <w:t>及初期雨水</w:t>
      </w:r>
      <w:r>
        <w:rPr>
          <w:rFonts w:hint="eastAsia" w:ascii="仿宋_GB2312" w:hAnsi="仿宋_GB2312" w:eastAsia="仿宋_GB2312" w:cs="仿宋_GB2312"/>
          <w:bCs/>
          <w:color w:val="auto"/>
          <w:sz w:val="32"/>
          <w:szCs w:val="32"/>
        </w:rPr>
        <w:t>。</w:t>
      </w:r>
    </w:p>
    <w:p>
      <w:pPr>
        <w:pStyle w:val="41"/>
        <w:keepNext w:val="0"/>
        <w:keepLines w:val="0"/>
        <w:pageBreakBefore w:val="0"/>
        <w:kinsoku/>
        <w:wordWrap/>
        <w:overflowPunct/>
        <w:topLinePunct w:val="0"/>
        <w:autoSpaceDE/>
        <w:autoSpaceDN/>
        <w:bidi w:val="0"/>
        <w:spacing w:line="520" w:lineRule="exact"/>
        <w:ind w:firstLine="640"/>
        <w:jc w:val="both"/>
        <w:textAlignment w:val="auto"/>
        <w:rPr>
          <w:rFonts w:hint="eastAsia" w:ascii="仿宋_GB2312" w:hAnsi="仿宋_GB2312" w:eastAsia="仿宋_GB2312" w:cs="仿宋_GB2312"/>
          <w:i w:val="0"/>
          <w:iCs w:val="0"/>
          <w:color w:val="auto"/>
          <w:kern w:val="0"/>
          <w:sz w:val="32"/>
          <w:szCs w:val="32"/>
          <w:u w:val="none"/>
          <w:lang w:val="en-US" w:eastAsia="zh-CN" w:bidi="ar"/>
        </w:rPr>
      </w:pPr>
      <w:r>
        <w:rPr>
          <w:rFonts w:hint="default"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i w:val="0"/>
          <w:iCs w:val="0"/>
          <w:color w:val="auto"/>
          <w:kern w:val="0"/>
          <w:sz w:val="32"/>
          <w:szCs w:val="32"/>
          <w:u w:val="none"/>
          <w:lang w:val="en-US" w:eastAsia="zh-CN" w:bidi="ar"/>
        </w:rPr>
        <w:t>工艺废水中的高浓度废水经车间内反应釜蒸发浓缩</w:t>
      </w:r>
      <w:r>
        <w:rPr>
          <w:rFonts w:hint="eastAsia" w:eastAsia="仿宋_GB2312"/>
          <w:color w:val="auto"/>
          <w:sz w:val="32"/>
          <w:szCs w:val="32"/>
          <w:lang w:eastAsia="zh-CN"/>
        </w:rPr>
        <w:t>预处理后，再与</w:t>
      </w:r>
      <w:r>
        <w:rPr>
          <w:rFonts w:hint="eastAsia" w:ascii="仿宋_GB2312" w:hAnsi="仿宋_GB2312" w:eastAsia="仿宋_GB2312" w:cs="仿宋_GB2312"/>
          <w:i w:val="0"/>
          <w:iCs w:val="0"/>
          <w:color w:val="auto"/>
          <w:kern w:val="0"/>
          <w:sz w:val="32"/>
          <w:szCs w:val="32"/>
          <w:u w:val="none"/>
          <w:lang w:val="en-US" w:eastAsia="zh-CN" w:bidi="ar"/>
        </w:rPr>
        <w:t>低浓度工艺废水、</w:t>
      </w:r>
      <w:r>
        <w:rPr>
          <w:rFonts w:hint="eastAsia" w:ascii="仿宋_GB2312" w:hAnsi="仿宋_GB2312" w:eastAsia="仿宋_GB2312"/>
          <w:bCs/>
          <w:color w:val="auto"/>
          <w:sz w:val="32"/>
          <w:szCs w:val="32"/>
        </w:rPr>
        <w:t>设备清洗废水、地面冲洗废水、真空泵废水、</w:t>
      </w:r>
      <w:r>
        <w:rPr>
          <w:rFonts w:hint="eastAsia" w:ascii="仿宋_GB2312" w:hAnsi="仿宋_GB2312" w:eastAsia="仿宋_GB2312"/>
          <w:bCs/>
          <w:color w:val="auto"/>
          <w:sz w:val="32"/>
          <w:szCs w:val="32"/>
          <w:lang w:val="en-US" w:eastAsia="zh-CN"/>
        </w:rPr>
        <w:t>实验室废水</w:t>
      </w:r>
      <w:r>
        <w:rPr>
          <w:rFonts w:hint="eastAsia" w:ascii="仿宋_GB2312" w:hAnsi="仿宋_GB2312" w:eastAsia="仿宋_GB2312"/>
          <w:bCs/>
          <w:color w:val="auto"/>
          <w:sz w:val="32"/>
          <w:szCs w:val="32"/>
          <w:lang w:eastAsia="zh-CN"/>
        </w:rPr>
        <w:t>、尾气吸收</w:t>
      </w:r>
      <w:r>
        <w:rPr>
          <w:rFonts w:hint="eastAsia" w:ascii="仿宋_GB2312" w:hAnsi="仿宋_GB2312" w:eastAsia="仿宋_GB2312"/>
          <w:bCs/>
          <w:color w:val="auto"/>
          <w:sz w:val="32"/>
          <w:szCs w:val="32"/>
        </w:rPr>
        <w:t>废水</w:t>
      </w:r>
      <w:r>
        <w:rPr>
          <w:rFonts w:hint="eastAsia" w:ascii="仿宋_GB2312" w:hAnsi="仿宋_GB2312" w:eastAsia="仿宋_GB2312"/>
          <w:bCs/>
          <w:color w:val="auto"/>
          <w:sz w:val="32"/>
          <w:szCs w:val="32"/>
          <w:lang w:eastAsia="zh-CN"/>
        </w:rPr>
        <w:t>、生活污水、初期雨水等一起进入厂区污水处理站</w:t>
      </w:r>
      <w:r>
        <w:rPr>
          <w:rFonts w:hint="eastAsia" w:ascii="仿宋_GB2312" w:hAnsi="仿宋_GB2312" w:eastAsia="仿宋_GB2312" w:cs="仿宋_GB2312"/>
          <w:bCs/>
          <w:color w:val="auto"/>
          <w:sz w:val="32"/>
          <w:szCs w:val="32"/>
          <w:lang w:eastAsia="zh-CN"/>
        </w:rPr>
        <w:t>（处理工艺：“</w:t>
      </w:r>
      <w:r>
        <w:rPr>
          <w:rFonts w:hint="eastAsia" w:ascii="仿宋_GB2312" w:hAnsi="仿宋_GB2312" w:eastAsia="仿宋_GB2312" w:cs="仿宋_GB2312"/>
          <w:i w:val="0"/>
          <w:iCs w:val="0"/>
          <w:color w:val="auto"/>
          <w:kern w:val="0"/>
          <w:sz w:val="32"/>
          <w:szCs w:val="32"/>
          <w:u w:val="none"/>
          <w:lang w:val="en-US" w:eastAsia="zh-CN" w:bidi="ar"/>
        </w:rPr>
        <w:t>高浓调节+预处理+综合调节+UC水解酸化+UASB+ AO生化</w:t>
      </w:r>
      <w:r>
        <w:rPr>
          <w:rFonts w:hint="eastAsia" w:ascii="仿宋_GB2312" w:hAnsi="仿宋_GB2312" w:eastAsia="仿宋_GB2312" w:cs="仿宋_GB2312"/>
          <w:bCs/>
          <w:color w:val="auto"/>
          <w:sz w:val="32"/>
          <w:szCs w:val="32"/>
          <w:lang w:eastAsia="zh-CN"/>
        </w:rPr>
        <w:t>”</w:t>
      </w:r>
      <w:r>
        <w:rPr>
          <w:rFonts w:hint="default" w:ascii="仿宋_GB2312" w:hAnsi="仿宋_GB2312" w:eastAsia="仿宋_GB2312" w:cs="仿宋_GB2312"/>
          <w:bCs/>
          <w:color w:val="auto"/>
          <w:sz w:val="32"/>
          <w:szCs w:val="32"/>
          <w:lang w:val="en-US" w:eastAsia="zh-CN"/>
        </w:rPr>
        <w:t>或其他更成熟可靠的工艺</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bCs/>
          <w:color w:val="auto"/>
          <w:sz w:val="32"/>
          <w:szCs w:val="32"/>
          <w:lang w:eastAsia="zh-CN"/>
        </w:rPr>
        <w:t>处理，</w:t>
      </w:r>
      <w:r>
        <w:rPr>
          <w:rFonts w:hint="eastAsia" w:ascii="仿宋_GB2312" w:hAnsi="仿宋_GB2312" w:eastAsia="仿宋_GB2312"/>
          <w:bCs/>
          <w:color w:val="auto"/>
          <w:sz w:val="32"/>
          <w:szCs w:val="32"/>
          <w:lang w:val="en-US" w:eastAsia="zh-CN"/>
        </w:rPr>
        <w:t>废水中pH、COD、BOD、氨氮、TN、TP、SS、全盐量、氯化物等满足园区污水处理厂接管标准</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color w:val="auto"/>
          <w:sz w:val="32"/>
          <w:szCs w:val="32"/>
          <w:lang w:val="zh-CN"/>
        </w:rPr>
        <w:t>其中COD在上高工业园污水处理厂二期运营前按照≤350</w:t>
      </w:r>
      <w:r>
        <w:rPr>
          <w:rFonts w:hint="eastAsia" w:ascii="仿宋_GB2312" w:hAnsi="仿宋_GB2312" w:eastAsia="仿宋_GB2312" w:cs="仿宋_GB2312"/>
          <w:color w:val="auto"/>
          <w:sz w:val="32"/>
          <w:szCs w:val="32"/>
          <w:lang w:val="zh-CN" w:eastAsia="zh-CN"/>
        </w:rPr>
        <w:t>mg/L</w:t>
      </w:r>
      <w:r>
        <w:rPr>
          <w:rFonts w:hint="eastAsia" w:ascii="仿宋_GB2312" w:hAnsi="仿宋_GB2312" w:eastAsia="仿宋_GB2312" w:cs="仿宋_GB2312"/>
          <w:color w:val="auto"/>
          <w:sz w:val="32"/>
          <w:szCs w:val="32"/>
          <w:lang w:val="zh-CN"/>
        </w:rPr>
        <w:t>执行，上高工业园污水处理厂二期运营后按照≤500</w:t>
      </w:r>
      <w:r>
        <w:rPr>
          <w:rFonts w:hint="eastAsia" w:ascii="仿宋_GB2312" w:hAnsi="仿宋_GB2312" w:eastAsia="仿宋_GB2312" w:cs="仿宋_GB2312"/>
          <w:color w:val="auto"/>
          <w:sz w:val="32"/>
          <w:szCs w:val="32"/>
          <w:lang w:val="zh-CN" w:eastAsia="zh-CN"/>
        </w:rPr>
        <w:t>mg/L</w:t>
      </w:r>
      <w:r>
        <w:rPr>
          <w:rFonts w:hint="eastAsia" w:ascii="仿宋_GB2312" w:hAnsi="仿宋_GB2312" w:eastAsia="仿宋_GB2312" w:cs="仿宋_GB2312"/>
          <w:color w:val="auto"/>
          <w:sz w:val="32"/>
          <w:szCs w:val="32"/>
          <w:lang w:val="zh-CN"/>
        </w:rPr>
        <w:t>执行</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bCs/>
          <w:color w:val="auto"/>
          <w:sz w:val="32"/>
          <w:szCs w:val="32"/>
          <w:lang w:val="en-US" w:eastAsia="zh-CN"/>
        </w:rPr>
        <w:t>二氯甲烷、硫化物满足《化学合成类制药工业水污染物排放标准》（GB21904-2008）表2要求；动植物油、AOX、甲苯、苯酚、氟化物、甲醛满足《污水综合排放标准》（GB8978-1996）表4一级标准后，再经园区污水管网排入</w:t>
      </w:r>
      <w:r>
        <w:rPr>
          <w:rFonts w:hint="eastAsia" w:ascii="仿宋_GB2312" w:hAnsi="仿宋_GB2312" w:eastAsia="仿宋_GB2312"/>
          <w:bCs/>
          <w:color w:val="auto"/>
          <w:sz w:val="32"/>
          <w:szCs w:val="32"/>
        </w:rPr>
        <w:t>园区污水处理厂</w:t>
      </w:r>
      <w:r>
        <w:rPr>
          <w:rFonts w:hint="eastAsia" w:ascii="仿宋_GB2312" w:hAnsi="仿宋_GB2312" w:eastAsia="仿宋_GB2312"/>
          <w:bCs/>
          <w:color w:val="auto"/>
          <w:sz w:val="32"/>
          <w:szCs w:val="32"/>
          <w:lang w:eastAsia="zh-CN"/>
        </w:rPr>
        <w:t>深度处理</w:t>
      </w:r>
      <w:r>
        <w:rPr>
          <w:rFonts w:hint="eastAsia" w:ascii="仿宋_GB2312" w:hAnsi="仿宋_GB2312" w:eastAsia="仿宋_GB2312"/>
          <w:bCs/>
          <w:color w:val="auto"/>
          <w:sz w:val="32"/>
          <w:szCs w:val="32"/>
        </w:rPr>
        <w:t>，园区污水处理厂尾水执行《城镇污水处理厂污染物排放标准》（GB18918—2002）中一级A标准</w:t>
      </w:r>
      <w:r>
        <w:rPr>
          <w:rFonts w:hint="eastAsia" w:ascii="仿宋_GB2312" w:hAnsi="仿宋_GB2312" w:eastAsia="仿宋_GB2312"/>
          <w:bCs/>
          <w:color w:val="auto"/>
          <w:sz w:val="32"/>
          <w:szCs w:val="32"/>
          <w:lang w:eastAsia="zh-CN"/>
        </w:rPr>
        <w:t>后排</w:t>
      </w:r>
      <w:r>
        <w:rPr>
          <w:rFonts w:hint="eastAsia" w:ascii="仿宋_GB2312" w:hAnsi="仿宋_GB2312" w:eastAsia="仿宋_GB2312"/>
          <w:bCs/>
          <w:color w:val="auto"/>
          <w:sz w:val="32"/>
          <w:szCs w:val="32"/>
        </w:rPr>
        <w:t>入</w:t>
      </w:r>
      <w:r>
        <w:rPr>
          <w:rFonts w:hint="eastAsia" w:ascii="仿宋_GB2312" w:hAnsi="仿宋_GB2312" w:eastAsia="仿宋_GB2312"/>
          <w:bCs/>
          <w:color w:val="auto"/>
          <w:sz w:val="32"/>
          <w:szCs w:val="32"/>
          <w:lang w:val="en-US" w:eastAsia="zh-CN"/>
        </w:rPr>
        <w:t>锦江</w:t>
      </w:r>
      <w:r>
        <w:rPr>
          <w:rFonts w:hint="eastAsia" w:ascii="仿宋_GB2312" w:hAnsi="仿宋_GB2312" w:eastAsia="仿宋_GB2312"/>
          <w:bCs/>
          <w:color w:val="auto"/>
          <w:sz w:val="32"/>
          <w:szCs w:val="32"/>
        </w:rPr>
        <w:t>。</w:t>
      </w:r>
      <w:r>
        <w:rPr>
          <w:rFonts w:hint="eastAsia" w:ascii="仿宋_GB2312" w:hAnsi="仿宋_GB2312" w:eastAsia="仿宋_GB2312" w:cs="仿宋_GB2312"/>
          <w:bCs/>
          <w:color w:val="auto"/>
          <w:sz w:val="32"/>
          <w:szCs w:val="32"/>
          <w:lang w:eastAsia="zh-CN"/>
        </w:rPr>
        <w:t>纯水制备浓水和</w:t>
      </w:r>
      <w:r>
        <w:rPr>
          <w:rFonts w:hint="eastAsia" w:ascii="仿宋_GB2312" w:hAnsi="仿宋_GB2312" w:eastAsia="仿宋_GB2312" w:cs="仿宋_GB2312"/>
          <w:bCs/>
          <w:color w:val="auto"/>
          <w:sz w:val="32"/>
          <w:szCs w:val="32"/>
          <w:lang w:val="en-US" w:eastAsia="zh-CN"/>
        </w:rPr>
        <w:t>锅炉排水经收集后</w:t>
      </w:r>
      <w:r>
        <w:rPr>
          <w:rFonts w:hint="eastAsia" w:ascii="仿宋_GB2312" w:hAnsi="仿宋_GB2312" w:eastAsia="仿宋_GB2312" w:cs="仿宋_GB2312"/>
          <w:i w:val="0"/>
          <w:iCs w:val="0"/>
          <w:color w:val="auto"/>
          <w:kern w:val="0"/>
          <w:sz w:val="32"/>
          <w:szCs w:val="32"/>
          <w:u w:val="none"/>
          <w:lang w:val="en-US" w:eastAsia="zh-CN" w:bidi="ar"/>
        </w:rPr>
        <w:t>通过厂区污水总排口排入园区污水管网，再经园区污水处理厂进一步处理。</w:t>
      </w:r>
    </w:p>
    <w:p>
      <w:pPr>
        <w:pStyle w:val="41"/>
        <w:keepNext w:val="0"/>
        <w:keepLines w:val="0"/>
        <w:pageBreakBefore w:val="0"/>
        <w:kinsoku/>
        <w:wordWrap/>
        <w:overflowPunct/>
        <w:topLinePunct w:val="0"/>
        <w:autoSpaceDE/>
        <w:autoSpaceDN/>
        <w:bidi w:val="0"/>
        <w:spacing w:line="520" w:lineRule="exact"/>
        <w:ind w:firstLine="640"/>
        <w:jc w:val="both"/>
        <w:textAlignment w:val="auto"/>
        <w:rPr>
          <w:rFonts w:hint="eastAsia" w:ascii="仿宋_GB2312" w:hAnsi="仿宋_GB2312" w:eastAsia="仿宋_GB2312" w:cs="仿宋_GB2312"/>
          <w:i w:val="0"/>
          <w:iCs w:val="0"/>
          <w:color w:val="auto"/>
          <w:kern w:val="0"/>
          <w:sz w:val="32"/>
          <w:szCs w:val="32"/>
          <w:u w:val="none"/>
          <w:lang w:val="en-US" w:eastAsia="zh-CN" w:bidi="ar"/>
        </w:rPr>
      </w:pPr>
      <w:r>
        <w:rPr>
          <w:rFonts w:hint="default" w:ascii="仿宋_GB2312" w:hAnsi="仿宋_GB2312" w:eastAsia="仿宋_GB2312" w:cs="仿宋_GB2312"/>
          <w:bCs/>
          <w:color w:val="auto"/>
          <w:sz w:val="32"/>
          <w:szCs w:val="32"/>
          <w:lang w:val="en-US"/>
        </w:rPr>
        <w:t>本项目</w:t>
      </w:r>
      <w:r>
        <w:rPr>
          <w:rFonts w:hint="eastAsia" w:ascii="仿宋_GB2312" w:hAnsi="仿宋_GB2312" w:eastAsia="仿宋_GB2312" w:cs="仿宋_GB2312"/>
          <w:bCs/>
          <w:color w:val="auto"/>
          <w:sz w:val="32"/>
          <w:szCs w:val="32"/>
        </w:rPr>
        <w:t>厂区排放口全厂主要污染物COD、氨氮排放量分别为</w:t>
      </w:r>
      <w:r>
        <w:rPr>
          <w:rFonts w:hint="eastAsia" w:ascii="仿宋_GB2312" w:hAnsi="仿宋_GB2312" w:eastAsia="仿宋_GB2312" w:cs="仿宋_GB2312"/>
          <w:bCs/>
          <w:color w:val="auto"/>
          <w:sz w:val="32"/>
          <w:szCs w:val="32"/>
          <w:lang w:val="en-US" w:eastAsia="zh-CN"/>
        </w:rPr>
        <w:t>22.33</w:t>
      </w:r>
      <w:r>
        <w:rPr>
          <w:rFonts w:hint="eastAsia" w:ascii="仿宋_GB2312" w:hAnsi="仿宋_GB2312" w:eastAsia="仿宋_GB2312" w:cs="仿宋_GB2312"/>
          <w:bCs/>
          <w:color w:val="auto"/>
          <w:sz w:val="32"/>
          <w:szCs w:val="32"/>
        </w:rPr>
        <w:t>t/a、</w:t>
      </w:r>
      <w:r>
        <w:rPr>
          <w:rFonts w:hint="eastAsia" w:ascii="仿宋_GB2312" w:hAnsi="仿宋_GB2312" w:eastAsia="仿宋_GB2312" w:cs="仿宋_GB2312"/>
          <w:bCs/>
          <w:color w:val="auto"/>
          <w:sz w:val="32"/>
          <w:szCs w:val="32"/>
          <w:lang w:val="en-US" w:eastAsia="zh-CN"/>
        </w:rPr>
        <w:t>2.31</w:t>
      </w:r>
      <w:r>
        <w:rPr>
          <w:rFonts w:hint="eastAsia" w:ascii="仿宋_GB2312" w:hAnsi="仿宋_GB2312" w:eastAsia="仿宋_GB2312" w:cs="仿宋_GB2312"/>
          <w:bCs/>
          <w:color w:val="auto"/>
          <w:sz w:val="32"/>
          <w:szCs w:val="32"/>
        </w:rPr>
        <w:t>t/a。园区污水处理厂排口废水中主要污染物COD、NH</w:t>
      </w:r>
      <w:r>
        <w:rPr>
          <w:rFonts w:hint="eastAsia" w:ascii="仿宋_GB2312" w:hAnsi="仿宋_GB2312" w:eastAsia="仿宋_GB2312" w:cs="仿宋_GB2312"/>
          <w:bCs/>
          <w:color w:val="auto"/>
          <w:sz w:val="32"/>
          <w:szCs w:val="32"/>
          <w:vertAlign w:val="subscript"/>
        </w:rPr>
        <w:t>3</w:t>
      </w:r>
      <w:r>
        <w:rPr>
          <w:rFonts w:hint="eastAsia" w:ascii="仿宋_GB2312" w:hAnsi="仿宋_GB2312" w:eastAsia="仿宋_GB2312" w:cs="仿宋_GB2312"/>
          <w:bCs/>
          <w:color w:val="auto"/>
          <w:sz w:val="32"/>
          <w:szCs w:val="32"/>
        </w:rPr>
        <w:t>-N环境排入量为</w:t>
      </w:r>
      <w:r>
        <w:rPr>
          <w:rFonts w:hint="eastAsia" w:ascii="仿宋_GB2312" w:hAnsi="仿宋_GB2312" w:eastAsia="仿宋_GB2312" w:cs="仿宋_GB2312"/>
          <w:bCs/>
          <w:color w:val="auto"/>
          <w:sz w:val="32"/>
          <w:szCs w:val="32"/>
          <w:lang w:val="en-US" w:eastAsia="zh-CN"/>
        </w:rPr>
        <w:t>12.58</w:t>
      </w:r>
      <w:r>
        <w:rPr>
          <w:rFonts w:hint="eastAsia" w:ascii="仿宋_GB2312" w:hAnsi="仿宋_GB2312" w:eastAsia="仿宋_GB2312" w:cs="仿宋_GB2312"/>
          <w:bCs/>
          <w:color w:val="auto"/>
          <w:sz w:val="32"/>
          <w:szCs w:val="32"/>
        </w:rPr>
        <w:t>t/a、</w:t>
      </w:r>
      <w:r>
        <w:rPr>
          <w:rFonts w:hint="eastAsia" w:ascii="仿宋_GB2312" w:hAnsi="仿宋_GB2312" w:eastAsia="仿宋_GB2312" w:cs="仿宋_GB2312"/>
          <w:bCs/>
          <w:color w:val="auto"/>
          <w:sz w:val="32"/>
          <w:szCs w:val="32"/>
          <w:lang w:val="en-US" w:eastAsia="zh-CN"/>
        </w:rPr>
        <w:t>1.62</w:t>
      </w:r>
      <w:r>
        <w:rPr>
          <w:rFonts w:hint="eastAsia" w:ascii="仿宋_GB2312" w:hAnsi="仿宋_GB2312" w:eastAsia="仿宋_GB2312" w:cs="仿宋_GB2312"/>
          <w:bCs/>
          <w:color w:val="auto"/>
          <w:sz w:val="32"/>
          <w:szCs w:val="32"/>
        </w:rPr>
        <w:t>t/a。</w:t>
      </w:r>
    </w:p>
    <w:p>
      <w:pPr>
        <w:pStyle w:val="41"/>
        <w:keepNext w:val="0"/>
        <w:keepLines w:val="0"/>
        <w:pageBreakBefore w:val="0"/>
        <w:kinsoku/>
        <w:wordWrap/>
        <w:overflowPunct/>
        <w:topLinePunct w:val="0"/>
        <w:autoSpaceDE/>
        <w:autoSpaceDN/>
        <w:bidi w:val="0"/>
        <w:spacing w:line="520" w:lineRule="exact"/>
        <w:ind w:firstLine="640"/>
        <w:jc w:val="both"/>
        <w:textAlignment w:val="auto"/>
        <w:rPr>
          <w:rFonts w:hint="eastAsia" w:ascii="仿宋_GB2312" w:hAnsi="仿宋_GB2312" w:eastAsia="仿宋_GB2312"/>
          <w:bCs/>
          <w:color w:val="auto"/>
          <w:sz w:val="32"/>
          <w:szCs w:val="32"/>
          <w:lang w:val="en-US" w:eastAsia="zh-CN"/>
        </w:rPr>
      </w:pPr>
      <w:r>
        <w:rPr>
          <w:rFonts w:hint="eastAsia" w:ascii="楷体_GB2312" w:hAnsi="楷体_GB2312" w:eastAsia="楷体_GB2312" w:cs="楷体_GB2312"/>
          <w:bCs/>
          <w:color w:val="auto"/>
          <w:sz w:val="32"/>
          <w:szCs w:val="32"/>
          <w:lang w:val="en-US"/>
        </w:rPr>
        <w:t>（二）</w:t>
      </w:r>
      <w:r>
        <w:rPr>
          <w:rFonts w:hint="eastAsia" w:ascii="楷体_GB2312" w:hAnsi="楷体_GB2312" w:eastAsia="楷体_GB2312" w:cs="楷体_GB2312"/>
          <w:b w:val="0"/>
          <w:bCs/>
          <w:snapToGrid w:val="0"/>
          <w:color w:val="auto"/>
          <w:sz w:val="32"/>
          <w:szCs w:val="32"/>
          <w:lang w:val="en-US" w:eastAsia="zh-CN"/>
        </w:rPr>
        <w:t>严格落实大气污染防治措施。</w:t>
      </w:r>
      <w:r>
        <w:rPr>
          <w:rFonts w:hint="eastAsia" w:ascii="仿宋_GB2312" w:hAnsi="仿宋_GB2312" w:eastAsia="仿宋_GB2312"/>
          <w:bCs/>
          <w:color w:val="auto"/>
          <w:sz w:val="32"/>
          <w:szCs w:val="32"/>
          <w:lang w:val="en-US" w:eastAsia="zh-CN"/>
        </w:rPr>
        <w:t>根据废气中污染物的类别和性质，采用成熟可靠工艺处理，确保废气污染物长期稳定达标排放。</w:t>
      </w:r>
      <w:r>
        <w:rPr>
          <w:rFonts w:hint="eastAsia" w:ascii="仿宋_GB2312" w:hAnsi="仿宋_GB2312" w:eastAsia="仿宋_GB2312"/>
          <w:bCs/>
          <w:color w:val="auto"/>
          <w:sz w:val="32"/>
          <w:szCs w:val="32"/>
          <w:lang w:eastAsia="zh-CN"/>
        </w:rPr>
        <w:t>本</w:t>
      </w:r>
      <w:r>
        <w:rPr>
          <w:rFonts w:hint="eastAsia" w:ascii="仿宋_GB2312" w:hAnsi="仿宋_GB2312" w:eastAsia="仿宋_GB2312"/>
          <w:bCs/>
          <w:color w:val="auto"/>
          <w:sz w:val="32"/>
          <w:szCs w:val="32"/>
        </w:rPr>
        <w:t>项目废气</w:t>
      </w:r>
      <w:r>
        <w:rPr>
          <w:rFonts w:hint="eastAsia" w:ascii="仿宋_GB2312" w:hAnsi="仿宋_GB2312" w:eastAsia="仿宋_GB2312"/>
          <w:bCs/>
          <w:color w:val="auto"/>
          <w:sz w:val="32"/>
          <w:szCs w:val="32"/>
          <w:lang w:eastAsia="zh-CN"/>
        </w:rPr>
        <w:t>主要</w:t>
      </w:r>
      <w:r>
        <w:rPr>
          <w:rFonts w:hint="eastAsia" w:ascii="仿宋_GB2312" w:hAnsi="仿宋_GB2312" w:eastAsia="仿宋_GB2312"/>
          <w:bCs/>
          <w:color w:val="auto"/>
          <w:sz w:val="32"/>
          <w:szCs w:val="32"/>
        </w:rPr>
        <w:t>包括车间工艺废气</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含烘干包装废气、</w:t>
      </w:r>
      <w:r>
        <w:rPr>
          <w:rFonts w:hint="eastAsia" w:ascii="仿宋_GB2312" w:hAnsi="仿宋_GB2312" w:eastAsia="仿宋_GB2312"/>
          <w:bCs/>
          <w:color w:val="auto"/>
          <w:sz w:val="32"/>
          <w:szCs w:val="32"/>
          <w:lang w:val="en-US" w:eastAsia="zh-CN"/>
        </w:rPr>
        <w:t>投料废气等</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lang w:val="en-US" w:eastAsia="zh-CN"/>
        </w:rPr>
        <w:t xml:space="preserve">污水处理站废气、危废暂存间废气、燃气锅炉废气等。  </w:t>
      </w:r>
    </w:p>
    <w:p>
      <w:pPr>
        <w:pStyle w:val="41"/>
        <w:keepNext w:val="0"/>
        <w:keepLines w:val="0"/>
        <w:pageBreakBefore w:val="0"/>
        <w:kinsoku/>
        <w:wordWrap/>
        <w:overflowPunct/>
        <w:topLinePunct w:val="0"/>
        <w:autoSpaceDE/>
        <w:autoSpaceDN/>
        <w:bidi w:val="0"/>
        <w:spacing w:line="520" w:lineRule="exact"/>
        <w:ind w:firstLine="640"/>
        <w:jc w:val="both"/>
        <w:textAlignment w:val="auto"/>
        <w:rPr>
          <w:rFonts w:hint="eastAsia" w:ascii="仿宋_GB2312" w:hAnsi="仿宋_GB2312" w:eastAsia="仿宋_GB2312"/>
          <w:bCs/>
          <w:color w:val="auto"/>
          <w:sz w:val="32"/>
          <w:szCs w:val="32"/>
          <w:lang w:val="en-US" w:eastAsia="zh-CN"/>
        </w:rPr>
      </w:pPr>
      <w:r>
        <w:rPr>
          <w:rFonts w:hint="eastAsia" w:ascii="仿宋_GB2312" w:hAnsi="仿宋_GB2312" w:eastAsia="仿宋_GB2312"/>
          <w:bCs/>
          <w:color w:val="auto"/>
          <w:sz w:val="32"/>
          <w:szCs w:val="32"/>
          <w:lang w:val="en-US" w:eastAsia="zh-CN"/>
        </w:rPr>
        <w:t>本项目102、103、104车间工艺废气分别经“二级冷凝+一级冰盐水深冷+一级碱洗”、污水处理站废气经“一级碱洗+一级水洗+一级除水器”预处理；以上</w:t>
      </w:r>
      <w:r>
        <w:rPr>
          <w:rFonts w:hint="eastAsia" w:ascii="仿宋_GB2312" w:hAnsi="仿宋_GB2312" w:eastAsia="仿宋_GB2312"/>
          <w:bCs/>
          <w:color w:val="auto"/>
          <w:sz w:val="32"/>
          <w:szCs w:val="32"/>
        </w:rPr>
        <w:t>经预处理的废气</w:t>
      </w:r>
      <w:r>
        <w:rPr>
          <w:rFonts w:hint="eastAsia" w:ascii="仿宋_GB2312" w:hAnsi="仿宋_GB2312" w:eastAsia="仿宋_GB2312"/>
          <w:bCs/>
          <w:color w:val="auto"/>
          <w:sz w:val="32"/>
          <w:szCs w:val="32"/>
          <w:lang w:eastAsia="zh-CN"/>
        </w:rPr>
        <w:t>再</w:t>
      </w:r>
      <w:r>
        <w:rPr>
          <w:rFonts w:hint="eastAsia" w:ascii="仿宋_GB2312" w:hAnsi="仿宋_GB2312" w:eastAsia="仿宋_GB2312"/>
          <w:bCs/>
          <w:color w:val="auto"/>
          <w:sz w:val="32"/>
          <w:szCs w:val="32"/>
        </w:rPr>
        <w:t>和</w:t>
      </w:r>
      <w:r>
        <w:rPr>
          <w:rFonts w:hint="eastAsia" w:ascii="仿宋_GB2312" w:hAnsi="仿宋_GB2312" w:eastAsia="仿宋_GB2312"/>
          <w:bCs/>
          <w:color w:val="auto"/>
          <w:sz w:val="32"/>
          <w:szCs w:val="32"/>
          <w:lang w:val="en-US" w:eastAsia="zh-CN"/>
        </w:rPr>
        <w:t>危废暂存间废气合并进入废气总管，经“一级碱洗+一级除水器+一级活性炭”</w:t>
      </w:r>
      <w:r>
        <w:rPr>
          <w:rFonts w:hint="eastAsia" w:ascii="仿宋_GB2312" w:hAnsi="仿宋_GB2312" w:eastAsia="仿宋_GB2312"/>
          <w:bCs/>
          <w:color w:val="auto"/>
          <w:sz w:val="32"/>
          <w:szCs w:val="32"/>
        </w:rPr>
        <w:t>处理后</w:t>
      </w:r>
      <w:r>
        <w:rPr>
          <w:rFonts w:hint="eastAsia" w:ascii="仿宋_GB2312" w:hAnsi="仿宋_GB2312" w:eastAsia="仿宋_GB2312"/>
          <w:bCs/>
          <w:color w:val="auto"/>
          <w:sz w:val="32"/>
          <w:szCs w:val="32"/>
          <w:lang w:eastAsia="zh-CN"/>
        </w:rPr>
        <w:t>，再</w:t>
      </w:r>
      <w:r>
        <w:rPr>
          <w:rFonts w:hint="eastAsia" w:ascii="仿宋_GB2312" w:hAnsi="仿宋_GB2312" w:eastAsia="仿宋_GB2312"/>
          <w:bCs/>
          <w:color w:val="auto"/>
          <w:sz w:val="32"/>
          <w:szCs w:val="32"/>
        </w:rPr>
        <w:t>通过排气筒</w:t>
      </w:r>
      <w:r>
        <w:rPr>
          <w:rFonts w:hint="default" w:ascii="仿宋_GB2312" w:hAnsi="仿宋_GB2312" w:eastAsia="仿宋_GB2312"/>
          <w:bCs/>
          <w:color w:val="auto"/>
          <w:sz w:val="32"/>
          <w:szCs w:val="32"/>
          <w:lang w:val="en-US" w:eastAsia="zh-CN"/>
        </w:rPr>
        <w:t>（DA001，高度</w:t>
      </w:r>
      <w:r>
        <w:rPr>
          <w:rFonts w:hint="eastAsia" w:ascii="仿宋_GB2312" w:hAnsi="仿宋_GB2312" w:eastAsia="仿宋_GB2312"/>
          <w:bCs/>
          <w:color w:val="auto"/>
          <w:sz w:val="32"/>
          <w:szCs w:val="32"/>
          <w:lang w:val="en-US" w:eastAsia="zh-CN"/>
        </w:rPr>
        <w:t>2</w:t>
      </w:r>
      <w:r>
        <w:rPr>
          <w:rFonts w:hint="default" w:ascii="仿宋_GB2312" w:hAnsi="仿宋_GB2312" w:eastAsia="仿宋_GB2312"/>
          <w:bCs/>
          <w:color w:val="auto"/>
          <w:sz w:val="32"/>
          <w:szCs w:val="32"/>
          <w:lang w:val="en-US" w:eastAsia="zh-CN"/>
        </w:rPr>
        <w:t>5m</w:t>
      </w:r>
      <w:r>
        <w:rPr>
          <w:rFonts w:hint="default" w:ascii="仿宋_GB2312" w:hAnsi="仿宋_GB2312" w:eastAsia="仿宋_GB2312"/>
          <w:bCs/>
          <w:color w:val="auto"/>
          <w:sz w:val="32"/>
          <w:szCs w:val="32"/>
          <w:lang w:val="en-US" w:eastAsia="zh-CN"/>
        </w:rPr>
        <w:t>）</w:t>
      </w:r>
      <w:r>
        <w:rPr>
          <w:rFonts w:hint="eastAsia" w:ascii="仿宋_GB2312" w:hAnsi="仿宋_GB2312" w:eastAsia="仿宋_GB2312"/>
          <w:bCs/>
          <w:color w:val="auto"/>
          <w:sz w:val="32"/>
          <w:szCs w:val="32"/>
        </w:rPr>
        <w:t>排放。</w:t>
      </w:r>
      <w:r>
        <w:rPr>
          <w:rFonts w:hint="eastAsia" w:ascii="仿宋_GB2312" w:hAnsi="仿宋_GB2312" w:eastAsia="仿宋_GB2312"/>
          <w:bCs/>
          <w:color w:val="auto"/>
          <w:sz w:val="32"/>
          <w:szCs w:val="32"/>
          <w:lang w:val="en-US" w:eastAsia="zh-CN"/>
        </w:rPr>
        <w:t>燃气锅炉尾气</w:t>
      </w:r>
      <w:r>
        <w:rPr>
          <w:rFonts w:hint="eastAsia" w:ascii="仿宋_GB2312" w:hAnsi="仿宋_GB2312" w:eastAsia="仿宋_GB2312"/>
          <w:bCs/>
          <w:color w:val="auto"/>
          <w:sz w:val="32"/>
          <w:szCs w:val="32"/>
        </w:rPr>
        <w:t>通过排气筒</w:t>
      </w:r>
      <w:r>
        <w:rPr>
          <w:rFonts w:hint="default" w:ascii="仿宋_GB2312" w:hAnsi="仿宋_GB2312" w:eastAsia="仿宋_GB2312"/>
          <w:bCs/>
          <w:color w:val="auto"/>
          <w:sz w:val="32"/>
          <w:szCs w:val="32"/>
          <w:lang w:val="en-US" w:eastAsia="zh-CN"/>
        </w:rPr>
        <w:t>（DA002，高度15m）</w:t>
      </w:r>
      <w:r>
        <w:rPr>
          <w:rFonts w:hint="eastAsia" w:ascii="仿宋_GB2312" w:hAnsi="仿宋_GB2312" w:eastAsia="仿宋_GB2312"/>
          <w:bCs/>
          <w:color w:val="auto"/>
          <w:sz w:val="32"/>
          <w:szCs w:val="32"/>
        </w:rPr>
        <w:t>排放。</w:t>
      </w:r>
      <w:r>
        <w:rPr>
          <w:rFonts w:hint="eastAsia" w:ascii="仿宋_GB2312" w:hAnsi="仿宋_GB2312" w:eastAsia="仿宋_GB2312"/>
          <w:bCs/>
          <w:color w:val="auto"/>
          <w:sz w:val="32"/>
          <w:szCs w:val="32"/>
          <w:lang w:val="en-US" w:eastAsia="zh-CN"/>
        </w:rPr>
        <w:t>项目103车间含氢废气经“二级冷凝”处理后经</w:t>
      </w:r>
      <w:r>
        <w:rPr>
          <w:rFonts w:hint="eastAsia" w:ascii="仿宋_GB2312" w:hAnsi="仿宋_GB2312" w:eastAsia="仿宋_GB2312"/>
          <w:bCs/>
          <w:color w:val="auto"/>
          <w:sz w:val="32"/>
          <w:szCs w:val="32"/>
        </w:rPr>
        <w:t>排气筒</w:t>
      </w:r>
      <w:r>
        <w:rPr>
          <w:rFonts w:hint="default" w:ascii="仿宋_GB2312" w:hAnsi="仿宋_GB2312" w:eastAsia="仿宋_GB2312"/>
          <w:bCs/>
          <w:color w:val="auto"/>
          <w:sz w:val="32"/>
          <w:szCs w:val="32"/>
          <w:lang w:val="en-US" w:eastAsia="zh-CN"/>
        </w:rPr>
        <w:t>（DA003，高度</w:t>
      </w:r>
      <w:r>
        <w:rPr>
          <w:rFonts w:hint="eastAsia" w:ascii="仿宋_GB2312" w:hAnsi="仿宋_GB2312" w:eastAsia="仿宋_GB2312"/>
          <w:bCs/>
          <w:color w:val="auto"/>
          <w:sz w:val="32"/>
          <w:szCs w:val="32"/>
          <w:lang w:val="en-US" w:eastAsia="zh-CN"/>
        </w:rPr>
        <w:t>20</w:t>
      </w:r>
      <w:r>
        <w:rPr>
          <w:rFonts w:hint="default" w:ascii="仿宋_GB2312" w:hAnsi="仿宋_GB2312" w:eastAsia="仿宋_GB2312"/>
          <w:bCs/>
          <w:color w:val="auto"/>
          <w:sz w:val="32"/>
          <w:szCs w:val="32"/>
          <w:lang w:val="en-US" w:eastAsia="zh-CN"/>
        </w:rPr>
        <w:t>m</w:t>
      </w:r>
      <w:r>
        <w:rPr>
          <w:rFonts w:hint="default" w:ascii="仿宋_GB2312" w:hAnsi="仿宋_GB2312" w:eastAsia="仿宋_GB2312"/>
          <w:bCs/>
          <w:color w:val="auto"/>
          <w:sz w:val="32"/>
          <w:szCs w:val="32"/>
          <w:lang w:val="en-US" w:eastAsia="zh-CN"/>
        </w:rPr>
        <w:t>）</w:t>
      </w:r>
      <w:r>
        <w:rPr>
          <w:rFonts w:hint="eastAsia" w:ascii="仿宋_GB2312" w:hAnsi="仿宋_GB2312" w:eastAsia="仿宋_GB2312"/>
          <w:bCs/>
          <w:color w:val="auto"/>
          <w:sz w:val="32"/>
          <w:szCs w:val="32"/>
        </w:rPr>
        <w:t>排放。</w:t>
      </w:r>
      <w:r>
        <w:rPr>
          <w:rFonts w:hint="eastAsia" w:ascii="仿宋_GB2312" w:hAnsi="仿宋_GB2312" w:eastAsia="仿宋_GB2312"/>
          <w:bCs/>
          <w:color w:val="auto"/>
          <w:sz w:val="32"/>
          <w:szCs w:val="32"/>
          <w:lang w:val="en-US" w:eastAsia="zh-CN"/>
        </w:rPr>
        <w:t>项目104车间含氢废气经“一级水封”处理后经</w:t>
      </w:r>
      <w:r>
        <w:rPr>
          <w:rFonts w:hint="eastAsia" w:ascii="仿宋_GB2312" w:hAnsi="仿宋_GB2312" w:eastAsia="仿宋_GB2312"/>
          <w:bCs/>
          <w:color w:val="auto"/>
          <w:sz w:val="32"/>
          <w:szCs w:val="32"/>
        </w:rPr>
        <w:t>排气筒</w:t>
      </w:r>
      <w:r>
        <w:rPr>
          <w:rFonts w:hint="default" w:ascii="仿宋_GB2312" w:hAnsi="仿宋_GB2312" w:eastAsia="仿宋_GB2312"/>
          <w:bCs/>
          <w:color w:val="auto"/>
          <w:sz w:val="32"/>
          <w:szCs w:val="32"/>
          <w:lang w:val="en-US" w:eastAsia="zh-CN"/>
        </w:rPr>
        <w:t>（DA004，高度</w:t>
      </w:r>
      <w:r>
        <w:rPr>
          <w:rFonts w:hint="eastAsia" w:ascii="仿宋_GB2312" w:hAnsi="仿宋_GB2312" w:eastAsia="仿宋_GB2312"/>
          <w:bCs/>
          <w:color w:val="auto"/>
          <w:sz w:val="32"/>
          <w:szCs w:val="32"/>
          <w:lang w:val="en-US" w:eastAsia="zh-CN"/>
        </w:rPr>
        <w:t>20</w:t>
      </w:r>
      <w:r>
        <w:rPr>
          <w:rFonts w:hint="default" w:ascii="仿宋_GB2312" w:hAnsi="仿宋_GB2312" w:eastAsia="仿宋_GB2312"/>
          <w:bCs/>
          <w:color w:val="auto"/>
          <w:sz w:val="32"/>
          <w:szCs w:val="32"/>
          <w:lang w:val="en-US" w:eastAsia="zh-CN"/>
        </w:rPr>
        <w:t>m</w:t>
      </w:r>
      <w:r>
        <w:rPr>
          <w:rFonts w:hint="default" w:ascii="仿宋_GB2312" w:hAnsi="仿宋_GB2312" w:eastAsia="仿宋_GB2312"/>
          <w:bCs/>
          <w:color w:val="auto"/>
          <w:sz w:val="32"/>
          <w:szCs w:val="32"/>
          <w:lang w:val="en-US" w:eastAsia="zh-CN"/>
        </w:rPr>
        <w:t>）</w:t>
      </w:r>
      <w:r>
        <w:rPr>
          <w:rFonts w:hint="eastAsia" w:ascii="仿宋_GB2312" w:hAnsi="仿宋_GB2312" w:eastAsia="仿宋_GB2312"/>
          <w:bCs/>
          <w:color w:val="auto"/>
          <w:sz w:val="32"/>
          <w:szCs w:val="32"/>
        </w:rPr>
        <w:t>排放。</w:t>
      </w:r>
    </w:p>
    <w:p>
      <w:pPr>
        <w:pStyle w:val="41"/>
        <w:keepNext w:val="0"/>
        <w:keepLines w:val="0"/>
        <w:pageBreakBefore w:val="0"/>
        <w:kinsoku/>
        <w:wordWrap/>
        <w:overflowPunct/>
        <w:topLinePunct w:val="0"/>
        <w:autoSpaceDE/>
        <w:autoSpaceDN/>
        <w:bidi w:val="0"/>
        <w:spacing w:line="520" w:lineRule="exact"/>
        <w:ind w:firstLine="640"/>
        <w:jc w:val="both"/>
        <w:textAlignment w:val="auto"/>
        <w:rPr>
          <w:rFonts w:hint="eastAsia" w:ascii="仿宋_GB2312" w:hAnsi="仿宋_GB2312" w:eastAsia="仿宋_GB2312"/>
          <w:bCs/>
          <w:color w:val="auto"/>
          <w:sz w:val="32"/>
          <w:szCs w:val="32"/>
          <w:lang w:val="en-US" w:eastAsia="zh-CN"/>
        </w:rPr>
      </w:pPr>
      <w:r>
        <w:rPr>
          <w:rFonts w:hint="eastAsia" w:ascii="仿宋_GB2312" w:hAnsi="仿宋_GB2312" w:eastAsia="仿宋_GB2312"/>
          <w:bCs/>
          <w:color w:val="auto"/>
          <w:sz w:val="32"/>
          <w:szCs w:val="32"/>
        </w:rPr>
        <w:t>以上废气经处理后，有组织排放的废气中</w:t>
      </w:r>
      <w:r>
        <w:rPr>
          <w:rFonts w:hint="eastAsia" w:ascii="仿宋_GB2312" w:hAnsi="仿宋_GB2312" w:eastAsia="仿宋_GB2312"/>
          <w:bCs/>
          <w:color w:val="auto"/>
          <w:sz w:val="32"/>
          <w:szCs w:val="32"/>
          <w:lang w:val="en-US" w:eastAsia="zh-CN"/>
        </w:rPr>
        <w:t>四氢呋喃、吡啶、DMF、正己烷执行《江西省地方标准挥发性有机物排放标准 第2部分：有机化工行业》（DB36/1101.2-2019）表2标准；丙酮、甲醇、二氯甲烷、乙腈、VOCs执行《江西省挥发性有机物排放标准第三部分：医药制造业》（DB36/1101.3-2019）表1标准；乙酸乙酯、三氯甲烷、苯执行《江西省挥发性有机物排放标准第三部分：医药制造业》（DB36/1101.3-2019）表1标准和《上海市地方标准  大气污染物综合排放标准》（DB31/933-2015）表1标准从严；氯化氢、颗粒物、非甲烷总烃执行《制药工业大气污染物排放标准》（GB37823-2019）表1和《上海市地方标准 大气污染物综合排放标准》（DB31/933-2015）表1标准从严；二氧化硫、氮氧化物、硫酸雾执行《上海市地方标准  大气污染物综合排放标准》（DB31/933-2015）表1标准；氨和硫化氢执行《制药工业大气污染物排放标准》（GB37823-2019）表1和《恶臭污染物排放标准》（GB14554-93）表2标准从严；三乙胺执行《上海市地方标准  大气污染物综合排放标准》（DB31/933-2015）附录A标准；臭气浓度（无量纲）执行《恶臭污染物排放标准》（GB14554-93）表2标准；甲醛执行《制药工业大气污染物排放标准》（GB37823-2019）表1和表4标准；甲苯、苯酚（酚类）执行《江西省地方标准挥发性有机物排放标准第2部分：有机化工行业》（DB36/1101.2-2019）表1、表2和《上海市地方标准  大气污染物综合排放标准》（DB31/933-2015）表1标准从严。天然气锅炉排气筒废气污染物二氧化硫、氮氧化物、颗粒物等执行《锅炉大气污染物排放标准》（GB13271-2014）中表2燃气锅炉排放标准。</w:t>
      </w:r>
    </w:p>
    <w:p>
      <w:pPr>
        <w:pStyle w:val="41"/>
        <w:keepNext w:val="0"/>
        <w:keepLines w:val="0"/>
        <w:pageBreakBefore w:val="0"/>
        <w:kinsoku/>
        <w:wordWrap/>
        <w:overflowPunct/>
        <w:topLinePunct w:val="0"/>
        <w:autoSpaceDE/>
        <w:autoSpaceDN/>
        <w:bidi w:val="0"/>
        <w:spacing w:line="520" w:lineRule="exact"/>
        <w:ind w:firstLine="640"/>
        <w:jc w:val="both"/>
        <w:textAlignment w:val="auto"/>
        <w:rPr>
          <w:rFonts w:hint="eastAsia" w:ascii="仿宋_GB2312" w:hAnsi="仿宋_GB2312" w:eastAsia="仿宋_GB2312"/>
          <w:bCs/>
          <w:color w:val="auto"/>
          <w:sz w:val="32"/>
          <w:szCs w:val="32"/>
          <w:lang w:val="en-US" w:eastAsia="zh-CN"/>
        </w:rPr>
      </w:pPr>
      <w:r>
        <w:rPr>
          <w:rFonts w:hint="eastAsia" w:ascii="仿宋_GB2312" w:hAnsi="仿宋_GB2312" w:eastAsia="仿宋_GB2312"/>
          <w:bCs/>
          <w:color w:val="auto"/>
          <w:sz w:val="32"/>
          <w:szCs w:val="32"/>
        </w:rPr>
        <w:t>无组织废气包括生产车间原辅材料、物料转运和物料贮存</w:t>
      </w:r>
      <w:r>
        <w:rPr>
          <w:rFonts w:hint="eastAsia" w:ascii="仿宋_GB2312" w:hAnsi="仿宋_GB2312" w:eastAsia="仿宋_GB2312"/>
          <w:bCs/>
          <w:color w:val="auto"/>
          <w:sz w:val="32"/>
          <w:szCs w:val="32"/>
          <w:lang w:eastAsia="zh-CN"/>
        </w:rPr>
        <w:t>产生</w:t>
      </w:r>
      <w:r>
        <w:rPr>
          <w:rFonts w:hint="eastAsia" w:ascii="仿宋_GB2312" w:hAnsi="仿宋_GB2312" w:eastAsia="仿宋_GB2312"/>
          <w:bCs/>
          <w:color w:val="auto"/>
          <w:sz w:val="32"/>
          <w:szCs w:val="32"/>
        </w:rPr>
        <w:t>的</w:t>
      </w:r>
      <w:r>
        <w:rPr>
          <w:rFonts w:hint="eastAsia" w:ascii="仿宋_GB2312" w:hAnsi="仿宋_GB2312" w:eastAsia="仿宋_GB2312"/>
          <w:bCs/>
          <w:color w:val="auto"/>
          <w:sz w:val="32"/>
          <w:szCs w:val="32"/>
          <w:lang w:eastAsia="zh-CN"/>
        </w:rPr>
        <w:t>废气</w:t>
      </w:r>
      <w:r>
        <w:rPr>
          <w:rFonts w:hint="eastAsia" w:ascii="仿宋_GB2312" w:hAnsi="仿宋_GB2312" w:eastAsia="仿宋_GB2312"/>
          <w:bCs/>
          <w:color w:val="auto"/>
          <w:sz w:val="32"/>
          <w:szCs w:val="32"/>
        </w:rPr>
        <w:t>，污水处理站、危废暂存库未收集到的废气</w:t>
      </w:r>
      <w:r>
        <w:rPr>
          <w:rFonts w:hint="eastAsia" w:ascii="仿宋_GB2312" w:hAnsi="仿宋_GB2312" w:eastAsia="仿宋_GB2312"/>
          <w:bCs/>
          <w:color w:val="auto"/>
          <w:sz w:val="32"/>
          <w:szCs w:val="32"/>
          <w:lang w:val="en-US" w:eastAsia="zh-CN"/>
        </w:rPr>
        <w:t>及储罐区废气</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厂界</w:t>
      </w:r>
      <w:r>
        <w:rPr>
          <w:rFonts w:hint="eastAsia" w:ascii="仿宋_GB2312" w:hAnsi="仿宋_GB2312" w:eastAsia="仿宋_GB2312"/>
          <w:bCs/>
          <w:color w:val="auto"/>
          <w:sz w:val="32"/>
          <w:szCs w:val="32"/>
          <w:lang w:val="en-US" w:eastAsia="zh-CN"/>
        </w:rPr>
        <w:t>丙酮、甲醇、二氯甲烷、乙腈、苯酚（酚类）、甲苯、三氯甲烷、苯、VOCs执行《江西省挥发性有机物排放标准第三部分：医药制造业》（DB36/1101.3-2019）表3标准；硫酸雾、颗粒物执行《大气污染物综合排放标准》（GB16297-1996）表1标准；乙酸乙酯执行《上海市地方标准 大气污染物综合排放标准》（DB31/933-2015）表3标准；氯化氢执行《制药工业大气污染物排放标准》（GB37823-2019）表4标准；氨、硫化氢、臭气浓度（无量纲）执行《恶臭污染物排放标准》（GB14554-93）表1标准；非甲烷总烃厂界执行《江西省挥发性有机物排放标准第三部分：医药制造业》（DB36/1101.3-2019）表3标准，厂房外执行《挥发性有机物无组织排放控制标准》（GB37822-2019）表A.1标准。</w:t>
      </w:r>
    </w:p>
    <w:p>
      <w:pPr>
        <w:pStyle w:val="41"/>
        <w:keepNext w:val="0"/>
        <w:keepLines w:val="0"/>
        <w:pageBreakBefore w:val="0"/>
        <w:kinsoku/>
        <w:wordWrap/>
        <w:overflowPunct/>
        <w:topLinePunct w:val="0"/>
        <w:autoSpaceDE/>
        <w:autoSpaceDN/>
        <w:bidi w:val="0"/>
        <w:spacing w:line="520" w:lineRule="exact"/>
        <w:ind w:firstLine="640"/>
        <w:jc w:val="both"/>
        <w:textAlignment w:val="auto"/>
        <w:rPr>
          <w:rFonts w:hint="default" w:ascii="仿宋_GB2312" w:hAnsi="仿宋_GB2312" w:eastAsia="仿宋_GB2312"/>
          <w:bCs/>
          <w:color w:val="auto"/>
          <w:sz w:val="32"/>
          <w:szCs w:val="32"/>
          <w:lang w:val="en-US" w:eastAsia="zh-CN"/>
        </w:rPr>
      </w:pPr>
      <w:r>
        <w:rPr>
          <w:rFonts w:hint="eastAsia" w:ascii="仿宋_GB2312" w:hAnsi="仿宋_GB2312" w:eastAsia="仿宋_GB2312"/>
          <w:bCs/>
          <w:color w:val="auto"/>
          <w:sz w:val="32"/>
          <w:szCs w:val="32"/>
        </w:rPr>
        <w:t>本次</w:t>
      </w:r>
      <w:r>
        <w:rPr>
          <w:rFonts w:hint="eastAsia" w:ascii="仿宋_GB2312" w:hAnsi="仿宋_GB2312" w:eastAsia="仿宋_GB2312"/>
          <w:bCs/>
          <w:color w:val="auto"/>
          <w:sz w:val="32"/>
          <w:szCs w:val="32"/>
          <w:lang w:eastAsia="zh-CN"/>
        </w:rPr>
        <w:t>技改后</w:t>
      </w:r>
      <w:r>
        <w:rPr>
          <w:rFonts w:hint="eastAsia" w:ascii="仿宋_GB2312" w:hAnsi="仿宋_GB2312" w:eastAsia="仿宋_GB2312"/>
          <w:bCs/>
          <w:color w:val="auto"/>
          <w:sz w:val="32"/>
          <w:szCs w:val="32"/>
        </w:rPr>
        <w:t>全厂NOx排放量为</w:t>
      </w:r>
      <w:r>
        <w:rPr>
          <w:rFonts w:hint="eastAsia" w:ascii="仿宋_GB2312" w:hAnsi="仿宋_GB2312" w:eastAsia="仿宋_GB2312"/>
          <w:bCs/>
          <w:color w:val="auto"/>
          <w:sz w:val="32"/>
          <w:szCs w:val="32"/>
          <w:lang w:val="en-US" w:eastAsia="zh-CN"/>
        </w:rPr>
        <w:t>3.058</w:t>
      </w:r>
      <w:r>
        <w:rPr>
          <w:rFonts w:hint="eastAsia" w:ascii="仿宋_GB2312" w:hAnsi="仿宋_GB2312" w:eastAsia="仿宋_GB2312"/>
          <w:bCs/>
          <w:color w:val="auto"/>
          <w:sz w:val="32"/>
          <w:szCs w:val="32"/>
        </w:rPr>
        <w:t>t/a，VOCs排放量为</w:t>
      </w:r>
      <w:r>
        <w:rPr>
          <w:rFonts w:hint="eastAsia" w:ascii="仿宋_GB2312" w:hAnsi="仿宋_GB2312" w:eastAsia="仿宋_GB2312"/>
          <w:bCs/>
          <w:color w:val="auto"/>
          <w:sz w:val="32"/>
          <w:szCs w:val="32"/>
          <w:lang w:val="en-US" w:eastAsia="zh-CN"/>
        </w:rPr>
        <w:t>8.09</w:t>
      </w:r>
      <w:r>
        <w:rPr>
          <w:rFonts w:hint="eastAsia" w:ascii="仿宋_GB2312" w:hAnsi="仿宋_GB2312" w:eastAsia="仿宋_GB2312"/>
          <w:bCs/>
          <w:color w:val="auto"/>
          <w:sz w:val="32"/>
          <w:szCs w:val="32"/>
        </w:rPr>
        <w:t>t/a。</w:t>
      </w:r>
    </w:p>
    <w:p>
      <w:pPr>
        <w:pStyle w:val="41"/>
        <w:keepNext w:val="0"/>
        <w:keepLines w:val="0"/>
        <w:pageBreakBefore w:val="0"/>
        <w:kinsoku/>
        <w:wordWrap/>
        <w:overflowPunct/>
        <w:topLinePunct w:val="0"/>
        <w:autoSpaceDE/>
        <w:autoSpaceDN/>
        <w:bidi w:val="0"/>
        <w:spacing w:line="520" w:lineRule="exact"/>
        <w:ind w:left="0" w:leftChars="0" w:firstLine="640" w:firstLineChars="200"/>
        <w:jc w:val="both"/>
        <w:textAlignment w:val="auto"/>
        <w:rPr>
          <w:rFonts w:hint="default" w:ascii="仿宋_GB2312" w:hAnsi="仿宋_GB2312" w:eastAsia="仿宋_GB2312"/>
          <w:bCs/>
          <w:color w:val="auto"/>
          <w:sz w:val="32"/>
          <w:szCs w:val="32"/>
          <w:lang w:val="en-US"/>
        </w:rPr>
      </w:pPr>
      <w:r>
        <w:rPr>
          <w:rFonts w:hint="eastAsia" w:ascii="楷体_GB2312" w:hAnsi="楷体_GB2312" w:eastAsia="楷体_GB2312" w:cs="楷体_GB2312"/>
          <w:b w:val="0"/>
          <w:bCs w:val="0"/>
          <w:i w:val="0"/>
          <w:iCs w:val="0"/>
          <w:caps w:val="0"/>
          <w:color w:val="auto"/>
          <w:spacing w:val="0"/>
          <w:sz w:val="32"/>
          <w:szCs w:val="32"/>
          <w:u w:val="none"/>
        </w:rPr>
        <w:t>（</w:t>
      </w:r>
      <w:r>
        <w:rPr>
          <w:rFonts w:hint="eastAsia" w:ascii="楷体_GB2312" w:hAnsi="楷体_GB2312" w:eastAsia="楷体_GB2312" w:cs="楷体_GB2312"/>
          <w:b w:val="0"/>
          <w:bCs w:val="0"/>
          <w:i w:val="0"/>
          <w:iCs w:val="0"/>
          <w:caps w:val="0"/>
          <w:color w:val="auto"/>
          <w:spacing w:val="0"/>
          <w:sz w:val="32"/>
          <w:szCs w:val="32"/>
          <w:u w:val="none"/>
          <w:lang w:eastAsia="zh-CN"/>
        </w:rPr>
        <w:t>三</w:t>
      </w:r>
      <w:r>
        <w:rPr>
          <w:rFonts w:hint="eastAsia" w:ascii="楷体_GB2312" w:hAnsi="楷体_GB2312" w:eastAsia="楷体_GB2312" w:cs="楷体_GB2312"/>
          <w:b w:val="0"/>
          <w:bCs w:val="0"/>
          <w:i w:val="0"/>
          <w:iCs w:val="0"/>
          <w:caps w:val="0"/>
          <w:color w:val="auto"/>
          <w:spacing w:val="0"/>
          <w:sz w:val="32"/>
          <w:szCs w:val="32"/>
          <w:u w:val="none"/>
        </w:rPr>
        <w:t>）严格落实土壤和地下水污染防治措施。</w:t>
      </w:r>
    </w:p>
    <w:p>
      <w:pPr>
        <w:pStyle w:val="41"/>
        <w:keepNext w:val="0"/>
        <w:keepLines w:val="0"/>
        <w:pageBreakBefore w:val="0"/>
        <w:kinsoku/>
        <w:wordWrap/>
        <w:overflowPunct/>
        <w:topLinePunct w:val="0"/>
        <w:autoSpaceDE/>
        <w:autoSpaceDN/>
        <w:bidi w:val="0"/>
        <w:spacing w:line="520" w:lineRule="exact"/>
        <w:ind w:firstLine="640"/>
        <w:jc w:val="both"/>
        <w:textAlignment w:val="auto"/>
        <w:rPr>
          <w:rFonts w:hint="eastAsia" w:ascii="仿宋_GB2312" w:hAnsi="仿宋_GB2312" w:eastAsia="仿宋_GB2312"/>
          <w:bCs/>
          <w:color w:val="auto"/>
          <w:sz w:val="32"/>
          <w:szCs w:val="32"/>
          <w:lang w:val="en-US" w:eastAsia="zh-CN"/>
        </w:rPr>
      </w:pPr>
      <w:r>
        <w:rPr>
          <w:rFonts w:hint="default" w:ascii="仿宋_GB2312" w:hAnsi="仿宋_GB2312" w:eastAsia="仿宋_GB2312"/>
          <w:bCs/>
          <w:color w:val="auto"/>
          <w:sz w:val="32"/>
          <w:szCs w:val="32"/>
          <w:lang w:val="en-US" w:eastAsia="zh-CN"/>
        </w:rPr>
        <w:t>按照“源头防控、分区防治、污染监控、应急响应”的原则进行土壤和地下水污染防治。</w:t>
      </w:r>
      <w:r>
        <w:rPr>
          <w:rFonts w:hint="eastAsia" w:ascii="仿宋_GB2312" w:hAnsi="仿宋_GB2312" w:eastAsia="仿宋_GB2312"/>
          <w:bCs/>
          <w:color w:val="auto"/>
          <w:sz w:val="32"/>
          <w:szCs w:val="32"/>
          <w:lang w:val="en-US" w:eastAsia="zh-CN"/>
        </w:rPr>
        <w:t>重点防渗区包括甲类罐区、初期雨水池及事故应急池、污水处理区、甲类车间、危废暂存间、甲类仓库等，防渗设计要求等效黏土防渗层Mb≥6.0m，K≤1×10-10cm/s；一般防渗区包括消防水泵房、循环及消防水池等，防渗设计要求等效黏土防渗层Mb≥1.5m，K≤1×10-7cm/s；简单防渗区包括：门卫、中央控制室、办公楼、公用工程间等，一般地面硬化。在上游东港村、项目厂区内、厂区下游罗家员各设置1个地下水监控井，定期进行监测，发现问题后应立即启动应急预案，防止物料及污水渗漏造成地下水和土壤污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Cs/>
          <w:color w:val="auto"/>
          <w:sz w:val="32"/>
          <w:szCs w:val="32"/>
          <w:lang w:val="en-US" w:eastAsia="zh-CN"/>
        </w:rPr>
      </w:pPr>
      <w:r>
        <w:rPr>
          <w:rFonts w:hint="eastAsia" w:ascii="楷体_GB2312" w:hAnsi="楷体_GB2312" w:eastAsia="楷体_GB2312" w:cs="楷体_GB2312"/>
          <w:bCs/>
          <w:color w:val="auto"/>
          <w:sz w:val="32"/>
          <w:szCs w:val="32"/>
          <w:lang w:val="en-US" w:eastAsia="zh-CN"/>
        </w:rPr>
        <w:t>（四）严格落实固体废物污染防治措施。</w:t>
      </w:r>
    </w:p>
    <w:p>
      <w:pPr>
        <w:pStyle w:val="41"/>
        <w:keepNext w:val="0"/>
        <w:keepLines w:val="0"/>
        <w:pageBreakBefore w:val="0"/>
        <w:kinsoku/>
        <w:wordWrap/>
        <w:overflowPunct/>
        <w:topLinePunct w:val="0"/>
        <w:autoSpaceDE/>
        <w:autoSpaceDN/>
        <w:bidi w:val="0"/>
        <w:spacing w:line="520" w:lineRule="exact"/>
        <w:ind w:firstLine="640"/>
        <w:jc w:val="both"/>
        <w:textAlignment w:val="auto"/>
        <w:rPr>
          <w:rFonts w:hint="eastAsia" w:ascii="仿宋_GB2312" w:hAnsi="仿宋_GB2312" w:eastAsia="仿宋_GB2312"/>
          <w:bCs/>
          <w:color w:val="auto"/>
          <w:sz w:val="32"/>
          <w:szCs w:val="32"/>
          <w:lang w:val="en-US" w:eastAsia="zh-CN"/>
        </w:rPr>
      </w:pPr>
      <w:r>
        <w:rPr>
          <w:rFonts w:hint="eastAsia" w:ascii="仿宋_GB2312" w:hAnsi="仿宋_GB2312" w:eastAsia="仿宋_GB2312"/>
          <w:bCs/>
          <w:color w:val="auto"/>
          <w:sz w:val="32"/>
          <w:szCs w:val="32"/>
          <w:lang w:val="en-US" w:eastAsia="zh-CN"/>
        </w:rPr>
        <w:t>本项目固体废物主要包括精（蒸）馏残渣、废液、滤渣、废催化剂、废冷凝液、实验室废液、废活性炭</w:t>
      </w:r>
      <w:r>
        <w:rPr>
          <w:rFonts w:hint="eastAsia" w:ascii="仿宋_GB2312" w:hAnsi="仿宋_GB2312" w:eastAsia="仿宋_GB2312"/>
          <w:bCs/>
          <w:color w:val="auto"/>
          <w:sz w:val="32"/>
          <w:szCs w:val="32"/>
          <w:lang w:val="en-US" w:eastAsia="zh-CN"/>
        </w:rPr>
        <w:t>、废水处理污泥、废包装材料、废分子筛和生活垃圾。</w:t>
      </w:r>
    </w:p>
    <w:p>
      <w:pPr>
        <w:pStyle w:val="41"/>
        <w:keepNext w:val="0"/>
        <w:keepLines w:val="0"/>
        <w:pageBreakBefore w:val="0"/>
        <w:kinsoku/>
        <w:wordWrap/>
        <w:overflowPunct/>
        <w:topLinePunct w:val="0"/>
        <w:autoSpaceDE/>
        <w:autoSpaceDN/>
        <w:bidi w:val="0"/>
        <w:spacing w:line="520" w:lineRule="exact"/>
        <w:ind w:firstLine="640"/>
        <w:jc w:val="both"/>
        <w:textAlignment w:val="auto"/>
        <w:rPr>
          <w:rFonts w:hint="eastAsia" w:ascii="仿宋_GB2312" w:hAnsi="仿宋_GB2312" w:eastAsia="仿宋_GB2312"/>
          <w:bCs/>
          <w:color w:val="auto"/>
          <w:sz w:val="32"/>
          <w:szCs w:val="32"/>
          <w:lang w:val="en-GB" w:eastAsia="zh-CN"/>
        </w:rPr>
      </w:pPr>
      <w:r>
        <w:rPr>
          <w:rFonts w:hint="eastAsia" w:ascii="仿宋_GB2312" w:hAnsi="仿宋_GB2312" w:eastAsia="仿宋_GB2312"/>
          <w:bCs/>
          <w:color w:val="auto"/>
          <w:sz w:val="32"/>
          <w:szCs w:val="32"/>
          <w:lang w:val="en-US" w:eastAsia="zh-CN"/>
        </w:rPr>
        <w:t>除去氘代溴苯生产中产生的废液交由厂家回收综合利用外，剩下的废液和精（蒸）馏残渣、滤渣、废催化剂、废冷凝液、实验室废液、废活性炭、废水处理污泥、废包装材料为危险废物，应交由有危废处理资质单位处理；</w:t>
      </w:r>
      <w:r>
        <w:rPr>
          <w:rFonts w:hint="eastAsia" w:ascii="仿宋_GB2312" w:hAnsi="仿宋_GB2312" w:eastAsia="仿宋_GB2312"/>
          <w:bCs/>
          <w:color w:val="auto"/>
          <w:sz w:val="32"/>
          <w:szCs w:val="32"/>
          <w:lang w:val="en-GB" w:eastAsia="zh-CN"/>
        </w:rPr>
        <w:t>废分子筛</w:t>
      </w:r>
      <w:r>
        <w:rPr>
          <w:rFonts w:hint="eastAsia" w:ascii="仿宋_GB2312" w:hAnsi="仿宋_GB2312" w:eastAsia="仿宋_GB2312"/>
          <w:bCs/>
          <w:color w:val="auto"/>
          <w:sz w:val="32"/>
          <w:szCs w:val="32"/>
          <w:lang w:val="en-US" w:eastAsia="zh-CN"/>
        </w:rPr>
        <w:t>统一收集后由</w:t>
      </w:r>
      <w:r>
        <w:rPr>
          <w:rFonts w:hint="default" w:ascii="仿宋_GB2312" w:hAnsi="仿宋_GB2312" w:eastAsia="仿宋_GB2312"/>
          <w:bCs/>
          <w:color w:val="auto"/>
          <w:sz w:val="32"/>
          <w:szCs w:val="32"/>
          <w:lang w:val="en-GB" w:eastAsia="zh-CN"/>
        </w:rPr>
        <w:t>厂家回收</w:t>
      </w:r>
      <w:r>
        <w:rPr>
          <w:rFonts w:hint="eastAsia" w:ascii="仿宋_GB2312" w:hAnsi="仿宋_GB2312" w:eastAsia="仿宋_GB2312"/>
          <w:bCs/>
          <w:color w:val="auto"/>
          <w:sz w:val="32"/>
          <w:szCs w:val="32"/>
          <w:lang w:val="en-GB" w:eastAsia="zh-CN"/>
        </w:rPr>
        <w:t>综合利用；</w:t>
      </w:r>
      <w:r>
        <w:rPr>
          <w:rFonts w:hint="default" w:ascii="仿宋_GB2312" w:hAnsi="仿宋_GB2312" w:eastAsia="仿宋_GB2312"/>
          <w:bCs/>
          <w:color w:val="auto"/>
          <w:sz w:val="32"/>
          <w:szCs w:val="32"/>
          <w:lang w:val="en-GB" w:eastAsia="zh-CN"/>
        </w:rPr>
        <w:t>生活垃圾</w:t>
      </w:r>
      <w:r>
        <w:rPr>
          <w:rFonts w:hint="default" w:ascii="仿宋_GB2312" w:hAnsi="仿宋_GB2312" w:eastAsia="仿宋_GB2312"/>
          <w:bCs/>
          <w:color w:val="auto"/>
          <w:sz w:val="32"/>
          <w:szCs w:val="32"/>
          <w:lang w:val="en-US" w:eastAsia="zh-CN"/>
        </w:rPr>
        <w:t>由</w:t>
      </w:r>
      <w:r>
        <w:rPr>
          <w:rFonts w:hint="eastAsia" w:ascii="仿宋_GB2312" w:hAnsi="仿宋_GB2312" w:eastAsia="仿宋_GB2312"/>
          <w:bCs/>
          <w:color w:val="auto"/>
          <w:sz w:val="32"/>
          <w:szCs w:val="32"/>
          <w:lang w:val="en-US" w:eastAsia="zh-CN"/>
        </w:rPr>
        <w:t>园区</w:t>
      </w:r>
      <w:r>
        <w:rPr>
          <w:rFonts w:hint="default" w:ascii="仿宋_GB2312" w:hAnsi="仿宋_GB2312" w:eastAsia="仿宋_GB2312"/>
          <w:bCs/>
          <w:color w:val="auto"/>
          <w:sz w:val="32"/>
          <w:szCs w:val="32"/>
          <w:lang w:val="en-US" w:eastAsia="zh-CN"/>
        </w:rPr>
        <w:t>环卫部门定期清运</w:t>
      </w:r>
      <w:r>
        <w:rPr>
          <w:rFonts w:hint="eastAsia" w:ascii="仿宋_GB2312" w:hAnsi="仿宋_GB2312" w:eastAsia="仿宋_GB2312"/>
          <w:bCs/>
          <w:color w:val="auto"/>
          <w:sz w:val="32"/>
          <w:szCs w:val="32"/>
          <w:lang w:val="en-US" w:eastAsia="zh-CN"/>
        </w:rPr>
        <w:t>。</w:t>
      </w:r>
    </w:p>
    <w:p>
      <w:pPr>
        <w:pStyle w:val="41"/>
        <w:keepNext w:val="0"/>
        <w:keepLines w:val="0"/>
        <w:pageBreakBefore w:val="0"/>
        <w:kinsoku/>
        <w:wordWrap/>
        <w:overflowPunct/>
        <w:topLinePunct w:val="0"/>
        <w:autoSpaceDE/>
        <w:autoSpaceDN/>
        <w:bidi w:val="0"/>
        <w:spacing w:line="520" w:lineRule="exact"/>
        <w:ind w:firstLine="640"/>
        <w:jc w:val="both"/>
        <w:textAlignment w:val="auto"/>
        <w:rPr>
          <w:rFonts w:hint="eastAsia" w:ascii="仿宋_GB2312" w:hAnsi="仿宋_GB2312" w:eastAsia="仿宋_GB2312"/>
          <w:bCs/>
          <w:color w:val="auto"/>
          <w:sz w:val="32"/>
          <w:szCs w:val="32"/>
          <w:lang w:val="en-US" w:eastAsia="zh-CN"/>
        </w:rPr>
      </w:pPr>
      <w:r>
        <w:rPr>
          <w:rFonts w:hint="eastAsia" w:ascii="仿宋_GB2312" w:hAnsi="仿宋_GB2312" w:eastAsia="仿宋_GB2312"/>
          <w:bCs/>
          <w:color w:val="auto"/>
          <w:sz w:val="32"/>
          <w:szCs w:val="32"/>
          <w:lang w:val="en-US" w:eastAsia="zh-CN"/>
        </w:rPr>
        <w:t>固废在送出厂外处理处置前，在厂内分类收集、暂存。一般固废暂存场应符合《一般工业固体废物贮存和填埋污染控制标准》（GB18599-2020），危险废物暂存库设计、建设和运行必须满足《危险废物贮存污染控制标准》（GB18597-2001）要求。</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（五）严格落实噪声污染防治措施。</w:t>
      </w:r>
      <w:r>
        <w:rPr>
          <w:rFonts w:hint="eastAsia" w:ascii="仿宋_GB2312" w:hAnsi="仿宋_GB2312" w:eastAsia="仿宋_GB2312" w:cs="Times New Roman"/>
          <w:bCs/>
          <w:color w:val="auto"/>
          <w:kern w:val="2"/>
          <w:sz w:val="32"/>
          <w:szCs w:val="32"/>
          <w:lang w:val="en-US" w:eastAsia="zh-CN" w:bidi="ar-SA"/>
        </w:rPr>
        <w:t>应</w:t>
      </w:r>
      <w:r>
        <w:rPr>
          <w:rFonts w:hint="default" w:ascii="仿宋_GB2312" w:hAnsi="仿宋_GB2312" w:eastAsia="仿宋_GB2312" w:cs="Times New Roman"/>
          <w:bCs/>
          <w:color w:val="auto"/>
          <w:kern w:val="2"/>
          <w:sz w:val="32"/>
          <w:szCs w:val="32"/>
          <w:lang w:val="en-US" w:eastAsia="zh-CN" w:bidi="ar-SA"/>
        </w:rPr>
        <w:t>优先选用低噪声设备，优化高噪声设备布局，采取消声、隔声、减振等降噪措施，确保厂界噪声执行《工业企业厂界环境噪声排放标准》（GB12348-2008）3类标准要求。</w:t>
      </w:r>
    </w:p>
    <w:p>
      <w:pPr>
        <w:pStyle w:val="41"/>
        <w:keepNext w:val="0"/>
        <w:keepLines w:val="0"/>
        <w:pageBreakBefore w:val="0"/>
        <w:kinsoku/>
        <w:wordWrap/>
        <w:overflowPunct/>
        <w:topLinePunct w:val="0"/>
        <w:autoSpaceDE/>
        <w:autoSpaceDN/>
        <w:bidi w:val="0"/>
        <w:spacing w:line="520" w:lineRule="exact"/>
        <w:ind w:firstLine="640"/>
        <w:textAlignment w:val="auto"/>
        <w:rPr>
          <w:rFonts w:hint="eastAsia" w:ascii="仿宋_GB2312" w:hAnsi="仿宋_GB2312" w:eastAsia="仿宋_GB2312"/>
          <w:bCs/>
          <w:color w:val="auto"/>
          <w:sz w:val="32"/>
          <w:szCs w:val="32"/>
        </w:rPr>
      </w:pPr>
      <w:r>
        <w:rPr>
          <w:rFonts w:hint="eastAsia" w:ascii="楷体_GB2312" w:hAnsi="楷体_GB2312" w:eastAsia="楷体_GB2312" w:cs="楷体_GB2312"/>
          <w:color w:val="auto"/>
          <w:kern w:val="0"/>
          <w:sz w:val="32"/>
          <w:szCs w:val="32"/>
          <w:lang w:val="en-US" w:eastAsia="zh-CN" w:bidi="ar-SA"/>
        </w:rPr>
        <w:t>（六）严格落实环境风险防范措施。</w:t>
      </w:r>
      <w:r>
        <w:rPr>
          <w:rFonts w:hint="eastAsia" w:ascii="仿宋_GB2312" w:hAnsi="仿宋_GB2312" w:eastAsia="仿宋_GB2312"/>
          <w:bCs/>
          <w:color w:val="auto"/>
          <w:sz w:val="32"/>
          <w:szCs w:val="32"/>
          <w:lang w:eastAsia="zh-CN"/>
        </w:rPr>
        <w:t>本</w:t>
      </w:r>
      <w:r>
        <w:rPr>
          <w:rFonts w:hint="eastAsia" w:ascii="仿宋_GB2312" w:hAnsi="仿宋_GB2312" w:eastAsia="仿宋_GB2312"/>
          <w:bCs/>
          <w:color w:val="auto"/>
          <w:sz w:val="32"/>
          <w:szCs w:val="32"/>
        </w:rPr>
        <w:t>项目环境风险主要为乙酸乙酯</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己烷</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氨水（浓度≥20%）</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甲苯</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盐酸（浓度≥37%）</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甲醇</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二氯甲烷</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丙酮</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异丙醇</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乙腈</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三氯化铝</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DMF</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甲醛</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苯酚</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lang w:val="en-US"/>
        </w:rPr>
        <w:t>高浓度废水</w:t>
      </w:r>
      <w:r>
        <w:rPr>
          <w:rFonts w:hint="eastAsia" w:ascii="仿宋_GB2312" w:hAnsi="仿宋_GB2312" w:eastAsia="仿宋_GB2312"/>
          <w:bCs/>
          <w:color w:val="auto"/>
          <w:sz w:val="32"/>
          <w:szCs w:val="32"/>
        </w:rPr>
        <w:t>等风险</w:t>
      </w:r>
      <w:r>
        <w:rPr>
          <w:rFonts w:hint="eastAsia" w:ascii="仿宋_GB2312" w:hAnsi="仿宋_GB2312" w:eastAsia="仿宋_GB2312"/>
          <w:bCs/>
          <w:color w:val="auto"/>
          <w:sz w:val="32"/>
          <w:szCs w:val="32"/>
          <w:lang w:val="en-US" w:eastAsia="zh-CN"/>
        </w:rPr>
        <w:t>物质在贮存、使用、运输过程中发生泄露、火灾爆炸等</w:t>
      </w:r>
      <w:r>
        <w:rPr>
          <w:rFonts w:hint="eastAsia" w:ascii="仿宋_GB2312" w:hAnsi="仿宋_GB2312" w:eastAsia="仿宋_GB2312"/>
          <w:bCs/>
          <w:color w:val="auto"/>
          <w:sz w:val="32"/>
          <w:szCs w:val="32"/>
        </w:rPr>
        <w:t>，及污染防治措施发生故障时对周围环境的影响。</w:t>
      </w:r>
    </w:p>
    <w:p>
      <w:pPr>
        <w:pStyle w:val="41"/>
        <w:keepNext w:val="0"/>
        <w:keepLines w:val="0"/>
        <w:pageBreakBefore w:val="0"/>
        <w:kinsoku/>
        <w:wordWrap/>
        <w:overflowPunct/>
        <w:topLinePunct w:val="0"/>
        <w:autoSpaceDE/>
        <w:autoSpaceDN/>
        <w:bidi w:val="0"/>
        <w:spacing w:line="520" w:lineRule="exact"/>
        <w:ind w:firstLine="640"/>
        <w:textAlignment w:val="auto"/>
        <w:rPr>
          <w:rFonts w:hint="default" w:ascii="仿宋_GB2312" w:hAnsi="仿宋_GB2312" w:eastAsia="仿宋_GB2312"/>
          <w:bCs/>
          <w:color w:val="auto"/>
          <w:sz w:val="32"/>
          <w:szCs w:val="32"/>
          <w:lang w:val="en-US" w:eastAsia="zh-CN"/>
        </w:rPr>
      </w:pPr>
      <w:r>
        <w:rPr>
          <w:rFonts w:hint="eastAsia" w:ascii="仿宋_GB2312" w:hAnsi="仿宋_GB2312" w:eastAsia="仿宋_GB2312"/>
          <w:bCs/>
          <w:color w:val="auto"/>
          <w:sz w:val="32"/>
          <w:szCs w:val="32"/>
          <w:lang w:val="en-US" w:eastAsia="zh-CN"/>
        </w:rPr>
        <w:t>企业应</w:t>
      </w:r>
      <w:r>
        <w:rPr>
          <w:rFonts w:hint="default" w:ascii="仿宋_GB2312" w:hAnsi="仿宋_GB2312" w:eastAsia="仿宋_GB2312"/>
          <w:bCs/>
          <w:color w:val="auto"/>
          <w:sz w:val="32"/>
          <w:szCs w:val="32"/>
          <w:lang w:val="en-US" w:eastAsia="zh-CN"/>
        </w:rPr>
        <w:t>严格落实</w:t>
      </w:r>
      <w:r>
        <w:rPr>
          <w:rFonts w:hint="eastAsia" w:ascii="仿宋_GB2312" w:hAnsi="仿宋_GB2312" w:eastAsia="仿宋_GB2312"/>
          <w:bCs/>
          <w:color w:val="auto"/>
          <w:sz w:val="32"/>
          <w:szCs w:val="32"/>
          <w:lang w:val="en-US" w:eastAsia="zh-CN"/>
        </w:rPr>
        <w:t>《</w:t>
      </w:r>
      <w:r>
        <w:rPr>
          <w:rFonts w:hint="default" w:ascii="仿宋_GB2312" w:hAnsi="仿宋_GB2312" w:eastAsia="仿宋_GB2312"/>
          <w:bCs/>
          <w:color w:val="auto"/>
          <w:sz w:val="32"/>
          <w:szCs w:val="32"/>
          <w:lang w:val="en-US" w:eastAsia="zh-CN"/>
        </w:rPr>
        <w:t>报告书</w:t>
      </w:r>
      <w:r>
        <w:rPr>
          <w:rFonts w:hint="eastAsia" w:ascii="仿宋_GB2312" w:hAnsi="仿宋_GB2312" w:eastAsia="仿宋_GB2312"/>
          <w:bCs/>
          <w:color w:val="auto"/>
          <w:sz w:val="32"/>
          <w:szCs w:val="32"/>
          <w:lang w:val="en-US" w:eastAsia="zh-CN"/>
        </w:rPr>
        <w:t>》</w:t>
      </w:r>
      <w:r>
        <w:rPr>
          <w:rFonts w:hint="default" w:ascii="仿宋_GB2312" w:hAnsi="仿宋_GB2312" w:eastAsia="仿宋_GB2312"/>
          <w:bCs/>
          <w:color w:val="auto"/>
          <w:sz w:val="32"/>
          <w:szCs w:val="32"/>
          <w:lang w:val="en-US" w:eastAsia="zh-CN"/>
        </w:rPr>
        <w:t>和</w:t>
      </w:r>
      <w:r>
        <w:rPr>
          <w:rFonts w:hint="eastAsia" w:ascii="仿宋_GB2312" w:hAnsi="仿宋_GB2312" w:eastAsia="仿宋_GB2312"/>
          <w:bCs/>
          <w:color w:val="auto"/>
          <w:sz w:val="32"/>
          <w:szCs w:val="32"/>
          <w:lang w:val="en-US" w:eastAsia="zh-CN"/>
        </w:rPr>
        <w:t>《</w:t>
      </w:r>
      <w:r>
        <w:rPr>
          <w:rFonts w:hint="default" w:ascii="仿宋_GB2312" w:hAnsi="仿宋_GB2312" w:eastAsia="仿宋_GB2312"/>
          <w:bCs/>
          <w:color w:val="auto"/>
          <w:sz w:val="32"/>
          <w:szCs w:val="32"/>
          <w:lang w:val="en-US" w:eastAsia="zh-CN"/>
        </w:rPr>
        <w:t>评估意见</w:t>
      </w:r>
      <w:r>
        <w:rPr>
          <w:rFonts w:hint="eastAsia" w:ascii="仿宋_GB2312" w:hAnsi="仿宋_GB2312" w:eastAsia="仿宋_GB2312"/>
          <w:bCs/>
          <w:color w:val="auto"/>
          <w:sz w:val="32"/>
          <w:szCs w:val="32"/>
          <w:lang w:val="en-US" w:eastAsia="zh-CN"/>
        </w:rPr>
        <w:t>》</w:t>
      </w:r>
      <w:r>
        <w:rPr>
          <w:rFonts w:hint="default" w:ascii="仿宋_GB2312" w:hAnsi="仿宋_GB2312" w:eastAsia="仿宋_GB2312"/>
          <w:bCs/>
          <w:color w:val="auto"/>
          <w:sz w:val="32"/>
          <w:szCs w:val="32"/>
          <w:lang w:val="en-US" w:eastAsia="zh-CN"/>
        </w:rPr>
        <w:t>提出的各项环境风险防控措施。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市、县生态环境部门备案）应与园区相邻企业、当地政府进行有效衔接，定期协同有关部门开展应急演练。</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（七）严格落实规范排污口要求。</w:t>
      </w:r>
      <w:r>
        <w:rPr>
          <w:rFonts w:hint="default" w:ascii="仿宋_GB2312" w:hAnsi="仿宋_GB2312" w:eastAsia="仿宋_GB2312" w:cs="仿宋_GB2312"/>
          <w:color w:val="auto"/>
          <w:kern w:val="0"/>
          <w:sz w:val="32"/>
          <w:szCs w:val="32"/>
          <w:lang w:val="en-US" w:eastAsia="zh-CN"/>
        </w:rPr>
        <w:t>按国家和省、市排污口规范化要求设置各类排污口和标识并建档。</w:t>
      </w:r>
    </w:p>
    <w:p>
      <w:pPr>
        <w:pStyle w:val="41"/>
        <w:keepNext w:val="0"/>
        <w:keepLines w:val="0"/>
        <w:pageBreakBefore w:val="0"/>
        <w:widowControl/>
        <w:kinsoku/>
        <w:wordWrap/>
        <w:overflowPunct/>
        <w:topLinePunct w:val="0"/>
        <w:autoSpaceDE/>
        <w:autoSpaceDN/>
        <w:bidi w:val="0"/>
        <w:spacing w:line="520" w:lineRule="exact"/>
        <w:ind w:firstLine="640"/>
        <w:jc w:val="both"/>
        <w:textAlignment w:val="auto"/>
        <w:rPr>
          <w:rFonts w:hint="default" w:ascii="仿宋_GB2312" w:hAnsi="仿宋_GB2312" w:eastAsia="仿宋_GB2312" w:cs="仿宋_GB2312"/>
          <w:color w:val="auto"/>
          <w:kern w:val="0"/>
          <w:sz w:val="32"/>
          <w:szCs w:val="32"/>
          <w:lang w:val="en-US" w:eastAsia="zh-CN"/>
        </w:rPr>
      </w:pPr>
      <w:r>
        <w:rPr>
          <w:rFonts w:hint="default" w:ascii="楷体_GB2312" w:hAnsi="楷体_GB2312" w:eastAsia="楷体_GB2312" w:cs="楷体_GB2312"/>
          <w:color w:val="auto"/>
          <w:kern w:val="0"/>
          <w:sz w:val="32"/>
          <w:szCs w:val="32"/>
          <w:lang w:val="en-US" w:eastAsia="zh-CN" w:bidi="ar-SA"/>
        </w:rPr>
        <w:t>（八）</w:t>
      </w:r>
      <w:r>
        <w:rPr>
          <w:rFonts w:hint="eastAsia" w:ascii="楷体_GB2312" w:hAnsi="楷体_GB2312" w:eastAsia="楷体_GB2312" w:cs="楷体_GB2312"/>
          <w:color w:val="auto"/>
          <w:kern w:val="0"/>
          <w:sz w:val="32"/>
          <w:szCs w:val="32"/>
          <w:lang w:val="en-US" w:eastAsia="zh-CN" w:bidi="ar-SA"/>
        </w:rPr>
        <w:t>严格落实</w:t>
      </w:r>
      <w:r>
        <w:rPr>
          <w:rFonts w:hint="default" w:ascii="楷体_GB2312" w:hAnsi="楷体_GB2312" w:eastAsia="楷体_GB2312" w:cs="楷体_GB2312"/>
          <w:color w:val="auto"/>
          <w:kern w:val="0"/>
          <w:sz w:val="32"/>
          <w:szCs w:val="32"/>
          <w:lang w:val="en-US" w:eastAsia="zh-CN" w:bidi="ar-SA"/>
        </w:rPr>
        <w:t>项目周围规划控制要求</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应</w:t>
      </w:r>
      <w:r>
        <w:rPr>
          <w:rFonts w:hint="default" w:ascii="仿宋_GB2312" w:hAnsi="仿宋_GB2312" w:eastAsia="仿宋_GB2312" w:cs="仿宋_GB2312"/>
          <w:color w:val="auto"/>
          <w:kern w:val="0"/>
          <w:sz w:val="32"/>
          <w:szCs w:val="32"/>
          <w:lang w:val="en-US" w:eastAsia="zh-CN"/>
        </w:rPr>
        <w:t>根据《报告书》和《评估意见》结论，根据报告书测算结果，</w:t>
      </w:r>
      <w:r>
        <w:rPr>
          <w:rFonts w:hint="eastAsia" w:ascii="仿宋_GB2312" w:hAnsi="仿宋_GB2312" w:eastAsia="仿宋_GB2312"/>
          <w:bCs/>
          <w:color w:val="auto"/>
          <w:sz w:val="32"/>
          <w:szCs w:val="32"/>
        </w:rPr>
        <w:t>本项目卫生防护距离设置为：10</w:t>
      </w:r>
      <w:r>
        <w:rPr>
          <w:rFonts w:hint="eastAsia" w:ascii="仿宋_GB2312" w:hAnsi="仿宋_GB2312" w:eastAsia="仿宋_GB2312"/>
          <w:bCs/>
          <w:color w:val="auto"/>
          <w:sz w:val="32"/>
          <w:szCs w:val="32"/>
          <w:lang w:val="en-US" w:eastAsia="zh-CN"/>
        </w:rPr>
        <w:t>2</w:t>
      </w:r>
      <w:r>
        <w:rPr>
          <w:rFonts w:hint="eastAsia" w:ascii="仿宋_GB2312" w:hAnsi="仿宋_GB2312" w:eastAsia="仿宋_GB2312"/>
          <w:bCs/>
          <w:color w:val="auto"/>
          <w:sz w:val="32"/>
          <w:szCs w:val="32"/>
        </w:rPr>
        <w:t>车间</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10</w:t>
      </w:r>
      <w:r>
        <w:rPr>
          <w:rFonts w:hint="eastAsia" w:ascii="仿宋_GB2312" w:hAnsi="仿宋_GB2312" w:eastAsia="仿宋_GB2312"/>
          <w:bCs/>
          <w:color w:val="auto"/>
          <w:sz w:val="32"/>
          <w:szCs w:val="32"/>
          <w:lang w:val="en-US" w:eastAsia="zh-CN"/>
        </w:rPr>
        <w:t>4</w:t>
      </w:r>
      <w:r>
        <w:rPr>
          <w:rFonts w:hint="eastAsia" w:ascii="仿宋_GB2312" w:hAnsi="仿宋_GB2312" w:eastAsia="仿宋_GB2312"/>
          <w:bCs/>
          <w:color w:val="auto"/>
          <w:sz w:val="32"/>
          <w:szCs w:val="32"/>
        </w:rPr>
        <w:t>车间</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污水处理站</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危废暂存间</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lang w:val="en-US" w:eastAsia="zh-CN"/>
        </w:rPr>
        <w:t>酸碱</w:t>
      </w:r>
      <w:r>
        <w:rPr>
          <w:rFonts w:hint="eastAsia" w:ascii="仿宋_GB2312" w:hAnsi="仿宋_GB2312" w:eastAsia="仿宋_GB2312"/>
          <w:bCs/>
          <w:color w:val="auto"/>
          <w:sz w:val="32"/>
          <w:szCs w:val="32"/>
        </w:rPr>
        <w:t>罐区</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lang w:val="en-US" w:eastAsia="zh-CN"/>
        </w:rPr>
        <w:t>甲类埋地罐区</w:t>
      </w:r>
      <w:r>
        <w:rPr>
          <w:rFonts w:hint="eastAsia" w:ascii="仿宋_GB2312" w:hAnsi="仿宋_GB2312" w:eastAsia="仿宋_GB2312"/>
          <w:bCs/>
          <w:color w:val="auto"/>
          <w:sz w:val="32"/>
          <w:szCs w:val="32"/>
        </w:rPr>
        <w:t>需</w:t>
      </w:r>
      <w:r>
        <w:rPr>
          <w:rFonts w:hint="eastAsia" w:ascii="仿宋_GB2312" w:hAnsi="仿宋_GB2312" w:eastAsia="仿宋_GB2312"/>
          <w:bCs/>
          <w:color w:val="auto"/>
          <w:sz w:val="32"/>
          <w:szCs w:val="32"/>
          <w:lang w:val="en-US" w:eastAsia="zh-CN"/>
        </w:rPr>
        <w:t>各</w:t>
      </w:r>
      <w:r>
        <w:rPr>
          <w:rFonts w:hint="eastAsia" w:ascii="仿宋_GB2312" w:hAnsi="仿宋_GB2312" w:eastAsia="仿宋_GB2312"/>
          <w:bCs/>
          <w:color w:val="auto"/>
          <w:sz w:val="32"/>
          <w:szCs w:val="32"/>
        </w:rPr>
        <w:t>设置</w:t>
      </w:r>
      <w:r>
        <w:rPr>
          <w:rFonts w:hint="eastAsia" w:ascii="仿宋_GB2312" w:hAnsi="仿宋_GB2312" w:eastAsia="仿宋_GB2312"/>
          <w:bCs/>
          <w:color w:val="auto"/>
          <w:sz w:val="32"/>
          <w:szCs w:val="32"/>
          <w:lang w:val="en-US" w:eastAsia="zh-CN"/>
        </w:rPr>
        <w:t>5</w:t>
      </w:r>
      <w:r>
        <w:rPr>
          <w:rFonts w:hint="eastAsia" w:ascii="仿宋_GB2312" w:hAnsi="仿宋_GB2312" w:eastAsia="仿宋_GB2312"/>
          <w:bCs/>
          <w:color w:val="auto"/>
          <w:sz w:val="32"/>
          <w:szCs w:val="32"/>
        </w:rPr>
        <w:t>0</w:t>
      </w:r>
      <w:r>
        <w:rPr>
          <w:rFonts w:hint="eastAsia" w:ascii="仿宋_GB2312" w:hAnsi="仿宋_GB2312" w:eastAsia="仿宋_GB2312"/>
          <w:bCs/>
          <w:color w:val="auto"/>
          <w:sz w:val="32"/>
          <w:szCs w:val="32"/>
          <w:lang w:val="zh-CN"/>
        </w:rPr>
        <w:t>m的卫生防护距离；</w:t>
      </w:r>
      <w:r>
        <w:rPr>
          <w:rFonts w:hint="eastAsia" w:ascii="仿宋_GB2312" w:hAnsi="仿宋_GB2312" w:eastAsia="仿宋_GB2312"/>
          <w:bCs/>
          <w:color w:val="auto"/>
          <w:sz w:val="32"/>
          <w:szCs w:val="32"/>
        </w:rPr>
        <w:t>10</w:t>
      </w:r>
      <w:r>
        <w:rPr>
          <w:rFonts w:hint="eastAsia" w:ascii="仿宋_GB2312" w:hAnsi="仿宋_GB2312" w:eastAsia="仿宋_GB2312"/>
          <w:bCs/>
          <w:color w:val="auto"/>
          <w:sz w:val="32"/>
          <w:szCs w:val="32"/>
          <w:lang w:val="en-US" w:eastAsia="zh-CN"/>
        </w:rPr>
        <w:t>3</w:t>
      </w:r>
      <w:r>
        <w:rPr>
          <w:rFonts w:hint="eastAsia" w:ascii="仿宋_GB2312" w:hAnsi="仿宋_GB2312" w:eastAsia="仿宋_GB2312"/>
          <w:bCs/>
          <w:color w:val="auto"/>
          <w:sz w:val="32"/>
          <w:szCs w:val="32"/>
        </w:rPr>
        <w:t>车间需设置</w:t>
      </w:r>
      <w:r>
        <w:rPr>
          <w:rFonts w:hint="eastAsia" w:ascii="仿宋_GB2312" w:hAnsi="仿宋_GB2312" w:eastAsia="仿宋_GB2312"/>
          <w:bCs/>
          <w:color w:val="auto"/>
          <w:sz w:val="32"/>
          <w:szCs w:val="32"/>
          <w:lang w:val="en-US" w:eastAsia="zh-CN"/>
        </w:rPr>
        <w:t>10</w:t>
      </w:r>
      <w:r>
        <w:rPr>
          <w:rFonts w:hint="eastAsia" w:ascii="仿宋_GB2312" w:hAnsi="仿宋_GB2312" w:eastAsia="仿宋_GB2312"/>
          <w:bCs/>
          <w:color w:val="auto"/>
          <w:sz w:val="32"/>
          <w:szCs w:val="32"/>
        </w:rPr>
        <w:t>0</w:t>
      </w:r>
      <w:r>
        <w:rPr>
          <w:rFonts w:hint="eastAsia" w:ascii="仿宋_GB2312" w:hAnsi="仿宋_GB2312" w:eastAsia="仿宋_GB2312"/>
          <w:bCs/>
          <w:color w:val="auto"/>
          <w:sz w:val="32"/>
          <w:szCs w:val="32"/>
          <w:lang w:val="zh-CN"/>
        </w:rPr>
        <w:t>m的卫生防护距离。</w:t>
      </w:r>
      <w:r>
        <w:rPr>
          <w:rFonts w:hint="default" w:ascii="仿宋_GB2312" w:hAnsi="仿宋_GB2312" w:eastAsia="仿宋_GB2312" w:cs="仿宋_GB2312"/>
          <w:color w:val="auto"/>
          <w:kern w:val="0"/>
          <w:sz w:val="32"/>
          <w:szCs w:val="32"/>
          <w:lang w:val="en-US" w:eastAsia="zh-CN"/>
        </w:rPr>
        <w:t>你公司应配合规划部门，严格控制好本项目周边规划，项目卫生防护距离范围内不得新建居民住宅、学校及医院等环境敏感建筑。</w:t>
      </w:r>
    </w:p>
    <w:p>
      <w:pPr>
        <w:pStyle w:val="2"/>
        <w:keepNext w:val="0"/>
        <w:keepLines w:val="0"/>
        <w:pageBreakBefore w:val="0"/>
        <w:numPr>
          <w:ilvl w:val="0"/>
          <w:numId w:val="0"/>
        </w:numPr>
        <w:kinsoku/>
        <w:wordWrap/>
        <w:overflowPunct/>
        <w:topLinePunct w:val="0"/>
        <w:bidi w:val="0"/>
        <w:spacing w:line="52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bidi="ar-SA"/>
        </w:rPr>
        <w:t>（九）严格落实</w:t>
      </w:r>
      <w:r>
        <w:rPr>
          <w:rFonts w:hint="default" w:ascii="楷体_GB2312" w:hAnsi="楷体_GB2312" w:eastAsia="楷体_GB2312" w:cs="楷体_GB2312"/>
          <w:color w:val="auto"/>
          <w:kern w:val="0"/>
          <w:sz w:val="32"/>
          <w:szCs w:val="32"/>
          <w:lang w:val="en-US" w:eastAsia="zh-CN" w:bidi="ar-SA"/>
        </w:rPr>
        <w:t>信息公开要求。</w:t>
      </w:r>
      <w:r>
        <w:rPr>
          <w:rFonts w:hint="default" w:ascii="仿宋_GB2312" w:hAnsi="仿宋_GB2312" w:eastAsia="仿宋_GB2312" w:cs="仿宋_GB2312"/>
          <w:color w:val="auto"/>
          <w:kern w:val="0"/>
          <w:sz w:val="32"/>
          <w:szCs w:val="32"/>
          <w:lang w:val="en-US" w:eastAsia="zh-CN"/>
        </w:rPr>
        <w:t>你公司应依法实施信息公开，接受社会监督。项目应定期公示企业环境报告，公布污染物排放和环境管理情况。</w:t>
      </w:r>
    </w:p>
    <w:p>
      <w:pPr>
        <w:pStyle w:val="41"/>
        <w:keepNext w:val="0"/>
        <w:keepLines w:val="0"/>
        <w:pageBreakBefore w:val="0"/>
        <w:kinsoku/>
        <w:wordWrap/>
        <w:overflowPunct/>
        <w:topLinePunct w:val="0"/>
        <w:autoSpaceDE/>
        <w:autoSpaceDN/>
        <w:bidi w:val="0"/>
        <w:spacing w:line="520" w:lineRule="exact"/>
        <w:ind w:firstLine="640"/>
        <w:jc w:val="both"/>
        <w:textAlignment w:val="auto"/>
        <w:rPr>
          <w:rFonts w:hint="eastAsia" w:ascii="仿宋_GB2312" w:hAnsi="仿宋_GB2312" w:eastAsia="仿宋_GB2312"/>
          <w:bCs/>
          <w:color w:val="auto"/>
          <w:sz w:val="32"/>
          <w:szCs w:val="32"/>
          <w:lang w:val="en-US" w:eastAsia="zh-CN"/>
        </w:rPr>
      </w:pPr>
      <w:r>
        <w:rPr>
          <w:rFonts w:hint="eastAsia" w:ascii="楷体_GB2312" w:hAnsi="楷体_GB2312" w:eastAsia="楷体_GB2312" w:cs="楷体_GB2312"/>
          <w:color w:val="auto"/>
          <w:kern w:val="0"/>
          <w:sz w:val="32"/>
          <w:szCs w:val="32"/>
          <w:lang w:val="en-US" w:eastAsia="zh-CN" w:bidi="ar-SA"/>
        </w:rPr>
        <w:t>（十）严格落实“以新带老”防治措施。</w:t>
      </w:r>
      <w:r>
        <w:rPr>
          <w:rFonts w:hint="eastAsia" w:ascii="仿宋_GB2312" w:eastAsia="仿宋_GB2312"/>
          <w:color w:val="auto"/>
          <w:sz w:val="32"/>
          <w:szCs w:val="32"/>
          <w:lang w:eastAsia="zh-CN"/>
        </w:rPr>
        <w:t>你公司应按照《报告书》和《评估意见》的要求，落实</w:t>
      </w:r>
      <w:r>
        <w:rPr>
          <w:rFonts w:hint="eastAsia" w:ascii="仿宋_GB2312" w:hAnsi="仿宋_GB2312" w:eastAsia="仿宋_GB2312"/>
          <w:bCs/>
          <w:color w:val="auto"/>
          <w:sz w:val="32"/>
          <w:szCs w:val="32"/>
          <w:lang w:val="en-US" w:eastAsia="zh-CN"/>
        </w:rPr>
        <w:t>对厂区现有污水处理站进行密封处理、建设有组织强制通风收集系统、完善防渗措施、对现有103车间含氢废气和104车间含氢废气分别处理后单独排放等“以新带老”措施。</w:t>
      </w:r>
    </w:p>
    <w:p>
      <w:pPr>
        <w:keepNext w:val="0"/>
        <w:keepLines w:val="0"/>
        <w:pageBreakBefore w:val="0"/>
        <w:widowControl w:val="0"/>
        <w:kinsoku/>
        <w:wordWrap/>
        <w:overflowPunct/>
        <w:topLinePunct w:val="0"/>
        <w:autoSpaceDN/>
        <w:bidi w:val="0"/>
        <w:spacing w:line="520" w:lineRule="exact"/>
        <w:ind w:firstLine="640" w:firstLineChars="200"/>
        <w:jc w:val="left"/>
        <w:textAlignment w:val="auto"/>
        <w:rPr>
          <w:rFonts w:ascii="黑体" w:hAnsi="黑体" w:eastAsia="黑体"/>
          <w:color w:val="auto"/>
          <w:sz w:val="32"/>
          <w:szCs w:val="32"/>
        </w:rPr>
      </w:pPr>
      <w:r>
        <w:rPr>
          <w:rFonts w:hint="eastAsia" w:ascii="黑体" w:hAnsi="黑体" w:eastAsia="黑体"/>
          <w:color w:val="auto"/>
          <w:sz w:val="32"/>
          <w:szCs w:val="32"/>
        </w:rPr>
        <w:t>三、项目运行和竣工验收的环保要求</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N/>
        <w:bidi w:val="0"/>
        <w:spacing w:line="520" w:lineRule="exact"/>
        <w:ind w:firstLine="640" w:firstLineChars="200"/>
        <w:textAlignment w:val="auto"/>
        <w:outlineLvl w:val="0"/>
        <w:rPr>
          <w:rFonts w:ascii="黑体" w:hAnsi="黑体" w:eastAsia="黑体"/>
          <w:color w:val="auto"/>
          <w:sz w:val="32"/>
          <w:szCs w:val="32"/>
        </w:rPr>
      </w:pPr>
      <w:r>
        <w:rPr>
          <w:rFonts w:hint="eastAsia" w:ascii="黑体" w:hAnsi="黑体" w:eastAsia="黑体"/>
          <w:color w:val="auto"/>
          <w:sz w:val="32"/>
          <w:szCs w:val="32"/>
        </w:rPr>
        <w:t>四、其他环保要求</w:t>
      </w:r>
    </w:p>
    <w:p>
      <w:pPr>
        <w:keepNext w:val="0"/>
        <w:keepLines w:val="0"/>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ascii="仿宋_GB2312" w:eastAsia="仿宋_GB2312"/>
          <w:color w:val="auto"/>
          <w:sz w:val="32"/>
          <w:szCs w:val="32"/>
        </w:rPr>
      </w:pPr>
      <w:r>
        <w:rPr>
          <w:rFonts w:hint="eastAsia" w:ascii="楷体" w:hAnsi="楷体" w:eastAsia="楷体" w:cs="楷体"/>
          <w:color w:val="auto"/>
          <w:sz w:val="32"/>
          <w:szCs w:val="32"/>
        </w:rPr>
        <w:t>（一）项目变更环保要求。</w:t>
      </w:r>
      <w:r>
        <w:rPr>
          <w:rFonts w:hint="eastAsia" w:ascii="仿宋_GB2312" w:hAnsi="Calibri" w:eastAsia="仿宋_GB2312"/>
          <w:color w:val="auto"/>
          <w:sz w:val="32"/>
          <w:szCs w:val="32"/>
          <w:lang w:eastAsia="zh-CN"/>
        </w:rPr>
        <w:t>本项目批准后</w:t>
      </w:r>
      <w:r>
        <w:rPr>
          <w:rFonts w:hint="eastAsia" w:ascii="仿宋_GB2312" w:hAnsi="Calibri" w:eastAsia="仿宋_GB2312"/>
          <w:color w:val="auto"/>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N/>
        <w:bidi w:val="0"/>
        <w:spacing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 w:hAnsi="楷体" w:eastAsia="楷体" w:cs="楷体"/>
          <w:color w:val="auto"/>
          <w:sz w:val="32"/>
          <w:szCs w:val="32"/>
        </w:rPr>
        <w:t>（二）排污许可要求。</w:t>
      </w:r>
      <w:r>
        <w:rPr>
          <w:rFonts w:hint="eastAsia" w:ascii="仿宋_GB2312" w:hAnsi="仿宋_GB2312" w:eastAsia="仿宋_GB2312" w:cs="仿宋_GB2312"/>
          <w:bCs/>
          <w:color w:val="auto"/>
          <w:sz w:val="32"/>
          <w:szCs w:val="32"/>
        </w:rPr>
        <w:t>你公司应在启动生产设施或者发生实际排污之前申请取得排污许可证或填报排污登记表。</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hint="eastAsia" w:ascii="仿宋_GB2312" w:eastAsia="仿宋_GB2312"/>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）日常环保监管。</w:t>
      </w:r>
      <w:r>
        <w:rPr>
          <w:rFonts w:hint="eastAsia" w:ascii="仿宋_GB2312" w:eastAsia="仿宋_GB2312"/>
          <w:color w:val="auto"/>
          <w:sz w:val="32"/>
          <w:szCs w:val="32"/>
        </w:rPr>
        <w:t>请</w:t>
      </w:r>
      <w:r>
        <w:rPr>
          <w:rFonts w:hint="eastAsia" w:ascii="仿宋_GB2312" w:eastAsia="仿宋_GB2312"/>
          <w:color w:val="auto"/>
          <w:sz w:val="32"/>
          <w:szCs w:val="32"/>
          <w:lang w:val="en-US" w:eastAsia="zh-CN"/>
        </w:rPr>
        <w:t>宜春市生态环境保护综合执法支队和</w:t>
      </w:r>
      <w:r>
        <w:rPr>
          <w:rFonts w:hint="eastAsia" w:ascii="仿宋_GB2312" w:eastAsia="仿宋_GB2312"/>
          <w:color w:val="auto"/>
          <w:sz w:val="32"/>
          <w:szCs w:val="32"/>
        </w:rPr>
        <w:t>宜春市</w:t>
      </w:r>
      <w:r>
        <w:rPr>
          <w:rFonts w:hint="eastAsia" w:ascii="仿宋_GB2312" w:eastAsia="仿宋_GB2312"/>
          <w:color w:val="auto"/>
          <w:sz w:val="32"/>
          <w:szCs w:val="32"/>
          <w:lang w:eastAsia="zh-CN"/>
        </w:rPr>
        <w:t>上高</w:t>
      </w:r>
      <w:r>
        <w:rPr>
          <w:rFonts w:hint="eastAsia" w:ascii="仿宋_GB2312" w:eastAsia="仿宋_GB2312"/>
          <w:color w:val="auto"/>
          <w:sz w:val="32"/>
          <w:szCs w:val="32"/>
        </w:rPr>
        <w:t>生态环境局加强对</w:t>
      </w:r>
      <w:bookmarkStart w:id="0" w:name="_GoBack"/>
      <w:bookmarkEnd w:id="0"/>
      <w:r>
        <w:rPr>
          <w:rFonts w:hint="eastAsia" w:ascii="仿宋_GB2312" w:eastAsia="仿宋_GB2312"/>
          <w:color w:val="auto"/>
          <w:sz w:val="32"/>
          <w:szCs w:val="32"/>
        </w:rPr>
        <w:t>该项目的环境监管，你公司应在收到本批复后20个工作日内，将批准后的</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报告书</w:t>
      </w:r>
      <w:r>
        <w:rPr>
          <w:rFonts w:hint="eastAsia" w:ascii="仿宋_GB2312" w:eastAsia="仿宋_GB2312"/>
          <w:color w:val="auto"/>
          <w:sz w:val="32"/>
          <w:szCs w:val="32"/>
          <w:lang w:eastAsia="zh-CN"/>
        </w:rPr>
        <w:t>》</w:t>
      </w:r>
      <w:r>
        <w:rPr>
          <w:rFonts w:hint="eastAsia" w:ascii="仿宋_GB2312" w:eastAsia="仿宋_GB2312"/>
          <w:color w:val="auto"/>
          <w:sz w:val="32"/>
          <w:szCs w:val="32"/>
        </w:rPr>
        <w:t>送至宜春市</w:t>
      </w:r>
      <w:r>
        <w:rPr>
          <w:rFonts w:hint="eastAsia" w:ascii="仿宋_GB2312" w:eastAsia="仿宋_GB2312"/>
          <w:color w:val="auto"/>
          <w:sz w:val="32"/>
          <w:szCs w:val="32"/>
          <w:lang w:eastAsia="zh-CN"/>
        </w:rPr>
        <w:t>上高</w:t>
      </w:r>
      <w:r>
        <w:rPr>
          <w:rFonts w:hint="eastAsia" w:ascii="仿宋_GB2312" w:eastAsia="仿宋_GB2312"/>
          <w:color w:val="auto"/>
          <w:sz w:val="32"/>
          <w:szCs w:val="32"/>
        </w:rPr>
        <w:t>生态环境局并按规定接受各级生态环境主管部门的监督检查。</w:t>
      </w:r>
    </w:p>
    <w:p>
      <w:pPr>
        <w:pageBreakBefore w:val="0"/>
        <w:widowControl w:val="0"/>
        <w:kinsoku/>
        <w:wordWrap/>
        <w:overflowPunct/>
        <w:topLinePunct w:val="0"/>
        <w:autoSpaceDN/>
        <w:bidi w:val="0"/>
        <w:spacing w:line="520" w:lineRule="exact"/>
        <w:ind w:right="1077"/>
        <w:jc w:val="right"/>
        <w:textAlignment w:val="auto"/>
        <w:rPr>
          <w:rFonts w:hint="eastAsia" w:ascii="仿宋_GB2312" w:hAnsi="华文仿宋" w:eastAsia="仿宋_GB2312"/>
          <w:sz w:val="32"/>
          <w:szCs w:val="32"/>
        </w:rPr>
      </w:pPr>
    </w:p>
    <w:p>
      <w:pPr>
        <w:pageBreakBefore w:val="0"/>
        <w:widowControl w:val="0"/>
        <w:kinsoku/>
        <w:wordWrap/>
        <w:overflowPunct/>
        <w:topLinePunct w:val="0"/>
        <w:autoSpaceDN/>
        <w:bidi w:val="0"/>
        <w:spacing w:line="520" w:lineRule="exact"/>
        <w:ind w:right="1077"/>
        <w:jc w:val="both"/>
        <w:textAlignment w:val="auto"/>
        <w:rPr>
          <w:rFonts w:hint="eastAsia" w:ascii="仿宋_GB2312" w:hAnsi="华文仿宋" w:eastAsia="仿宋_GB2312"/>
          <w:sz w:val="32"/>
          <w:szCs w:val="32"/>
        </w:rPr>
      </w:pPr>
    </w:p>
    <w:p>
      <w:pPr>
        <w:pageBreakBefore w:val="0"/>
        <w:widowControl w:val="0"/>
        <w:kinsoku/>
        <w:wordWrap/>
        <w:overflowPunct/>
        <w:topLinePunct w:val="0"/>
        <w:autoSpaceDN/>
        <w:bidi w:val="0"/>
        <w:spacing w:line="520" w:lineRule="exact"/>
        <w:ind w:right="1077"/>
        <w:jc w:val="right"/>
        <w:textAlignment w:val="auto"/>
        <w:rPr>
          <w:rFonts w:ascii="仿宋_GB2312" w:hAnsi="华文仿宋" w:eastAsia="仿宋_GB2312"/>
          <w:sz w:val="32"/>
          <w:szCs w:val="32"/>
        </w:rPr>
      </w:pPr>
      <w:r>
        <w:rPr>
          <w:rFonts w:hint="eastAsia" w:ascii="仿宋_GB2312" w:hAnsi="华文仿宋" w:eastAsia="仿宋_GB2312"/>
          <w:sz w:val="32"/>
          <w:szCs w:val="32"/>
        </w:rPr>
        <w:t>宜春市生态环境局</w:t>
      </w:r>
    </w:p>
    <w:p>
      <w:pPr>
        <w:keepNext w:val="0"/>
        <w:keepLines w:val="0"/>
        <w:pageBreakBefore w:val="0"/>
        <w:widowControl w:val="0"/>
        <w:tabs>
          <w:tab w:val="left" w:pos="7655"/>
          <w:tab w:val="left" w:pos="7797"/>
        </w:tabs>
        <w:kinsoku/>
        <w:wordWrap/>
        <w:overflowPunct/>
        <w:topLinePunct w:val="0"/>
        <w:autoSpaceDE/>
        <w:autoSpaceDN/>
        <w:bidi w:val="0"/>
        <w:adjustRightInd/>
        <w:snapToGrid/>
        <w:spacing w:line="520" w:lineRule="exact"/>
        <w:ind w:firstLine="80" w:firstLineChars="25"/>
        <w:textAlignment w:val="auto"/>
        <w:rPr>
          <w:rFonts w:hint="eastAsia" w:ascii="仿宋_GB2312" w:hAnsi="华文仿宋"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color w:val="FF0000"/>
          <w:sz w:val="32"/>
          <w:szCs w:val="32"/>
        </w:rPr>
        <w:t xml:space="preserve"> </w:t>
      </w:r>
      <w:r>
        <w:rPr>
          <w:rFonts w:hint="eastAsia" w:ascii="仿宋_GB2312" w:hAnsi="华文仿宋" w:eastAsia="仿宋_GB2312"/>
          <w:sz w:val="32"/>
          <w:szCs w:val="32"/>
        </w:rPr>
        <w:t>202</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年</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月</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日</w:t>
      </w:r>
    </w:p>
    <w:p>
      <w:pPr>
        <w:pStyle w:val="14"/>
        <w:rPr>
          <w:rFonts w:hint="eastAsia"/>
          <w:sz w:val="32"/>
          <w:szCs w:val="32"/>
        </w:rPr>
      </w:pPr>
    </w:p>
    <w:p>
      <w:pPr>
        <w:pStyle w:val="20"/>
        <w:widowControl/>
        <w:spacing w:line="560" w:lineRule="exact"/>
        <w:ind w:right="840" w:rightChars="400" w:firstLine="640" w:firstLineChars="200"/>
        <w:rPr>
          <w:rFonts w:hint="eastAsia" w:ascii="仿宋_GB2312" w:hAnsi="仿宋" w:eastAsia="仿宋_GB2312" w:cs="仿宋"/>
          <w:color w:val="000000"/>
          <w:sz w:val="32"/>
          <w:szCs w:val="32"/>
          <w:u w:val="single"/>
        </w:rPr>
      </w:pPr>
      <w:r>
        <w:rPr>
          <w:rFonts w:hint="eastAsia" w:ascii="仿宋_GB2312" w:hAnsi="仿宋" w:eastAsia="仿宋_GB2312"/>
          <w:sz w:val="32"/>
          <w:szCs w:val="32"/>
        </w:rPr>
        <w:t>（此件</w:t>
      </w:r>
      <w:r>
        <w:rPr>
          <w:rFonts w:hint="eastAsia" w:ascii="仿宋_GB2312" w:hAnsi="仿宋" w:eastAsia="仿宋_GB2312"/>
          <w:sz w:val="32"/>
          <w:szCs w:val="32"/>
          <w:lang w:eastAsia="zh-CN"/>
        </w:rPr>
        <w:t>主动</w:t>
      </w:r>
      <w:r>
        <w:rPr>
          <w:rFonts w:hint="eastAsia" w:ascii="仿宋_GB2312" w:hAnsi="仿宋" w:eastAsia="仿宋_GB2312"/>
          <w:sz w:val="32"/>
          <w:szCs w:val="32"/>
        </w:rPr>
        <w:t>公开）</w:t>
      </w: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pStyle w:val="9"/>
        <w:rPr>
          <w:rFonts w:hint="eastAsia" w:ascii="仿宋_GB2312" w:hAnsi="仿宋" w:eastAsia="仿宋_GB2312" w:cs="仿宋"/>
          <w:color w:val="000000"/>
          <w:sz w:val="30"/>
          <w:szCs w:val="30"/>
          <w:u w:val="single"/>
        </w:rPr>
      </w:pPr>
    </w:p>
    <w:p>
      <w:pPr>
        <w:pStyle w:val="10"/>
        <w:rPr>
          <w:rFonts w:hint="eastAsia" w:ascii="仿宋_GB2312" w:hAnsi="仿宋" w:eastAsia="仿宋_GB2312" w:cs="仿宋"/>
          <w:color w:val="000000"/>
          <w:sz w:val="30"/>
          <w:szCs w:val="30"/>
          <w:u w:val="single"/>
        </w:rPr>
      </w:pPr>
    </w:p>
    <w:p>
      <w:pPr>
        <w:pStyle w:val="11"/>
        <w:rPr>
          <w:rFonts w:hint="eastAsia"/>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spacing w:line="460" w:lineRule="exact"/>
        <w:ind w:left="910" w:leftChars="100" w:right="210" w:rightChars="100" w:hanging="700" w:hangingChars="250"/>
        <w:rPr>
          <w:rFonts w:hint="eastAsia" w:ascii="仿宋_GB2312" w:eastAsia="仿宋_GB2312"/>
          <w:spacing w:val="-6"/>
          <w:sz w:val="28"/>
          <w:szCs w:val="28"/>
        </w:rPr>
      </w:pPr>
      <w:r>
        <w:rPr>
          <w:rFonts w:hint="eastAsia" w:ascii="仿宋_GB2312" w:hAnsi="宋体" w:eastAsia="仿宋_GB2312"/>
          <w:sz w:val="28"/>
          <w:szCs w:val="28"/>
        </w:rPr>
        <w:t>抄送:</w:t>
      </w:r>
      <w:r>
        <w:rPr>
          <w:rFonts w:hint="eastAsia" w:ascii="仿宋_GB2312" w:hAnsi="宋体" w:eastAsia="仿宋_GB2312"/>
          <w:sz w:val="28"/>
          <w:szCs w:val="28"/>
          <w:lang w:eastAsia="zh-CN"/>
        </w:rPr>
        <w:t>上高县</w:t>
      </w:r>
      <w:r>
        <w:rPr>
          <w:rFonts w:hint="eastAsia" w:ascii="仿宋_GB2312" w:hAnsi="宋体" w:eastAsia="仿宋_GB2312"/>
          <w:sz w:val="28"/>
          <w:szCs w:val="28"/>
          <w:lang w:val="en-US" w:eastAsia="zh-CN"/>
        </w:rPr>
        <w:t>人民政府</w:t>
      </w:r>
      <w:r>
        <w:rPr>
          <w:rFonts w:hint="eastAsia" w:ascii="仿宋_GB2312" w:hAnsi="宋体" w:eastAsia="仿宋_GB2312"/>
          <w:sz w:val="28"/>
          <w:szCs w:val="28"/>
          <w:lang w:eastAsia="zh-CN"/>
        </w:rPr>
        <w:t>、</w:t>
      </w:r>
      <w:r>
        <w:rPr>
          <w:rFonts w:hint="eastAsia" w:ascii="仿宋_GB2312" w:hAnsi="华文仿宋" w:eastAsia="仿宋_GB2312"/>
          <w:spacing w:val="-6"/>
          <w:sz w:val="28"/>
          <w:szCs w:val="32"/>
        </w:rPr>
        <w:t>宜春市</w:t>
      </w:r>
      <w:r>
        <w:rPr>
          <w:rFonts w:hint="eastAsia" w:ascii="仿宋_GB2312" w:hAnsi="华文仿宋" w:eastAsia="仿宋_GB2312"/>
          <w:spacing w:val="-6"/>
          <w:sz w:val="28"/>
          <w:szCs w:val="32"/>
          <w:lang w:eastAsia="zh-CN"/>
        </w:rPr>
        <w:t>上高</w:t>
      </w:r>
      <w:r>
        <w:rPr>
          <w:rFonts w:hint="eastAsia" w:ascii="仿宋_GB2312" w:hAnsi="华文仿宋" w:eastAsia="仿宋_GB2312"/>
          <w:spacing w:val="-6"/>
          <w:sz w:val="28"/>
          <w:szCs w:val="32"/>
        </w:rPr>
        <w:t>生态</w:t>
      </w:r>
      <w:r>
        <w:rPr>
          <w:rFonts w:hint="eastAsia" w:ascii="仿宋_GB2312" w:eastAsia="仿宋_GB2312"/>
          <w:sz w:val="28"/>
          <w:szCs w:val="32"/>
        </w:rPr>
        <w:t>环境局，局相关科室，局直属相关单位，</w:t>
      </w:r>
      <w:r>
        <w:rPr>
          <w:rFonts w:hint="eastAsia" w:ascii="仿宋_GB2312" w:eastAsia="仿宋_GB2312"/>
          <w:sz w:val="28"/>
          <w:szCs w:val="32"/>
          <w:lang w:eastAsia="zh-CN"/>
        </w:rPr>
        <w:t>江西锦名成环保</w:t>
      </w:r>
      <w:r>
        <w:rPr>
          <w:rFonts w:hint="eastAsia" w:ascii="仿宋_GB2312" w:eastAsia="仿宋_GB2312"/>
          <w:sz w:val="28"/>
          <w:szCs w:val="32"/>
        </w:rPr>
        <w:t>有限公司</w:t>
      </w:r>
      <w:r>
        <w:rPr>
          <w:rFonts w:hint="eastAsia" w:ascii="仿宋_GB2312" w:eastAsia="仿宋_GB2312"/>
          <w:spacing w:val="-6"/>
          <w:sz w:val="28"/>
          <w:szCs w:val="28"/>
        </w:rPr>
        <w:t>。</w:t>
      </w:r>
    </w:p>
    <w:p>
      <w:pPr>
        <w:spacing w:line="140" w:lineRule="exact"/>
        <w:rPr>
          <w:rFonts w:hint="default" w:ascii="仿宋_GB2312" w:eastAsia="仿宋_GB2312"/>
          <w:sz w:val="32"/>
          <w:szCs w:val="32"/>
          <w:lang w:val="en-US" w:eastAsia="zh-CN"/>
        </w:rPr>
      </w:pP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w:t>
      </w:r>
      <w:r>
        <w:rPr>
          <w:rFonts w:hint="eastAsia" w:ascii="仿宋_GB2312" w:hAnsi="宋体" w:eastAsia="仿宋_GB2312"/>
          <w:bCs/>
          <w:color w:val="000000" w:themeColor="text1"/>
          <w:sz w:val="28"/>
          <w:szCs w:val="32"/>
          <w:lang w:val="en-US" w:eastAsia="zh-CN"/>
          <w14:textFill>
            <w14:solidFill>
              <w14:schemeClr w14:val="tx1"/>
            </w14:solidFill>
          </w14:textFill>
        </w:rPr>
        <w:t>023年3月3日印发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1"/>
    <w:family w:val="auto"/>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auto"/>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fill on="f" focussize="0,0"/>
              <v:stroke on="f"/>
              <v:imagedata o:title=""/>
              <o:lock v:ext="edit" aspectratio="f"/>
              <v:textbox inset="0mm,0mm,0mm,0mm" style="mso-fit-shape-to-text:t;">
                <w:txbxContent>
                  <w:p>
                    <w:pPr>
                      <w:pStyle w:val="17"/>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8B783"/>
    <w:multiLevelType w:val="multilevel"/>
    <w:tmpl w:val="54B8B783"/>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ascii="宋体" w:hAnsi="宋体" w:eastAsia="宋体" w:cs="宋体"/>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pStyle w:val="7"/>
      <w:lvlText w:val="%1.%2.%3.%4."/>
      <w:lvlJc w:val="left"/>
      <w:pPr>
        <w:tabs>
          <w:tab w:val="left" w:pos="850"/>
        </w:tabs>
        <w:ind w:left="850" w:hanging="850"/>
      </w:pPr>
      <w:rPr>
        <w:rFonts w:hint="default" w:ascii="宋体" w:hAnsi="宋体" w:eastAsia="宋体" w:cs="宋体"/>
      </w:rPr>
    </w:lvl>
    <w:lvl w:ilvl="4" w:tentative="0">
      <w:start w:val="1"/>
      <w:numFmt w:val="decimal"/>
      <w:lvlText w:val="%1.%2.%3.%4.%5."/>
      <w:lvlJc w:val="left"/>
      <w:pPr>
        <w:tabs>
          <w:tab w:val="left" w:pos="991"/>
        </w:tabs>
        <w:ind w:left="991" w:hanging="991"/>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ascii="宋体" w:hAnsi="宋体" w:eastAsia="宋体" w:cs="宋体"/>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MGEwMzc0NjVkMDA1ODU1ODY1ZDA4NTg3YWIxYzI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E0D44"/>
    <w:rsid w:val="0FB96372"/>
    <w:rsid w:val="0FC37304"/>
    <w:rsid w:val="0FCE6CA6"/>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5F8C384"/>
    <w:rsid w:val="169D6C0C"/>
    <w:rsid w:val="16A060B1"/>
    <w:rsid w:val="16BD7BFC"/>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BD4F55"/>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DF722E9"/>
    <w:rsid w:val="1E7E4D78"/>
    <w:rsid w:val="1E7ED145"/>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A2644A"/>
    <w:rsid w:val="26BF2702"/>
    <w:rsid w:val="26D72A9C"/>
    <w:rsid w:val="26D9450D"/>
    <w:rsid w:val="270B55FD"/>
    <w:rsid w:val="2718473C"/>
    <w:rsid w:val="275405E2"/>
    <w:rsid w:val="276F60D3"/>
    <w:rsid w:val="277E2115"/>
    <w:rsid w:val="278A6AED"/>
    <w:rsid w:val="27B330D3"/>
    <w:rsid w:val="27D73FB5"/>
    <w:rsid w:val="27DD1AC9"/>
    <w:rsid w:val="280E4DA9"/>
    <w:rsid w:val="2821102E"/>
    <w:rsid w:val="28360750"/>
    <w:rsid w:val="284B1866"/>
    <w:rsid w:val="28966573"/>
    <w:rsid w:val="289E7F40"/>
    <w:rsid w:val="28EE20F0"/>
    <w:rsid w:val="28F79117"/>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821"/>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97C55F"/>
    <w:rsid w:val="2FA3D559"/>
    <w:rsid w:val="2FA73A76"/>
    <w:rsid w:val="2FAD5A25"/>
    <w:rsid w:val="2FB11E53"/>
    <w:rsid w:val="2FBB31C8"/>
    <w:rsid w:val="2FBE0BB7"/>
    <w:rsid w:val="2FDED22B"/>
    <w:rsid w:val="2FE322E4"/>
    <w:rsid w:val="2FE6569A"/>
    <w:rsid w:val="2FE703D3"/>
    <w:rsid w:val="2FF9C26C"/>
    <w:rsid w:val="2FFB0BE2"/>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6F9A83"/>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ED0573"/>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B7C61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729DE"/>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7654BD"/>
    <w:rsid w:val="45781435"/>
    <w:rsid w:val="458F461A"/>
    <w:rsid w:val="45A809B5"/>
    <w:rsid w:val="45B2422F"/>
    <w:rsid w:val="45B51851"/>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BFD9DF"/>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292D3A"/>
    <w:rsid w:val="4D663CA8"/>
    <w:rsid w:val="4D7D6118"/>
    <w:rsid w:val="4D968124"/>
    <w:rsid w:val="4D9C370C"/>
    <w:rsid w:val="4DA91C91"/>
    <w:rsid w:val="4DB9F78C"/>
    <w:rsid w:val="4DCA17BE"/>
    <w:rsid w:val="4DE52F92"/>
    <w:rsid w:val="4DE777E6"/>
    <w:rsid w:val="4DED67BF"/>
    <w:rsid w:val="4E6DB298"/>
    <w:rsid w:val="4E7816D4"/>
    <w:rsid w:val="4EAFD821"/>
    <w:rsid w:val="4EBC0FDC"/>
    <w:rsid w:val="4EBE67B2"/>
    <w:rsid w:val="4F260F14"/>
    <w:rsid w:val="4F3374B4"/>
    <w:rsid w:val="4F3DFD49"/>
    <w:rsid w:val="4F4F65BB"/>
    <w:rsid w:val="4F6036C3"/>
    <w:rsid w:val="4F77A3DB"/>
    <w:rsid w:val="4F7B626C"/>
    <w:rsid w:val="4FB60EB6"/>
    <w:rsid w:val="4FC9436C"/>
    <w:rsid w:val="4FD72B41"/>
    <w:rsid w:val="4FF36A56"/>
    <w:rsid w:val="4FF41F1D"/>
    <w:rsid w:val="4FFE1847"/>
    <w:rsid w:val="4FFF086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4BEB7BD"/>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BE0B1E"/>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9D5BC"/>
    <w:rsid w:val="57DD7529"/>
    <w:rsid w:val="57DE385A"/>
    <w:rsid w:val="57DF2C92"/>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EE2622"/>
    <w:rsid w:val="5BF492AF"/>
    <w:rsid w:val="5BFC5543"/>
    <w:rsid w:val="5BFD0C7D"/>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51100"/>
    <w:rsid w:val="5EBD085D"/>
    <w:rsid w:val="5EBFC788"/>
    <w:rsid w:val="5EC50CAA"/>
    <w:rsid w:val="5ECA649A"/>
    <w:rsid w:val="5ECFC980"/>
    <w:rsid w:val="5EDB06B5"/>
    <w:rsid w:val="5EE70D55"/>
    <w:rsid w:val="5EF09A9F"/>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BFE689"/>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904125"/>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53B605"/>
    <w:rsid w:val="6763731F"/>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3C71"/>
    <w:rsid w:val="69F6F957"/>
    <w:rsid w:val="6A1F4150"/>
    <w:rsid w:val="6A2D1CCF"/>
    <w:rsid w:val="6A7E092E"/>
    <w:rsid w:val="6A904237"/>
    <w:rsid w:val="6AB5277B"/>
    <w:rsid w:val="6AEBD79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EFC8D0"/>
    <w:rsid w:val="6BF77E74"/>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4EDF"/>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DF893A"/>
    <w:rsid w:val="6FE70858"/>
    <w:rsid w:val="6FE71825"/>
    <w:rsid w:val="6FEB3409"/>
    <w:rsid w:val="6FF2EFD2"/>
    <w:rsid w:val="6FF55067"/>
    <w:rsid w:val="6FF70C7C"/>
    <w:rsid w:val="6FF736B6"/>
    <w:rsid w:val="6FF9061E"/>
    <w:rsid w:val="6FFE666F"/>
    <w:rsid w:val="6FFEE4E9"/>
    <w:rsid w:val="704A5458"/>
    <w:rsid w:val="705F6570"/>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3F77A"/>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CA3271"/>
    <w:rsid w:val="74E77EFD"/>
    <w:rsid w:val="74FB735B"/>
    <w:rsid w:val="7519F0F1"/>
    <w:rsid w:val="753A75CE"/>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D76BDA"/>
    <w:rsid w:val="76E9CBF5"/>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7F475B"/>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EA7643"/>
    <w:rsid w:val="77FB1360"/>
    <w:rsid w:val="77FBF545"/>
    <w:rsid w:val="77FC65BD"/>
    <w:rsid w:val="77FD2258"/>
    <w:rsid w:val="77FDAFC9"/>
    <w:rsid w:val="77FDD67D"/>
    <w:rsid w:val="77FFAA62"/>
    <w:rsid w:val="78267840"/>
    <w:rsid w:val="7884684B"/>
    <w:rsid w:val="788F6003"/>
    <w:rsid w:val="78A6232C"/>
    <w:rsid w:val="78BE02B4"/>
    <w:rsid w:val="78BF6301"/>
    <w:rsid w:val="78FD9EBC"/>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5DB0"/>
    <w:rsid w:val="7BCFB8A0"/>
    <w:rsid w:val="7BDB8B1C"/>
    <w:rsid w:val="7BDE04C2"/>
    <w:rsid w:val="7BDF1B52"/>
    <w:rsid w:val="7BDFF045"/>
    <w:rsid w:val="7BE627E0"/>
    <w:rsid w:val="7BED0A2D"/>
    <w:rsid w:val="7BEF63A1"/>
    <w:rsid w:val="7BF2732B"/>
    <w:rsid w:val="7BF36A1C"/>
    <w:rsid w:val="7BF73FA3"/>
    <w:rsid w:val="7BF7FA5E"/>
    <w:rsid w:val="7BF84618"/>
    <w:rsid w:val="7BF98F73"/>
    <w:rsid w:val="7BFBE961"/>
    <w:rsid w:val="7BFCCF9A"/>
    <w:rsid w:val="7BFD23BE"/>
    <w:rsid w:val="7BFF1252"/>
    <w:rsid w:val="7BFF4CBB"/>
    <w:rsid w:val="7BFF804B"/>
    <w:rsid w:val="7BFFBEF3"/>
    <w:rsid w:val="7BFFFB61"/>
    <w:rsid w:val="7C199E8E"/>
    <w:rsid w:val="7C1E4662"/>
    <w:rsid w:val="7C51667B"/>
    <w:rsid w:val="7C6FAC73"/>
    <w:rsid w:val="7C805BDF"/>
    <w:rsid w:val="7C960D11"/>
    <w:rsid w:val="7C9D15C7"/>
    <w:rsid w:val="7CBE8518"/>
    <w:rsid w:val="7CD09542"/>
    <w:rsid w:val="7CD51442"/>
    <w:rsid w:val="7CEC546D"/>
    <w:rsid w:val="7CF11320"/>
    <w:rsid w:val="7CF81A8E"/>
    <w:rsid w:val="7CFE4646"/>
    <w:rsid w:val="7D4877F9"/>
    <w:rsid w:val="7D5F766F"/>
    <w:rsid w:val="7D772C0B"/>
    <w:rsid w:val="7D7F3FD0"/>
    <w:rsid w:val="7D804B82"/>
    <w:rsid w:val="7D841571"/>
    <w:rsid w:val="7D9E4DCD"/>
    <w:rsid w:val="7DAE0760"/>
    <w:rsid w:val="7DB44617"/>
    <w:rsid w:val="7DB912C6"/>
    <w:rsid w:val="7DCDEB79"/>
    <w:rsid w:val="7DCFA9AF"/>
    <w:rsid w:val="7DEFDD4D"/>
    <w:rsid w:val="7DF55D84"/>
    <w:rsid w:val="7DF5E540"/>
    <w:rsid w:val="7DF7585B"/>
    <w:rsid w:val="7DFFD3A2"/>
    <w:rsid w:val="7E15D1C6"/>
    <w:rsid w:val="7E1861B4"/>
    <w:rsid w:val="7E1E6385"/>
    <w:rsid w:val="7E1FF0C7"/>
    <w:rsid w:val="7E3D5B49"/>
    <w:rsid w:val="7E3D6278"/>
    <w:rsid w:val="7E47238B"/>
    <w:rsid w:val="7E4F8CD2"/>
    <w:rsid w:val="7E5FA9CB"/>
    <w:rsid w:val="7E5FC950"/>
    <w:rsid w:val="7E604681"/>
    <w:rsid w:val="7E697DDA"/>
    <w:rsid w:val="7E6C5F5B"/>
    <w:rsid w:val="7E6D7AE2"/>
    <w:rsid w:val="7E6E564E"/>
    <w:rsid w:val="7E6F2C42"/>
    <w:rsid w:val="7E7860E8"/>
    <w:rsid w:val="7E7CE3D4"/>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5995"/>
    <w:rsid w:val="7EFFCA79"/>
    <w:rsid w:val="7F0B523C"/>
    <w:rsid w:val="7F1A2ADD"/>
    <w:rsid w:val="7F1FE4C4"/>
    <w:rsid w:val="7F2E9941"/>
    <w:rsid w:val="7F3AC36D"/>
    <w:rsid w:val="7F3F0374"/>
    <w:rsid w:val="7F3F48D2"/>
    <w:rsid w:val="7F3F8307"/>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9F"/>
    <w:rsid w:val="7FBD0DDC"/>
    <w:rsid w:val="7FBD3C31"/>
    <w:rsid w:val="7FBD6887"/>
    <w:rsid w:val="7FBF10A2"/>
    <w:rsid w:val="7FBF4759"/>
    <w:rsid w:val="7FC7B7AE"/>
    <w:rsid w:val="7FCB0E86"/>
    <w:rsid w:val="7FCDBC4D"/>
    <w:rsid w:val="7FCFE3A1"/>
    <w:rsid w:val="7FD7B55D"/>
    <w:rsid w:val="7FDA4A78"/>
    <w:rsid w:val="7FDBD71A"/>
    <w:rsid w:val="7FDE6D84"/>
    <w:rsid w:val="7FDF0F57"/>
    <w:rsid w:val="7FDF8A26"/>
    <w:rsid w:val="7FDF9583"/>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DA9F"/>
    <w:rsid w:val="7FFFEDA8"/>
    <w:rsid w:val="7FFFFFF5"/>
    <w:rsid w:val="80FFD23B"/>
    <w:rsid w:val="87647AF8"/>
    <w:rsid w:val="87FBEAE8"/>
    <w:rsid w:val="8BAD3C64"/>
    <w:rsid w:val="8DFFD1AA"/>
    <w:rsid w:val="8EEFB323"/>
    <w:rsid w:val="8F3E3382"/>
    <w:rsid w:val="8F7302B9"/>
    <w:rsid w:val="8FBB9A55"/>
    <w:rsid w:val="91DFE8F5"/>
    <w:rsid w:val="93DB74AF"/>
    <w:rsid w:val="97D71DFE"/>
    <w:rsid w:val="99ED0C9D"/>
    <w:rsid w:val="99FEE736"/>
    <w:rsid w:val="9A1E0A07"/>
    <w:rsid w:val="9B1F6BC4"/>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DFF670"/>
    <w:rsid w:val="9FF6BE78"/>
    <w:rsid w:val="9FFFBA19"/>
    <w:rsid w:val="9FFFF6C8"/>
    <w:rsid w:val="A4F29759"/>
    <w:rsid w:val="A56A5B4C"/>
    <w:rsid w:val="A5FD887E"/>
    <w:rsid w:val="A69E7D90"/>
    <w:rsid w:val="A798F561"/>
    <w:rsid w:val="A7CF7B0F"/>
    <w:rsid w:val="A7F5298F"/>
    <w:rsid w:val="A9FBD03D"/>
    <w:rsid w:val="ABF7DC2D"/>
    <w:rsid w:val="ABFDE009"/>
    <w:rsid w:val="ABFFE5E5"/>
    <w:rsid w:val="AD6D9B49"/>
    <w:rsid w:val="ADFA5E98"/>
    <w:rsid w:val="AEAF57D7"/>
    <w:rsid w:val="AEBFBB0B"/>
    <w:rsid w:val="AEF841E1"/>
    <w:rsid w:val="AF3EBA8C"/>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743D77"/>
    <w:rsid w:val="B6F78BBC"/>
    <w:rsid w:val="B6FF2A8E"/>
    <w:rsid w:val="B6FF60FB"/>
    <w:rsid w:val="B73B3728"/>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3E3D98"/>
    <w:rsid w:val="BB5D82F3"/>
    <w:rsid w:val="BB6D2A73"/>
    <w:rsid w:val="BB77A2D1"/>
    <w:rsid w:val="BB7916AC"/>
    <w:rsid w:val="BBB26A87"/>
    <w:rsid w:val="BBCF4FBF"/>
    <w:rsid w:val="BBDD7A8B"/>
    <w:rsid w:val="BBDEB2DA"/>
    <w:rsid w:val="BBDF3B74"/>
    <w:rsid w:val="BBDFEAAB"/>
    <w:rsid w:val="BBFE9003"/>
    <w:rsid w:val="BC35AEB4"/>
    <w:rsid w:val="BCCD3A25"/>
    <w:rsid w:val="BD6A2F93"/>
    <w:rsid w:val="BD7FB6AF"/>
    <w:rsid w:val="BD9FB11C"/>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929E5"/>
    <w:rsid w:val="BEFB0E83"/>
    <w:rsid w:val="BEFFF11B"/>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7CE16"/>
    <w:rsid w:val="BFEDD8B4"/>
    <w:rsid w:val="BFEEB6FB"/>
    <w:rsid w:val="BFEF8AF5"/>
    <w:rsid w:val="BFF5BC68"/>
    <w:rsid w:val="BFF7C788"/>
    <w:rsid w:val="BFF8B842"/>
    <w:rsid w:val="BFFC6D96"/>
    <w:rsid w:val="BFFF0B13"/>
    <w:rsid w:val="BFFFF591"/>
    <w:rsid w:val="C57B30B2"/>
    <w:rsid w:val="C5923726"/>
    <w:rsid w:val="C5BF2169"/>
    <w:rsid w:val="C5DF0AA3"/>
    <w:rsid w:val="C7470024"/>
    <w:rsid w:val="CB339C4C"/>
    <w:rsid w:val="CB5FE9A0"/>
    <w:rsid w:val="CBBD9BF9"/>
    <w:rsid w:val="CBF68264"/>
    <w:rsid w:val="CBFFBB8F"/>
    <w:rsid w:val="CC6D41A8"/>
    <w:rsid w:val="CCE3DF2C"/>
    <w:rsid w:val="CD9379DD"/>
    <w:rsid w:val="CDD5C00D"/>
    <w:rsid w:val="CDEE0A57"/>
    <w:rsid w:val="CDFD62BF"/>
    <w:rsid w:val="CDFDE3EF"/>
    <w:rsid w:val="CDFE0621"/>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BDE6DD"/>
    <w:rsid w:val="D3F707AB"/>
    <w:rsid w:val="D3F7AEF2"/>
    <w:rsid w:val="D3FA2600"/>
    <w:rsid w:val="D3FF6AE8"/>
    <w:rsid w:val="D45FBA60"/>
    <w:rsid w:val="D4BDA523"/>
    <w:rsid w:val="D5BDC0D4"/>
    <w:rsid w:val="D5FD486A"/>
    <w:rsid w:val="D5FD875C"/>
    <w:rsid w:val="D5FF1039"/>
    <w:rsid w:val="D6EB4C31"/>
    <w:rsid w:val="D73FAC7A"/>
    <w:rsid w:val="D7BBF31B"/>
    <w:rsid w:val="D7D5CC6F"/>
    <w:rsid w:val="D7DE753A"/>
    <w:rsid w:val="D7E09F42"/>
    <w:rsid w:val="D7FB59A0"/>
    <w:rsid w:val="D7FED8D0"/>
    <w:rsid w:val="D7FF672B"/>
    <w:rsid w:val="D7FFF9DF"/>
    <w:rsid w:val="D8A9D188"/>
    <w:rsid w:val="D9719662"/>
    <w:rsid w:val="D9BD42E9"/>
    <w:rsid w:val="D9BE4408"/>
    <w:rsid w:val="DABFB485"/>
    <w:rsid w:val="DB1FC230"/>
    <w:rsid w:val="DB2E96B1"/>
    <w:rsid w:val="DB99523A"/>
    <w:rsid w:val="DBBFC65C"/>
    <w:rsid w:val="DBCB3E80"/>
    <w:rsid w:val="DBD5E18D"/>
    <w:rsid w:val="DBDD1800"/>
    <w:rsid w:val="DBEA5FD9"/>
    <w:rsid w:val="DBF5FCE0"/>
    <w:rsid w:val="DBF6C713"/>
    <w:rsid w:val="DBFAB6E2"/>
    <w:rsid w:val="DBFDE20D"/>
    <w:rsid w:val="DBFF2B01"/>
    <w:rsid w:val="DBFFB739"/>
    <w:rsid w:val="DC7FF3D4"/>
    <w:rsid w:val="DCBDD353"/>
    <w:rsid w:val="DCE9A5E8"/>
    <w:rsid w:val="DCEBD107"/>
    <w:rsid w:val="DCEFE6D6"/>
    <w:rsid w:val="DCF18845"/>
    <w:rsid w:val="DCFE0F4D"/>
    <w:rsid w:val="DD722B29"/>
    <w:rsid w:val="DDAB0F76"/>
    <w:rsid w:val="DDDCC728"/>
    <w:rsid w:val="DDFE9AAD"/>
    <w:rsid w:val="DE7F7618"/>
    <w:rsid w:val="DEAC06F5"/>
    <w:rsid w:val="DEAF3FB5"/>
    <w:rsid w:val="DEBE04B8"/>
    <w:rsid w:val="DEBFF87C"/>
    <w:rsid w:val="DECD45E5"/>
    <w:rsid w:val="DED7F2B4"/>
    <w:rsid w:val="DEDFDF58"/>
    <w:rsid w:val="DEE54E08"/>
    <w:rsid w:val="DEE670BC"/>
    <w:rsid w:val="DEFDB41D"/>
    <w:rsid w:val="DF37A205"/>
    <w:rsid w:val="DF3F1911"/>
    <w:rsid w:val="DF3FF7CA"/>
    <w:rsid w:val="DF6DD13C"/>
    <w:rsid w:val="DF763325"/>
    <w:rsid w:val="DF78CB1A"/>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67B28"/>
    <w:rsid w:val="DFD9E5D0"/>
    <w:rsid w:val="DFDFAC6F"/>
    <w:rsid w:val="DFE73EF5"/>
    <w:rsid w:val="DFEC7A3A"/>
    <w:rsid w:val="DFEFA24D"/>
    <w:rsid w:val="DFEFFE04"/>
    <w:rsid w:val="DFF0F891"/>
    <w:rsid w:val="DFF1EC04"/>
    <w:rsid w:val="DFF30972"/>
    <w:rsid w:val="DFF72CF6"/>
    <w:rsid w:val="DFFB4111"/>
    <w:rsid w:val="DFFBC7E1"/>
    <w:rsid w:val="DFFCACE0"/>
    <w:rsid w:val="DFFF2B5D"/>
    <w:rsid w:val="DFFF3928"/>
    <w:rsid w:val="DFFFB827"/>
    <w:rsid w:val="E0FBC29F"/>
    <w:rsid w:val="E17F3390"/>
    <w:rsid w:val="E1BDB81F"/>
    <w:rsid w:val="E1EF2A08"/>
    <w:rsid w:val="E2CDAC7E"/>
    <w:rsid w:val="E2ED36E5"/>
    <w:rsid w:val="E5BFBD14"/>
    <w:rsid w:val="E5FD79EC"/>
    <w:rsid w:val="E69DB6F6"/>
    <w:rsid w:val="E6EEE5E3"/>
    <w:rsid w:val="E6FA0EAF"/>
    <w:rsid w:val="E6FF671B"/>
    <w:rsid w:val="E7BECC07"/>
    <w:rsid w:val="E7DD1255"/>
    <w:rsid w:val="E7E8552A"/>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5A0704"/>
    <w:rsid w:val="EB7E0D37"/>
    <w:rsid w:val="EBAD28DF"/>
    <w:rsid w:val="EBB6D35F"/>
    <w:rsid w:val="EBBF4A2E"/>
    <w:rsid w:val="EBBFAF58"/>
    <w:rsid w:val="EBD957CC"/>
    <w:rsid w:val="EBDFCE57"/>
    <w:rsid w:val="EBFBA9D6"/>
    <w:rsid w:val="EBFD03CE"/>
    <w:rsid w:val="EBFFD39E"/>
    <w:rsid w:val="EC75EFAF"/>
    <w:rsid w:val="EC7FA350"/>
    <w:rsid w:val="ECF1EE47"/>
    <w:rsid w:val="ECF3EF46"/>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AEAA7"/>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3F20A1"/>
    <w:rsid w:val="F2899859"/>
    <w:rsid w:val="F2BF5C01"/>
    <w:rsid w:val="F2CD36F5"/>
    <w:rsid w:val="F2DCE203"/>
    <w:rsid w:val="F2FBA260"/>
    <w:rsid w:val="F32FE83B"/>
    <w:rsid w:val="F3723DB1"/>
    <w:rsid w:val="F3D7D169"/>
    <w:rsid w:val="F3EA0697"/>
    <w:rsid w:val="F3EF2933"/>
    <w:rsid w:val="F3F2F550"/>
    <w:rsid w:val="F3F5BEE9"/>
    <w:rsid w:val="F3F8EE6C"/>
    <w:rsid w:val="F3FB14F0"/>
    <w:rsid w:val="F3FF05B4"/>
    <w:rsid w:val="F3FFD2DD"/>
    <w:rsid w:val="F4571BDB"/>
    <w:rsid w:val="F4BF339E"/>
    <w:rsid w:val="F4CF00A8"/>
    <w:rsid w:val="F56D78F0"/>
    <w:rsid w:val="F57EA373"/>
    <w:rsid w:val="F5AB4465"/>
    <w:rsid w:val="F5AF1AAC"/>
    <w:rsid w:val="F5BF2197"/>
    <w:rsid w:val="F5D6D416"/>
    <w:rsid w:val="F5EF5BA1"/>
    <w:rsid w:val="F5FFA048"/>
    <w:rsid w:val="F66E6811"/>
    <w:rsid w:val="F6F676D6"/>
    <w:rsid w:val="F6F715DC"/>
    <w:rsid w:val="F6FC548F"/>
    <w:rsid w:val="F6FF0645"/>
    <w:rsid w:val="F6FFF807"/>
    <w:rsid w:val="F70F4387"/>
    <w:rsid w:val="F737D671"/>
    <w:rsid w:val="F74CB9BB"/>
    <w:rsid w:val="F75DEE87"/>
    <w:rsid w:val="F76FC34E"/>
    <w:rsid w:val="F77EAFBC"/>
    <w:rsid w:val="F79BF327"/>
    <w:rsid w:val="F7B72CE9"/>
    <w:rsid w:val="F7BB0BC8"/>
    <w:rsid w:val="F7BB5C28"/>
    <w:rsid w:val="F7BB7DA5"/>
    <w:rsid w:val="F7BF4B69"/>
    <w:rsid w:val="F7BFDD02"/>
    <w:rsid w:val="F7C640FC"/>
    <w:rsid w:val="F7CB3D4A"/>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99C915"/>
    <w:rsid w:val="F9FA94DA"/>
    <w:rsid w:val="F9FFCD8A"/>
    <w:rsid w:val="F9FFE9E2"/>
    <w:rsid w:val="FA673975"/>
    <w:rsid w:val="FA6F5FA1"/>
    <w:rsid w:val="FA6F7A3B"/>
    <w:rsid w:val="FA9F3B8F"/>
    <w:rsid w:val="FABB1ADF"/>
    <w:rsid w:val="FAFB5879"/>
    <w:rsid w:val="FAFFE8B1"/>
    <w:rsid w:val="FB0FA5A1"/>
    <w:rsid w:val="FB1B2E8B"/>
    <w:rsid w:val="FB3F993E"/>
    <w:rsid w:val="FB5DDB87"/>
    <w:rsid w:val="FB5F7A41"/>
    <w:rsid w:val="FB6141D0"/>
    <w:rsid w:val="FB6DADAC"/>
    <w:rsid w:val="FB737713"/>
    <w:rsid w:val="FB7620CB"/>
    <w:rsid w:val="FBAD924E"/>
    <w:rsid w:val="FBB3B80B"/>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DD3D"/>
    <w:rsid w:val="FBFFFF9E"/>
    <w:rsid w:val="FC2F7095"/>
    <w:rsid w:val="FC45570C"/>
    <w:rsid w:val="FC5D01CF"/>
    <w:rsid w:val="FC7390B6"/>
    <w:rsid w:val="FC7D08FF"/>
    <w:rsid w:val="FCBD7C47"/>
    <w:rsid w:val="FCCAE4B4"/>
    <w:rsid w:val="FCDF586A"/>
    <w:rsid w:val="FCEF4AA4"/>
    <w:rsid w:val="FCF3C0FF"/>
    <w:rsid w:val="FCFE3BF1"/>
    <w:rsid w:val="FCFFC7AA"/>
    <w:rsid w:val="FD1F198B"/>
    <w:rsid w:val="FD3D1E0E"/>
    <w:rsid w:val="FD5A3379"/>
    <w:rsid w:val="FD7F9963"/>
    <w:rsid w:val="FD8F501F"/>
    <w:rsid w:val="FD9F4A15"/>
    <w:rsid w:val="FDAFF0EB"/>
    <w:rsid w:val="FDBE483E"/>
    <w:rsid w:val="FDCBF945"/>
    <w:rsid w:val="FDDF292B"/>
    <w:rsid w:val="FDE47190"/>
    <w:rsid w:val="FDEB5CB7"/>
    <w:rsid w:val="FDEB6716"/>
    <w:rsid w:val="FDEF2A04"/>
    <w:rsid w:val="FDF399A8"/>
    <w:rsid w:val="FDF97ECA"/>
    <w:rsid w:val="FDFD1D0F"/>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DFB70C"/>
    <w:rsid w:val="FEEF0ED8"/>
    <w:rsid w:val="FEF608EA"/>
    <w:rsid w:val="FEF7D53C"/>
    <w:rsid w:val="FEF99CBF"/>
    <w:rsid w:val="FEFC12E3"/>
    <w:rsid w:val="FEFEA587"/>
    <w:rsid w:val="FEFF7BD4"/>
    <w:rsid w:val="FF1E1442"/>
    <w:rsid w:val="FF3D390A"/>
    <w:rsid w:val="FF3E59B5"/>
    <w:rsid w:val="FF4FE9F1"/>
    <w:rsid w:val="FF5B8D7F"/>
    <w:rsid w:val="FF5D1F29"/>
    <w:rsid w:val="FF659D82"/>
    <w:rsid w:val="FF660C39"/>
    <w:rsid w:val="FF6BA83A"/>
    <w:rsid w:val="FF6C3765"/>
    <w:rsid w:val="FF6F0E8D"/>
    <w:rsid w:val="FF6FB5D7"/>
    <w:rsid w:val="FF738773"/>
    <w:rsid w:val="FF75DB73"/>
    <w:rsid w:val="FF76FAD4"/>
    <w:rsid w:val="FF7AEC13"/>
    <w:rsid w:val="FF7B056A"/>
    <w:rsid w:val="FF7B52EA"/>
    <w:rsid w:val="FF7B874E"/>
    <w:rsid w:val="FF7C84EC"/>
    <w:rsid w:val="FF7DC127"/>
    <w:rsid w:val="FF7EEB41"/>
    <w:rsid w:val="FF7F4185"/>
    <w:rsid w:val="FF7F4461"/>
    <w:rsid w:val="FF8F6649"/>
    <w:rsid w:val="FF97B671"/>
    <w:rsid w:val="FF9FA02E"/>
    <w:rsid w:val="FF9FA27F"/>
    <w:rsid w:val="FFA6D6F5"/>
    <w:rsid w:val="FFADDE42"/>
    <w:rsid w:val="FFAF5F11"/>
    <w:rsid w:val="FFAFD1D1"/>
    <w:rsid w:val="FFB2CB99"/>
    <w:rsid w:val="FFB769D4"/>
    <w:rsid w:val="FFB9A9CC"/>
    <w:rsid w:val="FFBCC349"/>
    <w:rsid w:val="FFBD8E1E"/>
    <w:rsid w:val="FFBEB8C7"/>
    <w:rsid w:val="FFBEC378"/>
    <w:rsid w:val="FFBF0390"/>
    <w:rsid w:val="FFC7C6F9"/>
    <w:rsid w:val="FFCC2759"/>
    <w:rsid w:val="FFCE4F99"/>
    <w:rsid w:val="FFCF23F3"/>
    <w:rsid w:val="FFCF688E"/>
    <w:rsid w:val="FFCF6C60"/>
    <w:rsid w:val="FFD1C576"/>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AC08"/>
    <w:rsid w:val="FFFAFB73"/>
    <w:rsid w:val="FFFAFE94"/>
    <w:rsid w:val="FFFB0977"/>
    <w:rsid w:val="FFFB2B15"/>
    <w:rsid w:val="FFFBAE4E"/>
    <w:rsid w:val="FFFD5F2A"/>
    <w:rsid w:val="FFFD8BDA"/>
    <w:rsid w:val="FFFDC7E6"/>
    <w:rsid w:val="FFFDDB9B"/>
    <w:rsid w:val="FFFE0AE4"/>
    <w:rsid w:val="FFFE5B9E"/>
    <w:rsid w:val="FFFEAABD"/>
    <w:rsid w:val="FFFEAF29"/>
    <w:rsid w:val="FFFECC37"/>
    <w:rsid w:val="FFFF509D"/>
    <w:rsid w:val="FFFF56D4"/>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6">
    <w:name w:val="heading 3"/>
    <w:basedOn w:val="1"/>
    <w:next w:val="1"/>
    <w:qFormat/>
    <w:uiPriority w:val="9"/>
    <w:pPr>
      <w:keepNext/>
      <w:keepLines/>
      <w:spacing w:before="260" w:after="260" w:line="416" w:lineRule="auto"/>
      <w:outlineLvl w:val="2"/>
    </w:pPr>
    <w:rPr>
      <w:bCs/>
      <w:szCs w:val="32"/>
    </w:rPr>
  </w:style>
  <w:style w:type="paragraph" w:styleId="7">
    <w:name w:val="heading 4"/>
    <w:basedOn w:val="1"/>
    <w:next w:val="1"/>
    <w:qFormat/>
    <w:uiPriority w:val="0"/>
    <w:pPr>
      <w:keepNext/>
      <w:keepLines/>
      <w:numPr>
        <w:ilvl w:val="3"/>
        <w:numId w:val="1"/>
      </w:numPr>
      <w:tabs>
        <w:tab w:val="left" w:pos="1726"/>
        <w:tab w:val="clear" w:pos="850"/>
      </w:tabs>
      <w:ind w:firstLineChars="0"/>
      <w:jc w:val="left"/>
      <w:outlineLvl w:val="3"/>
    </w:pPr>
    <w:rPr>
      <w:rFonts w:hAnsi="Arial"/>
      <w:bCs/>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Default1"/>
    <w:basedOn w:val="3"/>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3">
    <w:name w:val="常用正文样式"/>
    <w:qFormat/>
    <w:uiPriority w:val="0"/>
    <w:pPr>
      <w:widowControl w:val="0"/>
      <w:spacing w:line="360" w:lineRule="auto"/>
      <w:ind w:firstLine="454"/>
      <w:jc w:val="both"/>
    </w:pPr>
    <w:rPr>
      <w:rFonts w:ascii="宋体" w:hAnsi="新宋体" w:eastAsia="仿宋_GB2312" w:cs="Times New Roman"/>
      <w:kern w:val="2"/>
      <w:sz w:val="24"/>
      <w:szCs w:val="24"/>
      <w:lang w:val="en-US" w:eastAsia="zh-CN" w:bidi="ar-SA"/>
    </w:rPr>
  </w:style>
  <w:style w:type="paragraph" w:styleId="8">
    <w:name w:val="annotation text"/>
    <w:basedOn w:val="1"/>
    <w:link w:val="30"/>
    <w:qFormat/>
    <w:uiPriority w:val="0"/>
    <w:pPr>
      <w:jc w:val="left"/>
    </w:pPr>
  </w:style>
  <w:style w:type="paragraph" w:styleId="9">
    <w:name w:val="Body Text"/>
    <w:basedOn w:val="1"/>
    <w:next w:val="10"/>
    <w:qFormat/>
    <w:uiPriority w:val="0"/>
    <w:pPr>
      <w:spacing w:after="120"/>
    </w:pPr>
  </w:style>
  <w:style w:type="paragraph" w:customStyle="1" w:styleId="10">
    <w:name w:val="xl27"/>
    <w:basedOn w:val="1"/>
    <w:next w:val="1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11">
    <w:name w:val="A正文"/>
    <w:basedOn w:val="1"/>
    <w:qFormat/>
    <w:uiPriority w:val="0"/>
    <w:pPr>
      <w:widowControl/>
      <w:overflowPunct w:val="0"/>
      <w:autoSpaceDE w:val="0"/>
      <w:autoSpaceDN w:val="0"/>
      <w:jc w:val="left"/>
      <w:textAlignment w:val="baseline"/>
    </w:pPr>
  </w:style>
  <w:style w:type="paragraph" w:styleId="12">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13">
    <w:name w:val="Plain Text"/>
    <w:basedOn w:val="1"/>
    <w:unhideWhenUsed/>
    <w:qFormat/>
    <w:uiPriority w:val="99"/>
    <w:rPr>
      <w:rFonts w:ascii="宋体" w:hAnsi="Courier New" w:cs="Courier New"/>
    </w:rPr>
  </w:style>
  <w:style w:type="paragraph" w:styleId="14">
    <w:name w:val="Body Text Indent 2"/>
    <w:basedOn w:val="1"/>
    <w:next w:val="15"/>
    <w:qFormat/>
    <w:uiPriority w:val="0"/>
    <w:pPr>
      <w:spacing w:line="460" w:lineRule="exact"/>
      <w:ind w:firstLine="600" w:firstLineChars="200"/>
    </w:pPr>
    <w:rPr>
      <w:rFonts w:ascii="仿宋_GB2312" w:hAnsi="宋体" w:eastAsia="仿宋_GB2312"/>
      <w:sz w:val="30"/>
      <w:szCs w:val="28"/>
    </w:rPr>
  </w:style>
  <w:style w:type="paragraph" w:styleId="15">
    <w:name w:val="Body Text First Indent 2"/>
    <w:basedOn w:val="1"/>
    <w:next w:val="1"/>
    <w:unhideWhenUsed/>
    <w:qFormat/>
    <w:uiPriority w:val="0"/>
    <w:pPr>
      <w:spacing w:after="120" w:line="240" w:lineRule="auto"/>
      <w:ind w:left="420" w:leftChars="200" w:firstLine="420"/>
    </w:pPr>
  </w:style>
  <w:style w:type="paragraph" w:styleId="16">
    <w:name w:val="Balloon Text"/>
    <w:basedOn w:val="1"/>
    <w:link w:val="32"/>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0">
    <w:name w:val="Normal (Web)"/>
    <w:basedOn w:val="1"/>
    <w:qFormat/>
    <w:uiPriority w:val="0"/>
    <w:pPr>
      <w:jc w:val="left"/>
    </w:pPr>
    <w:rPr>
      <w:rFonts w:cs="Times New Roman"/>
      <w:kern w:val="0"/>
      <w:sz w:val="24"/>
    </w:rPr>
  </w:style>
  <w:style w:type="paragraph" w:styleId="21">
    <w:name w:val="annotation subject"/>
    <w:basedOn w:val="8"/>
    <w:next w:val="8"/>
    <w:link w:val="31"/>
    <w:qFormat/>
    <w:uiPriority w:val="0"/>
    <w:rPr>
      <w:b/>
      <w:bCs/>
    </w:rPr>
  </w:style>
  <w:style w:type="paragraph" w:styleId="22">
    <w:name w:val="Body Text First Indent"/>
    <w:basedOn w:val="9"/>
    <w:unhideWhenUsed/>
    <w:qFormat/>
    <w:uiPriority w:val="99"/>
    <w:pPr>
      <w:spacing w:after="120"/>
      <w:ind w:firstLine="420" w:firstLineChars="100"/>
    </w:pPr>
    <w:rPr>
      <w:rFonts w:ascii="Calibri" w:hAnsi="Calibri" w:eastAsia="宋体" w:cs="Times New Roman"/>
      <w:szCs w:val="22"/>
    </w:rPr>
  </w:style>
  <w:style w:type="table" w:styleId="24">
    <w:name w:val="Table Grid"/>
    <w:basedOn w:val="23"/>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annotation reference"/>
    <w:basedOn w:val="25"/>
    <w:qFormat/>
    <w:uiPriority w:val="0"/>
    <w:rPr>
      <w:sz w:val="21"/>
      <w:szCs w:val="21"/>
    </w:rPr>
  </w:style>
  <w:style w:type="paragraph" w:customStyle="1" w:styleId="27">
    <w:name w:val="Default"/>
    <w:basedOn w:val="28"/>
    <w:next w:val="15"/>
    <w:qFormat/>
    <w:uiPriority w:val="0"/>
    <w:pPr>
      <w:autoSpaceDE w:val="0"/>
      <w:autoSpaceDN w:val="0"/>
      <w:adjustRightInd w:val="0"/>
    </w:pPr>
    <w:rPr>
      <w:rFonts w:ascii="仿宋_GB2312" w:eastAsia="仿宋_GB2312" w:cs="仿宋_GB2312"/>
      <w:sz w:val="24"/>
    </w:rPr>
  </w:style>
  <w:style w:type="paragraph" w:customStyle="1" w:styleId="28">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9">
    <w:name w:val="样式 标题 2"/>
    <w:basedOn w:val="5"/>
    <w:next w:val="2"/>
    <w:qFormat/>
    <w:uiPriority w:val="0"/>
    <w:pPr>
      <w:spacing w:before="50" w:after="50"/>
    </w:pPr>
    <w:rPr>
      <w:szCs w:val="28"/>
    </w:rPr>
  </w:style>
  <w:style w:type="character" w:customStyle="1" w:styleId="30">
    <w:name w:val="批注文字 Char"/>
    <w:basedOn w:val="25"/>
    <w:link w:val="8"/>
    <w:qFormat/>
    <w:uiPriority w:val="0"/>
    <w:rPr>
      <w:kern w:val="2"/>
      <w:sz w:val="21"/>
      <w:szCs w:val="24"/>
    </w:rPr>
  </w:style>
  <w:style w:type="character" w:customStyle="1" w:styleId="31">
    <w:name w:val="批注主题 Char"/>
    <w:basedOn w:val="30"/>
    <w:link w:val="21"/>
    <w:qFormat/>
    <w:uiPriority w:val="0"/>
    <w:rPr>
      <w:b/>
      <w:bCs/>
      <w:kern w:val="2"/>
      <w:sz w:val="21"/>
      <w:szCs w:val="24"/>
    </w:rPr>
  </w:style>
  <w:style w:type="character" w:customStyle="1" w:styleId="32">
    <w:name w:val="批注框文本 Char"/>
    <w:basedOn w:val="25"/>
    <w:link w:val="16"/>
    <w:qFormat/>
    <w:uiPriority w:val="0"/>
    <w:rPr>
      <w:kern w:val="2"/>
      <w:sz w:val="18"/>
      <w:szCs w:val="18"/>
    </w:rPr>
  </w:style>
  <w:style w:type="paragraph" w:customStyle="1" w:styleId="33">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4">
    <w:name w:val="List Paragraph"/>
    <w:basedOn w:val="1"/>
    <w:unhideWhenUsed/>
    <w:qFormat/>
    <w:uiPriority w:val="99"/>
    <w:pPr>
      <w:ind w:firstLine="420" w:firstLineChars="200"/>
    </w:pPr>
  </w:style>
  <w:style w:type="paragraph" w:customStyle="1" w:styleId="35">
    <w:name w:val="A0正文"/>
    <w:basedOn w:val="1"/>
    <w:qFormat/>
    <w:uiPriority w:val="0"/>
    <w:pPr>
      <w:spacing w:line="560" w:lineRule="exact"/>
      <w:ind w:firstLine="200" w:firstLineChars="200"/>
    </w:pPr>
    <w:rPr>
      <w:sz w:val="24"/>
      <w:szCs w:val="20"/>
      <w:lang w:val="zh-CN"/>
    </w:rPr>
  </w:style>
  <w:style w:type="paragraph" w:customStyle="1" w:styleId="36">
    <w:name w:val="小四+首行缩进"/>
    <w:basedOn w:val="1"/>
    <w:qFormat/>
    <w:uiPriority w:val="0"/>
    <w:pPr>
      <w:spacing w:line="360" w:lineRule="auto"/>
      <w:ind w:firstLine="482"/>
    </w:pPr>
    <w:rPr>
      <w:rFonts w:ascii="宋体" w:hAnsi="宋体"/>
      <w:kern w:val="0"/>
      <w:sz w:val="24"/>
    </w:rPr>
  </w:style>
  <w:style w:type="paragraph" w:customStyle="1" w:styleId="37">
    <w:name w:val="D正文"/>
    <w:basedOn w:val="1"/>
    <w:qFormat/>
    <w:uiPriority w:val="0"/>
    <w:pPr>
      <w:spacing w:line="360" w:lineRule="auto"/>
      <w:ind w:firstLine="480" w:firstLineChars="200"/>
    </w:pPr>
    <w:rPr>
      <w:sz w:val="24"/>
    </w:rPr>
  </w:style>
  <w:style w:type="paragraph" w:customStyle="1" w:styleId="38">
    <w:name w:val="报告书"/>
    <w:basedOn w:val="1"/>
    <w:qFormat/>
    <w:uiPriority w:val="0"/>
    <w:pPr>
      <w:autoSpaceDE w:val="0"/>
      <w:autoSpaceDN w:val="0"/>
      <w:adjustRightInd w:val="0"/>
      <w:spacing w:line="520" w:lineRule="exact"/>
      <w:ind w:firstLine="480" w:firstLineChars="200"/>
      <w:jc w:val="left"/>
    </w:pPr>
    <w:rPr>
      <w:rFonts w:ascii="宋体" w:hAnsi="宋体" w:eastAsia="宋体" w:cs="宋体"/>
      <w:color w:val="0000FF"/>
      <w:sz w:val="24"/>
    </w:rPr>
  </w:style>
  <w:style w:type="paragraph" w:customStyle="1" w:styleId="39">
    <w:name w:val="【正文】"/>
    <w:basedOn w:val="1"/>
    <w:qFormat/>
    <w:uiPriority w:val="0"/>
    <w:pPr>
      <w:adjustRightInd w:val="0"/>
      <w:snapToGrid w:val="0"/>
      <w:spacing w:line="360" w:lineRule="auto"/>
      <w:ind w:firstLine="200" w:firstLineChars="200"/>
    </w:pPr>
    <w:rPr>
      <w:color w:val="000000"/>
      <w:sz w:val="24"/>
      <w:szCs w:val="20"/>
    </w:rPr>
  </w:style>
  <w:style w:type="paragraph" w:customStyle="1" w:styleId="40">
    <w:name w:val="000[正文格式]"/>
    <w:basedOn w:val="1"/>
    <w:qFormat/>
    <w:uiPriority w:val="0"/>
    <w:pPr>
      <w:widowControl/>
      <w:spacing w:line="360" w:lineRule="auto"/>
      <w:ind w:firstLine="200" w:firstLineChars="200"/>
    </w:pPr>
    <w:rPr>
      <w:rFonts w:ascii="宋体" w:hAnsi="宋体" w:cs="宋体"/>
      <w:kern w:val="0"/>
      <w:sz w:val="24"/>
      <w:szCs w:val="20"/>
    </w:rPr>
  </w:style>
  <w:style w:type="paragraph" w:customStyle="1" w:styleId="41">
    <w:name w:val="00正文-rm"/>
    <w:qFormat/>
    <w:uiPriority w:val="0"/>
    <w:pPr>
      <w:adjustRightInd w:val="0"/>
      <w:snapToGrid w:val="0"/>
      <w:spacing w:line="360" w:lineRule="auto"/>
      <w:ind w:firstLine="200" w:firstLineChars="200"/>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11</Pages>
  <Words>5054</Words>
  <Characters>5768</Characters>
  <Lines>26</Lines>
  <Paragraphs>7</Paragraphs>
  <TotalTime>1</TotalTime>
  <ScaleCrop>false</ScaleCrop>
  <LinksUpToDate>false</LinksUpToDate>
  <CharactersWithSpaces>6016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2022-03-17T17:25:00Z</dcterms:created>
  <dc:creator>Administrator</dc:creator>
  <cp:lastModifiedBy>admin123</cp:lastModifiedBy>
  <cp:lastPrinted>2023-03-03T16:19:34Z</cp:lastPrinted>
  <dcterms:modified xsi:type="dcterms:W3CDTF">2023-03-03T16:19:36Z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FCBE9B4CC0E04C92A70FAB8A4987C073</vt:lpwstr>
  </property>
</Properties>
</file>