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方正小标宋简体" w:eastAsia="方正小标宋简体"/>
          <w:color w:val="FF0000"/>
          <w:spacing w:val="-11"/>
          <w:w w:val="50"/>
          <w:sz w:val="96"/>
          <w:szCs w:val="96"/>
          <w:lang w:val="en"/>
        </w:rPr>
      </w:pPr>
      <w:r>
        <w:rPr>
          <w:rFonts w:hint="eastAsia" w:ascii="方正小标宋简体" w:eastAsia="方正小标宋简体"/>
          <w:color w:val="FF0000"/>
          <w:spacing w:val="-11"/>
          <w:w w:val="50"/>
          <w:sz w:val="96"/>
          <w:szCs w:val="96"/>
          <w:lang w:val="zh-CN"/>
        </w:rPr>
        <w:t>宜春市生态环境局宜春经济技术开发区分局</w:t>
      </w: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宜区环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字〔20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〕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号</w:t>
      </w:r>
    </w:p>
    <w:p>
      <w:pPr>
        <w:snapToGrid w:val="0"/>
        <w:jc w:val="center"/>
        <w:rPr>
          <w:rFonts w:ascii="方正小标宋简体" w:eastAsia="方正小标宋简体"/>
          <w:szCs w:val="21"/>
          <w:lang w:val="zh-CN"/>
        </w:rPr>
      </w:pPr>
      <w:r>
        <w:rPr>
          <w:rFonts w:ascii="仿宋" w:hAnsi="仿宋" w:eastAsia="仿宋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13335</wp:posOffset>
                </wp:positionV>
                <wp:extent cx="5605145" cy="0"/>
                <wp:effectExtent l="0" t="19050" r="1460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25pt;margin-top:1.05pt;height:0pt;width:441.35pt;z-index:251662336;mso-width-relative:page;mso-height-relative:page;" filled="f" stroked="t" coordsize="21600,21600" o:gfxdata="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O7DtRjVAAAABgEAAA8AAAAAAAAAAQAgAAAAOAAAAGRycy9kb3ducmV2&#10;LnhtbFBLAQIUABQAAAAIAIdO4kAI0rXT6QEAAK0DAAAOAAAAAAAAAAEAIAAAADoBAABkcnMvZTJv&#10;RG9jLnhtbFBLBQYAAAAABgAGAFkBAACV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highlight w:val="none"/>
          <w:lang w:val="en-US" w:eastAsia="zh-CN"/>
        </w:rPr>
        <w:t>关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  <w:highlight w:val="none"/>
          <w:lang w:val="en-US" w:eastAsia="zh-CN"/>
        </w:rPr>
        <w:t>于</w:t>
      </w:r>
      <w:r>
        <w:rPr>
          <w:rFonts w:hint="default" w:ascii="方正小标宋简体" w:hAnsi="宋体" w:eastAsia="方正小标宋简体" w:cs="Times New Roman"/>
          <w:color w:val="000000"/>
          <w:sz w:val="44"/>
          <w:szCs w:val="44"/>
          <w:highlight w:val="none"/>
          <w:lang w:val="en-US" w:eastAsia="zh-CN"/>
        </w:rPr>
        <w:t>明冠新材料股份有限公司年产1.2亿平米光伏组件用胶膜建设项目</w:t>
      </w:r>
    </w:p>
    <w:p>
      <w:pPr>
        <w:pageBreakBefore w:val="0"/>
        <w:widowControl w:val="0"/>
        <w:kinsoku/>
        <w:wordWrap/>
        <w:overflowPunct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  <w:highlight w:val="none"/>
          <w:lang w:val="en-US" w:eastAsia="zh-CN"/>
        </w:rPr>
        <w:t>环境影响报告表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  <w:highlight w:val="none"/>
        </w:rPr>
        <w:t>的批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highlight w:val="none"/>
        </w:rPr>
        <w:t>复</w:t>
      </w:r>
    </w:p>
    <w:p>
      <w:pPr>
        <w:pageBreakBefore w:val="0"/>
        <w:widowControl w:val="0"/>
        <w:kinsoku/>
        <w:wordWrap/>
        <w:overflowPunct/>
        <w:topLinePunct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cs="仿宋_GB2312"/>
          <w:color w:val="000000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明冠新材料股份有限公司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：</w:t>
      </w:r>
    </w:p>
    <w:p>
      <w:pPr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cs="仿宋_GB2312"/>
          <w:color w:val="000000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你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报送的《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明冠新材料股份有限公司年产1.2亿平米光伏组件用胶膜建设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项目环境影响报告表》（以下简称《报告表》）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收悉，经研究，批复如下</w:t>
      </w:r>
      <w:r>
        <w:rPr>
          <w:rFonts w:hint="eastAsia" w:ascii="仿宋_GB2312" w:hAnsi="仿宋" w:cs="仿宋_GB2312"/>
          <w:color w:val="000000"/>
          <w:szCs w:val="32"/>
          <w:highlight w:val="none"/>
        </w:rPr>
        <w:t>：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680"/>
        <w:textAlignment w:val="auto"/>
        <w:rPr>
          <w:rFonts w:hint="eastAsia" w:ascii="黑体" w:hAnsi="黑体" w:eastAsia="黑体"/>
          <w:color w:val="000000"/>
          <w:szCs w:val="32"/>
          <w:highlight w:val="none"/>
        </w:rPr>
      </w:pPr>
      <w:r>
        <w:rPr>
          <w:rFonts w:hint="eastAsia" w:ascii="黑体" w:hAnsi="黑体" w:eastAsia="黑体"/>
          <w:color w:val="000000"/>
          <w:szCs w:val="32"/>
          <w:highlight w:val="none"/>
        </w:rPr>
        <w:t>一、项目建设内容和批复意见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明冠新材料股份有限公司年产1.2亿平米光伏组件用胶膜建设项目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宜春经济技术开发区宜商大道以东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val="en-US" w:eastAsia="zh-CN"/>
        </w:rPr>
        <w:t>，用地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面积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val="en-US" w:eastAsia="zh-CN"/>
        </w:rPr>
        <w:t>218.46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亩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项目厂区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北面为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  <w:t>江西明冠锂膜技术有限公司，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西北面为六星汽车城，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val="en-US" w:eastAsia="zh-CN"/>
        </w:rPr>
        <w:t>西面、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南面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东面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val="en-US" w:eastAsia="zh-CN"/>
        </w:rPr>
        <w:t>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为空地。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</w:pPr>
      <w:r>
        <w:rPr>
          <w:rFonts w:hint="eastAsia" w:cs="Times New Roman"/>
          <w:color w:val="auto"/>
          <w:kern w:val="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属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新建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工程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eastAsia="zh-CN"/>
        </w:rPr>
        <w:t>。造粒生产线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主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eastAsia="zh-CN"/>
        </w:rPr>
        <w:t>要以</w:t>
      </w:r>
      <w:r>
        <w:rPr>
          <w:rFonts w:ascii="Times New Roman" w:hAnsi="Times New Roman"/>
          <w:bCs/>
          <w:color w:val="auto"/>
          <w:szCs w:val="21"/>
        </w:rPr>
        <w:t>POE粒子</w:t>
      </w:r>
      <w:r>
        <w:rPr>
          <w:rFonts w:hint="eastAsia"/>
          <w:bCs/>
          <w:color w:val="auto"/>
          <w:szCs w:val="21"/>
          <w:lang w:eastAsia="zh-CN"/>
        </w:rPr>
        <w:t>、</w:t>
      </w:r>
      <w:r>
        <w:rPr>
          <w:rFonts w:ascii="Times New Roman" w:hAnsi="Times New Roman"/>
          <w:color w:val="auto"/>
        </w:rPr>
        <w:t>粉末助剂</w:t>
      </w:r>
      <w:r>
        <w:rPr>
          <w:rFonts w:hint="eastAsia"/>
          <w:color w:val="auto"/>
          <w:lang w:eastAsia="zh-CN"/>
        </w:rPr>
        <w:t>、</w:t>
      </w:r>
      <w:r>
        <w:rPr>
          <w:rFonts w:ascii="Times New Roman" w:hAnsi="Times New Roman"/>
          <w:bCs/>
          <w:color w:val="auto"/>
          <w:szCs w:val="21"/>
        </w:rPr>
        <w:t>EVA</w:t>
      </w:r>
      <w:r>
        <w:rPr>
          <w:rFonts w:ascii="Times New Roman" w:hAnsi="Times New Roman"/>
          <w:color w:val="auto"/>
          <w:szCs w:val="21"/>
        </w:rPr>
        <w:t>粒子</w:t>
      </w:r>
      <w:r>
        <w:rPr>
          <w:rFonts w:hint="eastAsia"/>
          <w:color w:val="auto"/>
          <w:szCs w:val="21"/>
          <w:lang w:eastAsia="zh-CN"/>
        </w:rPr>
        <w:t>为原辅料，经加料、挤出、冷却、切粒、干燥、检测等工序进行生产；流延生产线主要</w:t>
      </w:r>
      <w:r>
        <w:rPr>
          <w:rFonts w:hint="eastAsia" w:ascii="Times New Roman" w:hAnsi="Times New Roman" w:cs="Times New Roman"/>
          <w:color w:val="auto"/>
          <w:szCs w:val="21"/>
          <w:lang w:eastAsia="zh-CN"/>
        </w:rPr>
        <w:t>以POE粒子、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POE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改性粒子、</w:t>
      </w:r>
      <w:r>
        <w:rPr>
          <w:rFonts w:hint="eastAsia" w:ascii="Times New Roman" w:hAnsi="Times New Roman" w:cs="Times New Roman"/>
          <w:color w:val="auto"/>
          <w:szCs w:val="21"/>
          <w:lang w:eastAsia="zh-CN"/>
        </w:rPr>
        <w:t>液体助剂、EVA粒子、EVA改性粒子、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EPE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改性粒子等为原辅料，经配料、混料、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挤出、压花、切边、外观检测、接头、收卷、品质检测等工序进行生产。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  <w:t>项目产品方案：年产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  <w:t>POE胶膜3000万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  <w:t>EVA胶膜5000万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  <w:t>EPE胶膜4000万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  <w:t>项目总投资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32915.8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  <w:t>万元，其中环保投资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88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  <w:t>万元，占总投资的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0.27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  <w:t>%。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570"/>
        <w:textAlignment w:val="auto"/>
        <w:rPr>
          <w:rFonts w:hint="eastAsia" w:ascii="仿宋_GB2312"/>
          <w:b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</w:rPr>
        <w:t>你公司应全面落实环境影响报告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表</w:t>
      </w:r>
      <w:r>
        <w:rPr>
          <w:rFonts w:hint="eastAsia" w:ascii="仿宋_GB2312"/>
          <w:color w:val="000000"/>
          <w:szCs w:val="32"/>
          <w:highlight w:val="none"/>
        </w:rPr>
        <w:t>提出的各项污染防治和环境风险防范措施，缓解和控制不利环境影响。我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分局</w:t>
      </w:r>
      <w:r>
        <w:rPr>
          <w:rFonts w:hint="eastAsia" w:ascii="仿宋_GB2312"/>
          <w:color w:val="000000"/>
          <w:szCs w:val="32"/>
          <w:highlight w:val="none"/>
        </w:rPr>
        <w:t>原则同意环境影响报告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表</w:t>
      </w:r>
      <w:r>
        <w:rPr>
          <w:rFonts w:hint="eastAsia" w:ascii="仿宋_GB2312"/>
          <w:color w:val="000000"/>
          <w:szCs w:val="32"/>
          <w:highlight w:val="none"/>
        </w:rPr>
        <w:t>中所列工程性质、地点、规模、生产工艺和环境保护对策措施。</w:t>
      </w:r>
    </w:p>
    <w:p>
      <w:pPr>
        <w:pageBreakBefore w:val="0"/>
        <w:widowControl w:val="0"/>
        <w:kinsoku/>
        <w:wordWrap/>
        <w:overflowPunct/>
        <w:bidi w:val="0"/>
        <w:spacing w:line="560" w:lineRule="exact"/>
        <w:ind w:firstLine="680"/>
        <w:textAlignment w:val="auto"/>
        <w:rPr>
          <w:rFonts w:hint="eastAsia" w:ascii="黑体" w:hAnsi="黑体" w:eastAsia="黑体"/>
          <w:color w:val="000000"/>
          <w:szCs w:val="32"/>
          <w:highlight w:val="none"/>
        </w:rPr>
      </w:pPr>
      <w:r>
        <w:rPr>
          <w:rFonts w:hint="eastAsia" w:ascii="黑体" w:hAnsi="黑体" w:eastAsia="黑体"/>
          <w:color w:val="000000"/>
          <w:szCs w:val="32"/>
          <w:highlight w:val="none"/>
        </w:rPr>
        <w:t>二、污染防治措施及要求</w:t>
      </w:r>
    </w:p>
    <w:p>
      <w:pPr>
        <w:pageBreakBefore w:val="0"/>
        <w:widowControl w:val="0"/>
        <w:kinsoku/>
        <w:wordWrap/>
        <w:overflowPunct/>
        <w:bidi w:val="0"/>
        <w:spacing w:line="560" w:lineRule="exact"/>
        <w:ind w:firstLine="680"/>
        <w:textAlignment w:val="auto"/>
        <w:rPr>
          <w:rFonts w:hint="eastAsia" w:ascii="仿宋_GB2312"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</w:rPr>
        <w:t>项目在工程设计、建设和生产过程中必须认真落实环境影响报告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表</w:t>
      </w:r>
      <w:r>
        <w:rPr>
          <w:rFonts w:hint="eastAsia" w:ascii="仿宋_GB2312"/>
          <w:color w:val="000000"/>
          <w:szCs w:val="32"/>
          <w:highlight w:val="none"/>
        </w:rPr>
        <w:t>提出的各项环保措施和要求。重点做好以下工作：</w:t>
      </w:r>
    </w:p>
    <w:p>
      <w:pPr>
        <w:pStyle w:val="23"/>
        <w:pageBreakBefore w:val="0"/>
        <w:widowControl w:val="0"/>
        <w:kinsoku/>
        <w:wordWrap/>
        <w:overflowPunct/>
        <w:bidi w:val="0"/>
        <w:adjustRightInd/>
        <w:snapToGrid/>
        <w:spacing w:before="0" w:beforeLines="0" w:after="0" w:afterLines="0" w:line="560" w:lineRule="exact"/>
        <w:ind w:firstLine="640" w:firstLineChars="200"/>
        <w:jc w:val="left"/>
        <w:rPr>
          <w:rFonts w:hint="default" w:ascii="仿宋_GB2312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</w:t>
      </w:r>
      <w:r>
        <w:rPr>
          <w:rFonts w:hint="eastAsia" w:ascii="楷体_GB2312" w:eastAsia="楷体_GB2312"/>
          <w:color w:val="000000"/>
          <w:szCs w:val="32"/>
          <w:highlight w:val="none"/>
          <w:lang w:eastAsia="zh-CN"/>
        </w:rPr>
        <w:t>一</w:t>
      </w:r>
      <w:r>
        <w:rPr>
          <w:rFonts w:hint="eastAsia" w:ascii="楷体_GB2312" w:eastAsia="楷体_GB2312"/>
          <w:color w:val="000000"/>
          <w:szCs w:val="32"/>
          <w:highlight w:val="none"/>
        </w:rPr>
        <w:t>）</w:t>
      </w:r>
      <w:r>
        <w:rPr>
          <w:rFonts w:hint="eastAsia" w:ascii="楷体_GB2312" w:hAnsi="Times New Roman" w:eastAsia="楷体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严格落实大气污染防治措施。</w:t>
      </w:r>
      <w:r>
        <w:rPr>
          <w:rFonts w:hint="eastAsia" w:ascii="仿宋_GB2312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应采取清洁生产措施减少废气产生量。根据废气中污染物的类别和性质，采用成熟可靠的处理工艺。</w:t>
      </w:r>
      <w:r>
        <w:rPr>
          <w:rFonts w:hint="eastAsia" w:ascii="仿宋_GB2312" w:eastAsia="仿宋_GB2312"/>
          <w:color w:val="000000"/>
          <w:sz w:val="32"/>
          <w:szCs w:val="32"/>
        </w:rPr>
        <w:t>本项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目</w:t>
      </w:r>
      <w:r>
        <w:rPr>
          <w:rFonts w:hint="eastAsia" w:ascii="仿宋_GB2312"/>
          <w:bCs/>
          <w:color w:val="000000"/>
          <w:sz w:val="32"/>
          <w:szCs w:val="32"/>
          <w:lang w:eastAsia="zh-CN"/>
        </w:rPr>
        <w:t>运营期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废气包括</w:t>
      </w:r>
      <w:r>
        <w:rPr>
          <w:rFonts w:hint="eastAsia" w:ascii="仿宋_GB2312"/>
          <w:bCs/>
          <w:color w:val="000000"/>
          <w:sz w:val="32"/>
          <w:szCs w:val="32"/>
          <w:lang w:eastAsia="zh-CN"/>
        </w:rPr>
        <w:t>造粒废气、流延挤出废气、</w:t>
      </w:r>
      <w:r>
        <w:rPr>
          <w:rFonts w:hint="eastAsia" w:ascii="仿宋_GB2312"/>
          <w:bCs/>
          <w:color w:val="000000"/>
          <w:sz w:val="32"/>
          <w:szCs w:val="32"/>
          <w:lang w:val="en-US" w:eastAsia="zh-CN"/>
        </w:rPr>
        <w:t>RTO废气、破碎粉尘以及车间无组织排放废气。</w:t>
      </w:r>
    </w:p>
    <w:p>
      <w:pPr>
        <w:pStyle w:val="23"/>
        <w:pageBreakBefore w:val="0"/>
        <w:widowControl w:val="0"/>
        <w:kinsoku/>
        <w:wordWrap/>
        <w:overflowPunct/>
        <w:bidi w:val="0"/>
        <w:adjustRightInd/>
        <w:snapToGrid/>
        <w:spacing w:before="0" w:beforeLines="0" w:after="0" w:afterLines="0" w:line="560" w:lineRule="exact"/>
        <w:ind w:firstLine="640" w:firstLineChars="200"/>
        <w:jc w:val="left"/>
        <w:rPr>
          <w:rFonts w:hint="default" w:ascii="仿宋_GB2312" w:hAnsi="Times New Roman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造粒废气主要污染物为非甲烷总烃、臭气浓度，</w:t>
      </w:r>
      <w:r>
        <w:rPr>
          <w:rFonts w:hint="eastAsia" w:ascii="仿宋_GB2312"/>
          <w:bCs/>
          <w:color w:val="000000"/>
          <w:sz w:val="32"/>
          <w:szCs w:val="32"/>
          <w:lang w:eastAsia="zh-CN"/>
        </w:rPr>
        <w:t>流延挤出废气主要污染物为非甲烷总烃、甲醇、</w:t>
      </w:r>
      <w:r>
        <w:rPr>
          <w:rFonts w:hint="eastAsia" w:ascii="仿宋_GB2312"/>
          <w:bCs/>
          <w:color w:val="000000"/>
          <w:sz w:val="32"/>
          <w:szCs w:val="32"/>
          <w:lang w:val="en-US" w:eastAsia="zh-CN"/>
        </w:rPr>
        <w:t>TVOC、臭气</w:t>
      </w:r>
      <w:r>
        <w:rPr>
          <w:rFonts w:hint="eastAsia" w:ascii="仿宋_GB2312" w:hAnsi="Times New Roman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浓度</w:t>
      </w:r>
      <w:r>
        <w:rPr>
          <w:rFonts w:hint="eastAsia" w:ascii="仿宋_GB2312"/>
          <w:bCs/>
          <w:color w:val="000000"/>
          <w:sz w:val="32"/>
          <w:szCs w:val="32"/>
          <w:lang w:val="en-US" w:eastAsia="zh-CN"/>
        </w:rPr>
        <w:t>，RTO废气</w:t>
      </w:r>
      <w:r>
        <w:rPr>
          <w:rFonts w:hint="eastAsia" w:ascii="仿宋_GB2312"/>
          <w:bCs/>
          <w:color w:val="000000"/>
          <w:sz w:val="32"/>
          <w:szCs w:val="32"/>
          <w:lang w:eastAsia="zh-CN"/>
        </w:rPr>
        <w:t>主要污染物为烟尘、</w:t>
      </w:r>
      <w:r>
        <w:rPr>
          <w:rFonts w:hint="eastAsia" w:ascii="仿宋_GB2312"/>
          <w:bCs/>
          <w:color w:val="000000"/>
          <w:sz w:val="32"/>
          <w:szCs w:val="32"/>
          <w:lang w:val="en-US" w:eastAsia="zh-CN"/>
        </w:rPr>
        <w:t>SO</w:t>
      </w:r>
      <w:r>
        <w:rPr>
          <w:rFonts w:hint="eastAsia" w:ascii="仿宋_GB2312"/>
          <w:bCs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/>
          <w:bCs/>
          <w:color w:val="000000"/>
          <w:sz w:val="32"/>
          <w:szCs w:val="32"/>
          <w:lang w:val="en-US" w:eastAsia="zh-CN"/>
        </w:rPr>
        <w:t>、NOx，废气依托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GB" w:eastAsia="zh-CN"/>
        </w:rPr>
        <w:t>江西明冠锂膜技术有限公司</w:t>
      </w:r>
      <w:r>
        <w:rPr>
          <w:rFonts w:hint="default" w:ascii="仿宋_GB2312" w:hAnsi="宋体" w:cs="Times New Roman"/>
          <w:bCs/>
          <w:color w:val="000000"/>
          <w:sz w:val="32"/>
          <w:szCs w:val="32"/>
          <w:lang w:val="en-US" w:eastAsia="zh-CN"/>
        </w:rPr>
        <w:t>RTO</w:t>
      </w:r>
      <w:r>
        <w:rPr>
          <w:rFonts w:hint="eastAsia" w:ascii="仿宋_GB2312" w:hAnsi="宋体" w:cs="Times New Roman"/>
          <w:bCs/>
          <w:color w:val="000000"/>
          <w:sz w:val="32"/>
          <w:szCs w:val="32"/>
          <w:lang w:val="en-US" w:eastAsia="zh-CN"/>
        </w:rPr>
        <w:t>热力燃烧处理，再经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15米高排气筒</w:t>
      </w:r>
      <w:r>
        <w:rPr>
          <w:rFonts w:hint="default" w:ascii="仿宋_GB2312" w:hAnsi="宋体" w:cs="Times New Roman"/>
          <w:bCs/>
          <w:color w:val="000000"/>
          <w:sz w:val="32"/>
          <w:szCs w:val="32"/>
          <w:lang w:val="en-US" w:eastAsia="zh-CN"/>
        </w:rPr>
        <w:t>（DA001）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排放。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破碎粉尘</w:t>
      </w:r>
      <w:r>
        <w:rPr>
          <w:rFonts w:hint="eastAsia" w:ascii="仿宋_GB2312" w:hAnsi="Times New Roman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主要污染物为颗粒物，经布袋除尘</w:t>
      </w:r>
      <w:r>
        <w:rPr>
          <w:rFonts w:hint="eastAsia" w:ascii="仿宋_GB2312" w:hAnsi="宋体" w:cs="Times New Roman"/>
          <w:bCs/>
          <w:color w:val="000000"/>
          <w:sz w:val="32"/>
          <w:szCs w:val="32"/>
          <w:lang w:val="en-US" w:eastAsia="zh-CN"/>
        </w:rPr>
        <w:t>处理后经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15米高排气筒</w:t>
      </w:r>
      <w:r>
        <w:rPr>
          <w:rFonts w:hint="default" w:ascii="仿宋_GB2312" w:hAnsi="宋体" w:cs="Times New Roman"/>
          <w:bCs/>
          <w:color w:val="000000"/>
          <w:sz w:val="32"/>
          <w:szCs w:val="32"/>
          <w:lang w:val="en-US" w:eastAsia="zh-CN"/>
        </w:rPr>
        <w:t>（DA00</w:t>
      </w:r>
      <w:r>
        <w:rPr>
          <w:rFonts w:hint="eastAsia" w:ascii="仿宋_GB2312" w:hAnsi="宋体" w:cs="Times New Roman"/>
          <w:bCs/>
          <w:color w:val="000000"/>
          <w:sz w:val="32"/>
          <w:szCs w:val="32"/>
          <w:lang w:val="en-US" w:eastAsia="zh-CN"/>
        </w:rPr>
        <w:t>2</w:t>
      </w:r>
      <w:r>
        <w:rPr>
          <w:rFonts w:hint="default" w:ascii="仿宋_GB2312" w:hAnsi="宋体" w:cs="Times New Roman"/>
          <w:bCs/>
          <w:color w:val="000000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排放。</w:t>
      </w:r>
    </w:p>
    <w:p>
      <w:pPr>
        <w:pStyle w:val="23"/>
        <w:pageBreakBefore w:val="0"/>
        <w:widowControl w:val="0"/>
        <w:kinsoku/>
        <w:wordWrap/>
        <w:overflowPunct/>
        <w:bidi w:val="0"/>
        <w:adjustRightInd/>
        <w:snapToGrid/>
        <w:spacing w:before="0" w:beforeLines="0" w:after="0" w:afterLines="0" w:line="560" w:lineRule="exact"/>
        <w:ind w:firstLine="640" w:firstLineChars="200"/>
        <w:jc w:val="left"/>
        <w:rPr>
          <w:rFonts w:hint="eastAsia" w:ascii="仿宋_GB2312" w:hAnsi="Times New Roman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造粒车间无组织废气主要污染物为颗粒物、非甲烷总烃、臭气浓度，流延车间无组织废气主要污染物为非甲烷总烃、甲醇、TVOC、臭气浓度、颗粒物。</w:t>
      </w:r>
    </w:p>
    <w:p>
      <w:pPr>
        <w:pageBreakBefore w:val="0"/>
        <w:kinsoku/>
        <w:overflowPunct/>
        <w:bidi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RTO排气筒</w:t>
      </w:r>
      <w:r>
        <w:rPr>
          <w:rFonts w:hint="eastAsia" w:ascii="仿宋_GB2312" w:hAnsi="宋体" w:cs="Times New Roman"/>
          <w:bCs/>
          <w:color w:val="000000"/>
          <w:sz w:val="32"/>
          <w:szCs w:val="32"/>
          <w:lang w:val="en-US" w:eastAsia="zh-CN"/>
        </w:rPr>
        <w:t>废气排放中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颗粒物</w:t>
      </w: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执行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《涂料、油墨及胶粘剂工业大气污染物排放标准》（GB 37824—2019）表1中浓度限值；</w:t>
      </w: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T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VOC</w:t>
      </w: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执行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《涂料、油墨及胶粘剂工业大气污染物排放标准》（GB 37824—2019）表1中浓度限值以及《挥发性有机物排放标准 第4部分：塑料制品业》（DB36/1101.4-2019）表1中相关标准最严值；非甲烷总烃</w:t>
      </w: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执行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《挥发性有机物排放标准 第4部分：塑料制品业》（DB36/1101.4-2019）表1中相关标准以及《合成树脂工业污染物排放标准》（GB572-2015）最严值；臭气浓度</w:t>
      </w: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执行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《恶臭污染物排放标准》（GB14554-93）二级排放标准；环己烷、丁酮</w:t>
      </w: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执行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《挥发性有机物排放标准 第2部分：有机化工行业》（DB36/ 1101.2—2019）；甲醇</w:t>
      </w: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执行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《大气污染物综合排放标准》（GB16297-1996）表2中相关标准；SO2、NOx</w:t>
      </w: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执行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《涂料、油墨及胶粘剂工业大气污染物排放标准》（GB 37824—2019）表3中浓度限值以及《合成树脂工业污染物排放标准》（GB572-2015）表6中浓度限值最严要求。</w:t>
      </w:r>
    </w:p>
    <w:p>
      <w:pPr>
        <w:pageBreakBefore w:val="0"/>
        <w:kinsoku/>
        <w:wordWrap w:val="0"/>
        <w:overflowPunct/>
        <w:bidi w:val="0"/>
        <w:spacing w:line="560" w:lineRule="exact"/>
        <w:ind w:firstLine="510"/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破碎粉尘排放执行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《合成树脂工业污染物排放标准》（GB572-2015）表4中浓度限值。</w:t>
      </w:r>
    </w:p>
    <w:p>
      <w:pPr>
        <w:pageBreakBefore w:val="0"/>
        <w:kinsoku/>
        <w:wordWrap w:val="0"/>
        <w:overflowPunct/>
        <w:bidi w:val="0"/>
        <w:spacing w:line="560" w:lineRule="exact"/>
        <w:ind w:firstLine="510"/>
        <w:rPr>
          <w:rFonts w:hint="default"/>
          <w:lang w:val="en-US" w:eastAsia="zh-CN"/>
        </w:rPr>
      </w:pP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厂界废气中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颗粒物排放执行《合成树脂工业污染物排放标准》（GB572-2015）表9企业边界大气污染物浓度限值</w:t>
      </w: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非甲烷总烃</w:t>
      </w: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TVOC执行</w:t>
      </w:r>
      <w:r>
        <w:rPr>
          <w:rFonts w:hint="default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《挥发性有机物排放标准 第4部分：塑料制品业》（DB36/1101.4-2019）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表2浓度限值</w:t>
      </w: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甲醇执行</w:t>
      </w:r>
      <w:r>
        <w:rPr>
          <w:rFonts w:hint="default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《大气污染物综合排放标准》（GB16297-1996）表2中相关标准</w:t>
      </w: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臭气浓度执行</w:t>
      </w:r>
      <w:r>
        <w:rPr>
          <w:rFonts w:hint="default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《恶臭污染物排放标准》(GB14554-93)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执行表1中二级标准</w:t>
      </w:r>
      <w:r>
        <w:rPr>
          <w:rFonts w:hint="eastAsia" w:ascii="仿宋_GB2312" w:hAnsi="Times New Roman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color w:val="000000"/>
          <w:kern w:val="2"/>
          <w:sz w:val="32"/>
          <w:szCs w:val="32"/>
          <w:highlight w:val="none"/>
          <w:lang w:val="en-US" w:eastAsia="zh-CN" w:bidi="ar-SA"/>
        </w:rPr>
        <w:t>厂区内挥发性有机物无组织排放限值执行《挥发性有机物无组织排放控制标准》（GB37822-2019）中标准要求。</w:t>
      </w:r>
    </w:p>
    <w:p>
      <w:pPr>
        <w:pageBreakBefore w:val="0"/>
        <w:widowControl w:val="0"/>
        <w:kinsoku/>
        <w:wordWrap/>
        <w:overflowPunct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/>
          <w:color w:val="000000"/>
          <w:szCs w:val="32"/>
          <w:highlight w:val="none"/>
          <w:lang w:val="en-US" w:eastAsia="zh-CN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（二）严格落实水污染防治措施。</w:t>
      </w:r>
      <w:r>
        <w:rPr>
          <w:rFonts w:hint="eastAsia" w:ascii="仿宋_GB2312" w:hAnsi="仿宋_GB2312" w:cs="仿宋_GB2312"/>
          <w:color w:val="000000"/>
          <w:szCs w:val="32"/>
          <w:highlight w:val="none"/>
          <w:lang w:val="en-US" w:eastAsia="zh-CN"/>
        </w:rPr>
        <w:t>项目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外排废水主要为生活污水、地面冲洗废水，循环冷却水循环使用不外排。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both"/>
        <w:textAlignment w:val="auto"/>
        <w:rPr>
          <w:rFonts w:hint="eastAsia"/>
        </w:rPr>
      </w:pP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外排废水</w:t>
      </w:r>
      <w:r>
        <w:rPr>
          <w:rFonts w:hint="eastAsia" w:ascii="仿宋_GB2312" w:hAnsi="仿宋_GB2312" w:cs="仿宋_GB2312"/>
          <w:color w:val="000000"/>
          <w:szCs w:val="32"/>
          <w:highlight w:val="none"/>
          <w:lang w:val="en-US" w:eastAsia="zh-CN"/>
        </w:rPr>
        <w:t>中（p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H、COD、氨氮、BOD、SS</w:t>
      </w:r>
      <w:r>
        <w:rPr>
          <w:rFonts w:hint="eastAsia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、TP、动植物油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达到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经开区污水处理厂纳管标准，其余因子达到《污水综合排放标准》（GB8978-1996）表4中一级标准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，再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排入园区污水处理站处理达到《城镇污水处理厂污染物排放标准》（GB18918-2002）一级A标准后通过渥江排入袁河。</w:t>
      </w:r>
    </w:p>
    <w:p>
      <w:pPr>
        <w:pageBreakBefore w:val="0"/>
        <w:widowControl w:val="0"/>
        <w:kinsoku/>
        <w:wordWrap/>
        <w:overflowPunct/>
        <w:bidi w:val="0"/>
        <w:adjustRightInd w:val="0"/>
        <w:snapToGrid w:val="0"/>
        <w:spacing w:line="560" w:lineRule="exact"/>
        <w:ind w:firstLine="680"/>
        <w:textAlignment w:val="auto"/>
        <w:rPr>
          <w:rFonts w:hint="eastAsia" w:ascii="楷体_GB2312" w:eastAsia="楷体_GB2312"/>
          <w:color w:val="000000"/>
          <w:szCs w:val="32"/>
          <w:highlight w:val="none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（三）严格落实固体废物分类处置和综合利用措施。</w:t>
      </w:r>
    </w:p>
    <w:p>
      <w:pPr>
        <w:pStyle w:val="8"/>
        <w:pageBreakBefore w:val="0"/>
        <w:widowControl w:val="0"/>
        <w:kinsoku/>
        <w:wordWrap/>
        <w:overflowPunct/>
        <w:bidi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项目产生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的一般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固废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包括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废边角料、沉淀碎屑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；危险废物包括</w:t>
      </w:r>
      <w:r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废包装桶、废机油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。应严格履行危险废物转移相关环保手续，产生的危险废物应定期委托有资质的单位进行综合利用或处置。产生的一般工业固体废物应合法处置。应在厂区内设置足够容积的一般工业固体废物和危险废物暂存库，暂存库设计、建设和运行必须满足《一般工业固体废物贮存、处置场污染控制标准》《危险废物贮存污染控制标准》相关要求。</w:t>
      </w:r>
    </w:p>
    <w:p>
      <w:pPr>
        <w:pageBreakBefore w:val="0"/>
        <w:widowControl w:val="0"/>
        <w:kinsoku/>
        <w:wordWrap/>
        <w:overflowPunct/>
        <w:bidi w:val="0"/>
        <w:adjustRightInd w:val="0"/>
        <w:snapToGrid w:val="0"/>
        <w:spacing w:line="560" w:lineRule="exact"/>
        <w:ind w:firstLine="680"/>
        <w:textAlignment w:val="auto"/>
        <w:rPr>
          <w:rFonts w:hint="eastAsia" w:ascii="仿宋_GB2312" w:hAnsi="仿宋" w:cs="仿宋"/>
          <w:snapToGrid w:val="0"/>
          <w:color w:val="000000"/>
          <w:szCs w:val="32"/>
          <w:highlight w:val="none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</w:t>
      </w:r>
      <w:r>
        <w:rPr>
          <w:rFonts w:hint="eastAsia" w:ascii="楷体_GB2312" w:eastAsia="楷体_GB2312"/>
          <w:color w:val="000000"/>
          <w:szCs w:val="32"/>
          <w:highlight w:val="none"/>
          <w:lang w:val="en-US" w:eastAsia="zh-CN"/>
        </w:rPr>
        <w:t>四</w:t>
      </w:r>
      <w:r>
        <w:rPr>
          <w:rFonts w:hint="eastAsia" w:ascii="楷体_GB2312" w:eastAsia="楷体_GB2312"/>
          <w:color w:val="000000"/>
          <w:szCs w:val="32"/>
          <w:highlight w:val="none"/>
        </w:rPr>
        <w:t>）严格落实噪声污染防治措施。</w:t>
      </w:r>
      <w:r>
        <w:rPr>
          <w:rFonts w:hint="eastAsia" w:ascii="仿宋_GB2312"/>
          <w:color w:val="000000"/>
          <w:szCs w:val="32"/>
          <w:highlight w:val="none"/>
        </w:rPr>
        <w:t>优化项目总平面布置，合理布置高噪声设备，尽量选用低噪声设备，采取有效措施控制噪声影响。运行期厂界噪声必须达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《工业企业厂界环境噪声排放标准》（GB12348-2008）3类标准</w:t>
      </w:r>
      <w:r>
        <w:rPr>
          <w:rFonts w:hint="eastAsia" w:ascii="仿宋_GB2312"/>
          <w:color w:val="000000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（五）严格落实土壤及地下水污染防治措施。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按照“源头防控、分区防治、污染监控、应急响应”的原则进行土壤和地下水污染防治。严格按照《报告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表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》有关要求采取分区防渗措施，管线敷设尽量“可视化”。加强防渗设施的日常维护，对出现损害的防渗设施应及时修复和加固，确保防渗设施牢固安全。加强隐蔽工程泄漏检测，一旦发现泄漏，应立即采取补救措施，防止污染土壤和地下水。建立完善的土壤和地下水监测制度。根据重点污染防治区平面布置、地下水流向，合理设置土壤和地下水监测井，严格落实土壤和地下水监测计划。一旦出现土壤或地下水污染，立即启动应急预案和应急措施，减少对土壤和地下水的不利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eastAsia="楷体_GB2312"/>
          <w:color w:val="000000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（六）严格落实环境风险防范措施。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严格落实《报告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提出的各项环境风险防控措施。按环评要求规范保障足够容积的事故应急设施，事故收集装置正常情况下必须空置，一旦发生突发性事故时，企业必须立即停产，启用收集设施收集事故下的废水，待该收集池内废水全部处理完后方可恢复生产，确保突发性事故产生的各类废水不进入外环境。健全企业环境风险防范与应急管理体系，制定全厂环境风险防控措施和突发环境事件应急预案。突发环境事件应急预案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并报当地</w:t>
      </w:r>
      <w:r>
        <w:rPr>
          <w:rFonts w:hint="eastAsia" w:ascii="仿宋_GB2312" w:hAnsi="仿宋_GB2312" w:cs="仿宋_GB2312"/>
          <w:sz w:val="32"/>
          <w:szCs w:val="32"/>
          <w:lang w:eastAsia="zh-CN" w:bidi="en-US"/>
        </w:rPr>
        <w:t>生态环境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部门备案。</w:t>
      </w:r>
    </w:p>
    <w:p>
      <w:pPr>
        <w:pageBreakBefore w:val="0"/>
        <w:widowControl w:val="0"/>
        <w:kinsoku/>
        <w:wordWrap/>
        <w:overflowPunct/>
        <w:bidi w:val="0"/>
        <w:spacing w:line="560" w:lineRule="exact"/>
        <w:ind w:firstLine="680"/>
        <w:textAlignment w:val="auto"/>
        <w:rPr>
          <w:rFonts w:hint="eastAsia" w:ascii="仿宋_GB2312"/>
          <w:color w:val="000000"/>
          <w:szCs w:val="32"/>
          <w:highlight w:val="none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</w:t>
      </w:r>
      <w:r>
        <w:rPr>
          <w:rFonts w:hint="eastAsia" w:ascii="楷体_GB2312" w:eastAsia="楷体_GB2312"/>
          <w:color w:val="000000"/>
          <w:szCs w:val="32"/>
          <w:highlight w:val="none"/>
          <w:lang w:eastAsia="zh-CN"/>
        </w:rPr>
        <w:t>七</w:t>
      </w:r>
      <w:r>
        <w:rPr>
          <w:rFonts w:hint="eastAsia" w:ascii="楷体_GB2312" w:eastAsia="楷体_GB2312"/>
          <w:color w:val="000000"/>
          <w:szCs w:val="32"/>
          <w:highlight w:val="none"/>
        </w:rPr>
        <w:t>）排污口规范化要求。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按国家和省、市</w:t>
      </w:r>
      <w:r>
        <w:rPr>
          <w:rFonts w:hint="eastAsia" w:ascii="仿宋_GB2312"/>
          <w:color w:val="000000"/>
          <w:szCs w:val="32"/>
          <w:highlight w:val="none"/>
        </w:rPr>
        <w:t>有关规定设置规范的污染物排放口，并设立标识牌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zh-CN" w:eastAsia="zh-CN" w:bidi="ar-SA"/>
        </w:rPr>
        <w:t>各工艺废气排气筒高度必须满足相应标准和《报告表》的要求，按要求设置采样口</w:t>
      </w:r>
      <w:r>
        <w:rPr>
          <w:rFonts w:hint="eastAsia" w:ascii="仿宋_GB2312"/>
          <w:color w:val="000000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</w:t>
      </w:r>
      <w:r>
        <w:rPr>
          <w:rFonts w:hint="eastAsia" w:ascii="楷体_GB2312" w:eastAsia="楷体_GB2312"/>
          <w:color w:val="000000"/>
          <w:szCs w:val="32"/>
          <w:highlight w:val="none"/>
          <w:lang w:eastAsia="zh-CN"/>
        </w:rPr>
        <w:t>八</w:t>
      </w:r>
      <w:r>
        <w:rPr>
          <w:rFonts w:hint="eastAsia" w:ascii="楷体_GB2312" w:eastAsia="楷体_GB2312"/>
          <w:color w:val="000000"/>
          <w:szCs w:val="32"/>
          <w:highlight w:val="none"/>
        </w:rPr>
        <w:t>）</w:t>
      </w:r>
      <w:r>
        <w:rPr>
          <w:rFonts w:hint="default" w:ascii="Times New Roman" w:hAnsi="Times New Roman" w:eastAsia="楷体_GB2312" w:cs="Times New Roman"/>
          <w:color w:val="000000"/>
          <w:szCs w:val="32"/>
          <w:highlight w:val="none"/>
        </w:rPr>
        <w:t>项目周边规划控制要求。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根据《报告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 w:bidi="ar-SA"/>
        </w:rPr>
        <w:t>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》结论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，确定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本</w:t>
      </w:r>
      <w:r>
        <w:rPr>
          <w:rFonts w:ascii="仿宋_GB2312" w:hAnsi="仿宋_GB2312" w:eastAsia="仿宋_GB2312" w:cs="仿宋_GB2312"/>
          <w:bCs/>
          <w:sz w:val="32"/>
          <w:szCs w:val="32"/>
        </w:rPr>
        <w:t>项目</w:t>
      </w:r>
      <w:r>
        <w:rPr>
          <w:rFonts w:hint="eastAsia" w:ascii="仿宋_GB2312" w:hAnsi="仿宋_GB2312" w:cs="仿宋_GB2312"/>
          <w:bCs/>
          <w:sz w:val="32"/>
          <w:szCs w:val="32"/>
          <w:lang w:eastAsia="zh-CN"/>
        </w:rPr>
        <w:t>造粒生产车间、流延生产车间分别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设置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50m的卫生防护距离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你公司应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配合</w:t>
      </w:r>
      <w:r>
        <w:rPr>
          <w:rFonts w:hint="default" w:ascii="Times New Roman" w:hAnsi="Times New Roman" w:cs="Times New Roman"/>
          <w:color w:val="000000"/>
          <w:szCs w:val="32"/>
          <w:highlight w:val="none"/>
          <w:lang w:eastAsia="zh-CN"/>
        </w:rPr>
        <w:t>宜春经</w:t>
      </w:r>
      <w:r>
        <w:rPr>
          <w:rFonts w:hint="default" w:ascii="Times New Roman" w:hAnsi="Times New Roman" w:cs="Times New Roman"/>
          <w:color w:val="000000"/>
          <w:szCs w:val="32"/>
          <w:highlight w:val="none"/>
          <w:lang w:val="en-US" w:eastAsia="zh-CN"/>
        </w:rPr>
        <w:t>济技术</w:t>
      </w:r>
      <w:r>
        <w:rPr>
          <w:rFonts w:hint="default" w:ascii="Times New Roman" w:hAnsi="Times New Roman" w:cs="Times New Roman"/>
          <w:color w:val="000000"/>
          <w:szCs w:val="32"/>
          <w:highlight w:val="none"/>
          <w:lang w:eastAsia="zh-CN"/>
        </w:rPr>
        <w:t>开</w:t>
      </w:r>
      <w:r>
        <w:rPr>
          <w:rFonts w:hint="eastAsia" w:ascii="Times New Roman" w:hAnsi="Times New Roman" w:cs="Times New Roman"/>
          <w:color w:val="000000"/>
          <w:szCs w:val="32"/>
          <w:highlight w:val="none"/>
          <w:lang w:val="en-US" w:eastAsia="zh-CN"/>
        </w:rPr>
        <w:t>发</w:t>
      </w:r>
      <w:r>
        <w:rPr>
          <w:rFonts w:hint="default" w:ascii="Times New Roman" w:hAnsi="Times New Roman" w:cs="Times New Roman"/>
          <w:color w:val="000000"/>
          <w:szCs w:val="32"/>
          <w:highlight w:val="none"/>
          <w:lang w:eastAsia="zh-CN"/>
        </w:rPr>
        <w:t>区管委会</w:t>
      </w:r>
      <w:r>
        <w:rPr>
          <w:rFonts w:hint="default" w:ascii="Times New Roman" w:hAnsi="Times New Roman" w:cs="Times New Roman"/>
          <w:color w:val="000000"/>
          <w:szCs w:val="32"/>
          <w:highlight w:val="none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严格控制好本项目周边规划，项目卫生防护距离范围内不得新建居民住宅、学校及医院等环境敏感建筑。</w:t>
      </w:r>
    </w:p>
    <w:p>
      <w:pPr>
        <w:pageBreakBefore w:val="0"/>
        <w:widowControl w:val="0"/>
        <w:kinsoku/>
        <w:wordWrap/>
        <w:overflowPunct/>
        <w:bidi w:val="0"/>
        <w:spacing w:line="560" w:lineRule="exact"/>
        <w:ind w:firstLine="680"/>
        <w:textAlignment w:val="auto"/>
        <w:rPr>
          <w:rFonts w:hint="eastAsia" w:ascii="仿宋_GB2312"/>
          <w:color w:val="000000"/>
          <w:szCs w:val="32"/>
          <w:highlight w:val="none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</w:t>
      </w:r>
      <w:r>
        <w:rPr>
          <w:rFonts w:hint="eastAsia" w:ascii="楷体_GB2312" w:eastAsia="楷体_GB2312"/>
          <w:color w:val="000000"/>
          <w:szCs w:val="32"/>
          <w:highlight w:val="none"/>
          <w:lang w:eastAsia="zh-CN"/>
        </w:rPr>
        <w:t>九</w:t>
      </w:r>
      <w:r>
        <w:rPr>
          <w:rFonts w:hint="eastAsia" w:ascii="楷体_GB2312" w:eastAsia="楷体_GB2312"/>
          <w:color w:val="000000"/>
          <w:szCs w:val="32"/>
          <w:highlight w:val="none"/>
        </w:rPr>
        <w:t>）污染物排放总量控制要求。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根据报告表确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>定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项目主要污染物排放总量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>必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须满足控制指标要求：</w:t>
      </w:r>
      <w:r>
        <w:rPr>
          <w:rFonts w:hint="eastAsia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COD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≤</w:t>
      </w:r>
      <w:r>
        <w:rPr>
          <w:rFonts w:hint="eastAsia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0.258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t/a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NH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vertAlign w:val="subscript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-N≤0</w:t>
      </w:r>
      <w:r>
        <w:rPr>
          <w:rFonts w:hint="eastAsia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.026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t/a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、VOCs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≤</w:t>
      </w:r>
      <w:r>
        <w:rPr>
          <w:rFonts w:hint="eastAsia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39.991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t/a</w:t>
      </w:r>
      <w:r>
        <w:rPr>
          <w:rFonts w:hint="eastAsia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、NOx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≤</w:t>
      </w:r>
      <w:r>
        <w:rPr>
          <w:rFonts w:hint="eastAsia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1.008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t/a</w:t>
      </w:r>
      <w:r>
        <w:rPr>
          <w:rFonts w:hint="eastAsia" w:ascii="仿宋_GB2312"/>
          <w:color w:val="000000"/>
          <w:szCs w:val="32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bidi w:val="0"/>
        <w:spacing w:line="560" w:lineRule="exact"/>
        <w:ind w:firstLine="680"/>
        <w:textAlignment w:val="auto"/>
        <w:rPr>
          <w:rFonts w:hint="eastAsia" w:ascii="黑体" w:hAnsi="黑体" w:eastAsia="黑体"/>
          <w:color w:val="000000"/>
          <w:szCs w:val="32"/>
          <w:highlight w:val="none"/>
        </w:rPr>
      </w:pPr>
      <w:r>
        <w:rPr>
          <w:rFonts w:hint="eastAsia" w:ascii="黑体" w:hAnsi="黑体" w:eastAsia="黑体"/>
          <w:color w:val="000000"/>
          <w:szCs w:val="32"/>
          <w:highlight w:val="none"/>
        </w:rPr>
        <w:t>三、项目运行和竣工验收的环保要求</w:t>
      </w:r>
    </w:p>
    <w:p>
      <w:pPr>
        <w:pageBreakBefore w:val="0"/>
        <w:widowControl w:val="0"/>
        <w:kinsoku/>
        <w:wordWrap/>
        <w:overflowPunct/>
        <w:topLinePunct/>
        <w:bidi w:val="0"/>
        <w:adjustRightInd w:val="0"/>
        <w:snapToGrid w:val="0"/>
        <w:spacing w:line="560" w:lineRule="exact"/>
        <w:ind w:firstLine="680"/>
        <w:textAlignment w:val="auto"/>
        <w:rPr>
          <w:rFonts w:ascii="仿宋_GB2312"/>
          <w:color w:val="000000"/>
          <w:szCs w:val="32"/>
          <w:highlight w:val="none"/>
        </w:rPr>
      </w:pPr>
      <w:r>
        <w:rPr>
          <w:rFonts w:hint="eastAsia" w:ascii="仿宋_GB2312"/>
          <w:color w:val="000000"/>
          <w:szCs w:val="32"/>
          <w:highlight w:val="none"/>
        </w:rPr>
        <w:t>本项目建设必须严格执行环境保护设施与主体工程同时设计、同时施工、同时投入使用的环境保护“三同时”制度，落实环境影响报告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表</w:t>
      </w:r>
      <w:r>
        <w:rPr>
          <w:rFonts w:hint="eastAsia" w:ascii="仿宋_GB2312"/>
          <w:color w:val="000000"/>
          <w:szCs w:val="32"/>
          <w:highlight w:val="none"/>
        </w:rPr>
        <w:t>提出的各项环境保护措施。项目建成投入生产后，你公司应当按照相关规定要求，对配套建设的环境保护设施进行验收，编制验收报告，并依法向社会公开。你公司在环境保护设施验收过程中，应当如实查验、监测、记载建设项目环境保护设施的建设和调试情况，不得弄虚作假。项目经验收合格后方可正式投入运行。</w:t>
      </w:r>
    </w:p>
    <w:p>
      <w:pPr>
        <w:pageBreakBefore w:val="0"/>
        <w:widowControl w:val="0"/>
        <w:kinsoku/>
        <w:wordWrap/>
        <w:overflowPunct/>
        <w:bidi w:val="0"/>
        <w:spacing w:line="560" w:lineRule="exact"/>
        <w:ind w:firstLine="680"/>
        <w:textAlignment w:val="auto"/>
        <w:rPr>
          <w:rFonts w:hint="eastAsia" w:ascii="黑体" w:hAnsi="黑体" w:eastAsia="黑体"/>
          <w:color w:val="000000"/>
          <w:szCs w:val="32"/>
          <w:highlight w:val="none"/>
        </w:rPr>
      </w:pPr>
      <w:r>
        <w:rPr>
          <w:rFonts w:hint="eastAsia" w:ascii="黑体" w:hAnsi="黑体" w:eastAsia="黑体"/>
          <w:color w:val="000000"/>
          <w:szCs w:val="32"/>
          <w:highlight w:val="none"/>
        </w:rPr>
        <w:t>四、其他环保要求</w:t>
      </w:r>
    </w:p>
    <w:p>
      <w:pPr>
        <w:pageBreakBefore w:val="0"/>
        <w:widowControl w:val="0"/>
        <w:kinsoku/>
        <w:wordWrap/>
        <w:overflowPunct/>
        <w:bidi w:val="0"/>
        <w:adjustRightInd w:val="0"/>
        <w:snapToGrid w:val="0"/>
        <w:spacing w:line="560" w:lineRule="exact"/>
        <w:ind w:firstLine="680"/>
        <w:textAlignment w:val="auto"/>
        <w:rPr>
          <w:rFonts w:hint="eastAsia" w:ascii="仿宋_GB2312"/>
          <w:color w:val="000000"/>
          <w:szCs w:val="32"/>
          <w:highlight w:val="none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（一）重新办理环境影响评价要求。</w:t>
      </w:r>
      <w:r>
        <w:rPr>
          <w:rFonts w:hint="eastAsia" w:ascii="仿宋_GB2312"/>
          <w:color w:val="000000"/>
          <w:szCs w:val="32"/>
          <w:highlight w:val="none"/>
        </w:rPr>
        <w:t>本项目批准后，建设性质、规模、地点、生产工艺、环保措施等发生重大变动，应重新报批环境影响报告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表</w:t>
      </w:r>
      <w:r>
        <w:rPr>
          <w:rFonts w:hint="eastAsia" w:ascii="仿宋_GB2312"/>
          <w:color w:val="000000"/>
          <w:szCs w:val="32"/>
          <w:highlight w:val="none"/>
        </w:rPr>
        <w:t>；项目批准后超过5年方开工建设的，应报</w:t>
      </w:r>
      <w:r>
        <w:rPr>
          <w:rFonts w:hint="eastAsia" w:ascii="仿宋_GB2312"/>
          <w:color w:val="000000"/>
          <w:szCs w:val="32"/>
          <w:highlight w:val="none"/>
          <w:lang w:val="en-US" w:eastAsia="zh-CN"/>
        </w:rPr>
        <w:t>我分局</w:t>
      </w:r>
      <w:r>
        <w:rPr>
          <w:rFonts w:hint="eastAsia" w:ascii="仿宋_GB2312"/>
          <w:color w:val="000000"/>
          <w:szCs w:val="32"/>
          <w:highlight w:val="none"/>
        </w:rPr>
        <w:t>重新审核。</w:t>
      </w:r>
    </w:p>
    <w:p>
      <w:pPr>
        <w:pStyle w:val="18"/>
        <w:pageBreakBefore w:val="0"/>
        <w:widowControl w:val="0"/>
        <w:kinsoku/>
        <w:wordWrap/>
        <w:overflowPunct/>
        <w:bidi w:val="0"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（二）排污许可证申报要求。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你公司应在启动生产设施或者发生实际排污之前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按相关要求进行排污许可证申报工作。</w:t>
      </w:r>
    </w:p>
    <w:p>
      <w:pPr>
        <w:pageBreakBefore w:val="0"/>
        <w:widowControl w:val="0"/>
        <w:kinsoku/>
        <w:wordWrap/>
        <w:overflowPunct/>
        <w:bidi w:val="0"/>
        <w:adjustRightInd w:val="0"/>
        <w:snapToGrid w:val="0"/>
        <w:spacing w:line="560" w:lineRule="exact"/>
        <w:ind w:firstLine="680"/>
        <w:textAlignment w:val="auto"/>
        <w:rPr>
          <w:rFonts w:hint="eastAsia" w:ascii="仿宋_GB2312"/>
          <w:color w:val="000000"/>
          <w:szCs w:val="32"/>
          <w:highlight w:val="none"/>
        </w:rPr>
      </w:pPr>
      <w:r>
        <w:rPr>
          <w:rFonts w:hint="eastAsia" w:ascii="楷体_GB2312" w:eastAsia="楷体_GB2312"/>
          <w:color w:val="000000"/>
          <w:szCs w:val="32"/>
          <w:highlight w:val="none"/>
        </w:rPr>
        <w:t>（</w:t>
      </w:r>
      <w:r>
        <w:rPr>
          <w:rFonts w:hint="eastAsia" w:ascii="楷体_GB2312" w:eastAsia="楷体_GB2312"/>
          <w:color w:val="000000"/>
          <w:szCs w:val="32"/>
          <w:highlight w:val="none"/>
          <w:lang w:val="en-US" w:eastAsia="zh-CN"/>
        </w:rPr>
        <w:t>三</w:t>
      </w:r>
      <w:r>
        <w:rPr>
          <w:rFonts w:hint="eastAsia" w:ascii="楷体_GB2312" w:eastAsia="楷体_GB2312"/>
          <w:color w:val="000000"/>
          <w:szCs w:val="32"/>
          <w:highlight w:val="none"/>
        </w:rPr>
        <w:t>）日常环境监督管理要求。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我分局负责该项目建设和运行的监管，你公司应按规定接受各级环保行政主管部门的监督检查</w:t>
      </w:r>
      <w:r>
        <w:rPr>
          <w:rFonts w:hint="eastAsia" w:ascii="仿宋_GB2312"/>
          <w:color w:val="000000"/>
          <w:szCs w:val="32"/>
          <w:highlight w:val="none"/>
        </w:rPr>
        <w:t>。</w:t>
      </w:r>
    </w:p>
    <w:p>
      <w:pPr>
        <w:pStyle w:val="18"/>
        <w:pageBreakBefore w:val="0"/>
        <w:widowControl w:val="0"/>
        <w:kinsoku/>
        <w:wordWrap/>
        <w:overflowPunct/>
        <w:bidi w:val="0"/>
        <w:spacing w:line="560" w:lineRule="exact"/>
        <w:rPr>
          <w:rFonts w:hint="eastAsia"/>
          <w:lang w:eastAsia="zh-CN"/>
        </w:rPr>
      </w:pPr>
    </w:p>
    <w:p>
      <w:pPr>
        <w:pStyle w:val="18"/>
        <w:pageBreakBefore w:val="0"/>
        <w:widowControl w:val="0"/>
        <w:kinsoku/>
        <w:wordWrap/>
        <w:overflowPunct/>
        <w:bidi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ageBreakBefore w:val="0"/>
        <w:widowControl w:val="0"/>
        <w:tabs>
          <w:tab w:val="left" w:pos="7938"/>
        </w:tabs>
        <w:kinsoku/>
        <w:wordWrap/>
        <w:overflowPunct/>
        <w:topLinePunct w:val="0"/>
        <w:bidi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宜春市生态环境局宜春经济技术开发区分局</w:t>
      </w:r>
    </w:p>
    <w:p>
      <w:pPr>
        <w:pStyle w:val="19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202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（此件主动公开）</w:t>
      </w:r>
    </w:p>
    <w:p>
      <w:pPr>
        <w:pStyle w:val="6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8"/>
        <w:pageBreakBefore w:val="0"/>
        <w:widowControl w:val="0"/>
        <w:kinsoku/>
        <w:wordWrap/>
        <w:overflowPunct/>
        <w:bidi w:val="0"/>
        <w:spacing w:line="560" w:lineRule="exact"/>
        <w:rPr>
          <w:rFonts w:hint="eastAsia"/>
        </w:rPr>
      </w:pPr>
    </w:p>
    <w:p>
      <w:pPr>
        <w:pStyle w:val="18"/>
        <w:pageBreakBefore w:val="0"/>
        <w:widowControl w:val="0"/>
        <w:kinsoku/>
        <w:wordWrap/>
        <w:overflowPunct/>
        <w:bidi w:val="0"/>
        <w:spacing w:line="560" w:lineRule="exact"/>
        <w:rPr>
          <w:rFonts w:hint="eastAsia"/>
        </w:rPr>
      </w:pPr>
    </w:p>
    <w:p>
      <w:pPr>
        <w:pStyle w:val="18"/>
        <w:pageBreakBefore w:val="0"/>
        <w:widowControl w:val="0"/>
        <w:kinsoku/>
        <w:wordWrap/>
        <w:overflowPunct/>
        <w:bidi w:val="0"/>
        <w:spacing w:line="560" w:lineRule="exact"/>
        <w:rPr>
          <w:rFonts w:hint="eastAsia"/>
        </w:rPr>
      </w:pPr>
    </w:p>
    <w:p>
      <w:pPr>
        <w:pStyle w:val="18"/>
        <w:pageBreakBefore w:val="0"/>
        <w:widowControl w:val="0"/>
        <w:kinsoku/>
        <w:wordWrap/>
        <w:overflowPunct/>
        <w:bidi w:val="0"/>
        <w:spacing w:line="560" w:lineRule="exact"/>
        <w:rPr>
          <w:rFonts w:hint="eastAsia"/>
        </w:rPr>
      </w:pPr>
    </w:p>
    <w:p>
      <w:pPr>
        <w:pStyle w:val="18"/>
        <w:pageBreakBefore w:val="0"/>
        <w:widowControl w:val="0"/>
        <w:kinsoku/>
        <w:wordWrap/>
        <w:overflowPunct/>
        <w:bidi w:val="0"/>
        <w:spacing w:line="560" w:lineRule="exact"/>
        <w:rPr>
          <w:rFonts w:hint="eastAsia"/>
        </w:rPr>
      </w:pPr>
    </w:p>
    <w:p>
      <w:pPr>
        <w:pStyle w:val="18"/>
        <w:pageBreakBefore w:val="0"/>
        <w:widowControl w:val="0"/>
        <w:kinsoku/>
        <w:wordWrap/>
        <w:overflowPunct/>
        <w:bidi w:val="0"/>
        <w:spacing w:line="560" w:lineRule="exact"/>
        <w:rPr>
          <w:rFonts w:hint="eastAsia"/>
        </w:rPr>
      </w:pPr>
    </w:p>
    <w:p>
      <w:pPr>
        <w:pStyle w:val="18"/>
        <w:pageBreakBefore w:val="0"/>
        <w:widowControl w:val="0"/>
        <w:kinsoku/>
        <w:wordWrap/>
        <w:overflowPunct/>
        <w:bidi w:val="0"/>
        <w:spacing w:line="560" w:lineRule="exact"/>
        <w:rPr>
          <w:rFonts w:hint="eastAsia"/>
        </w:rPr>
      </w:pPr>
    </w:p>
    <w:p>
      <w:pPr>
        <w:pStyle w:val="18"/>
        <w:pageBreakBefore w:val="0"/>
        <w:widowControl w:val="0"/>
        <w:kinsoku/>
        <w:wordWrap/>
        <w:overflowPunct/>
        <w:bidi w:val="0"/>
        <w:spacing w:line="560" w:lineRule="exact"/>
        <w:rPr>
          <w:rFonts w:hint="eastAsia"/>
        </w:rPr>
      </w:pP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20" w:lineRule="exact"/>
        <w:textAlignment w:val="auto"/>
        <w:rPr>
          <w:rFonts w:hint="eastAsia"/>
        </w:rPr>
      </w:pPr>
    </w:p>
    <w:p>
      <w:pPr>
        <w:spacing w:line="1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98" w:leftChars="87" w:right="320" w:rightChars="100" w:hanging="720" w:hangingChars="300"/>
        <w:textAlignment w:val="auto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98" w:leftChars="87" w:right="320" w:rightChars="100" w:hanging="720" w:hangingChars="300"/>
        <w:textAlignment w:val="auto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98" w:leftChars="87" w:right="320" w:rightChars="100" w:hanging="720" w:hangingChars="300"/>
        <w:textAlignment w:val="auto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98" w:leftChars="87" w:right="320" w:rightChars="100" w:hanging="720" w:hangingChars="300"/>
        <w:textAlignment w:val="auto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 w:rightChars="100"/>
        <w:textAlignment w:val="auto"/>
        <w:rPr>
          <w:rFonts w:hint="eastAsia" w:eastAsia="仿宋_GB2312"/>
          <w:spacing w:val="-2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pacing w:val="-20"/>
          <w:sz w:val="28"/>
          <w:szCs w:val="28"/>
        </w:rPr>
        <w:t>抄送：</w:t>
      </w:r>
      <w:r>
        <w:rPr>
          <w:rFonts w:hint="eastAsia" w:ascii="仿宋_GB2312" w:hAnsi="宋体"/>
          <w:spacing w:val="-20"/>
          <w:sz w:val="28"/>
          <w:szCs w:val="28"/>
          <w:lang w:val="en-US" w:eastAsia="zh-CN"/>
        </w:rPr>
        <w:t>区自然资源局，区住房和建设局，区应急管理局，金园街道办事处,金湖办。</w:t>
      </w:r>
    </w:p>
    <w:p>
      <w:pPr>
        <w:spacing w:line="1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46" w:firstLineChars="100"/>
        <w:textAlignment w:val="auto"/>
        <w:rPr>
          <w:rFonts w:hint="default" w:ascii="Times New Roman" w:hAnsi="Times New Roman" w:eastAsia="仿宋_GB2312" w:cs="Times New Roman"/>
          <w:spacing w:val="-17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17"/>
          <w:sz w:val="28"/>
          <w:szCs w:val="28"/>
        </w:rPr>
        <w:t>宜春市生态环境局</w:t>
      </w:r>
      <w:r>
        <w:rPr>
          <w:rFonts w:hint="default" w:ascii="Times New Roman" w:hAnsi="Times New Roman" w:cs="Times New Roman"/>
          <w:spacing w:val="-17"/>
          <w:sz w:val="28"/>
          <w:szCs w:val="28"/>
          <w:lang w:val="en-US" w:eastAsia="zh-CN"/>
        </w:rPr>
        <w:t xml:space="preserve">宜春经济技术开发区分局   </w:t>
      </w:r>
      <w:r>
        <w:rPr>
          <w:rFonts w:hint="eastAsia" w:ascii="Times New Roman" w:hAnsi="Times New Roman" w:cs="Times New Roman"/>
          <w:spacing w:val="-17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17"/>
          <w:sz w:val="28"/>
          <w:szCs w:val="28"/>
        </w:rPr>
        <w:t>202</w:t>
      </w:r>
      <w:bookmarkStart w:id="0" w:name="_GoBack"/>
      <w:bookmarkEnd w:id="0"/>
      <w:r>
        <w:rPr>
          <w:rFonts w:hint="eastAsia" w:cs="Times New Roman"/>
          <w:spacing w:val="-17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17"/>
          <w:sz w:val="28"/>
          <w:szCs w:val="28"/>
        </w:rPr>
        <w:t>年</w:t>
      </w:r>
      <w:r>
        <w:rPr>
          <w:rFonts w:hint="eastAsia" w:cs="Times New Roman"/>
          <w:spacing w:val="-17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17"/>
          <w:sz w:val="28"/>
          <w:szCs w:val="28"/>
        </w:rPr>
        <w:t>月</w:t>
      </w:r>
      <w:r>
        <w:rPr>
          <w:rFonts w:hint="eastAsia" w:cs="Times New Roman"/>
          <w:spacing w:val="-17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pacing w:val="-17"/>
          <w:sz w:val="28"/>
          <w:szCs w:val="28"/>
        </w:rPr>
        <w:t>日印发</w:t>
      </w:r>
    </w:p>
    <w:p>
      <w:pPr>
        <w:pStyle w:val="20"/>
        <w:rPr>
          <w:rFonts w:hint="default"/>
          <w:u w:val="none"/>
          <w:lang w:val="en-US" w:eastAsia="zh-CN"/>
        </w:rPr>
      </w:pPr>
      <w:r>
        <w:rPr>
          <w:rFonts w:hint="default" w:ascii="Times New Roman" w:hAnsi="Times New Roman" w:cs="Times New Roman"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109220</wp:posOffset>
                </wp:positionV>
                <wp:extent cx="5603240" cy="25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0324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8.6pt;height:0.2pt;width:441.2pt;z-index:251660288;mso-width-relative:page;mso-height-relative:page;" filled="f" stroked="t" coordsize="21600,21600" o:gfxdata="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kBhPBdUAAAAIAQAADwAAAAAAAAABACAAAAA4AAAAZHJzL2Rvd25yZXYueG1s&#10;UEsBAhQAFAAAAAgAh07iQLxFd/HlAQAAqQMAAA4AAAAAAAAAAQAgAAAAO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Times New Roman"/>
          <w:spacing w:val="-11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1906" w:h="16838"/>
      <w:pgMar w:top="1701" w:right="1587" w:bottom="1701" w:left="1587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Arial Unicode MS">
    <w:altName w:val="DejaVu Sans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MmFlODAxOWJlNmU1NGE3NWI3ZWUyZDNjOTY0MmUifQ=="/>
  </w:docVars>
  <w:rsids>
    <w:rsidRoot w:val="6244689D"/>
    <w:rsid w:val="001260A9"/>
    <w:rsid w:val="00E52F76"/>
    <w:rsid w:val="01352CEB"/>
    <w:rsid w:val="013B7A27"/>
    <w:rsid w:val="01B54F0B"/>
    <w:rsid w:val="01C506B1"/>
    <w:rsid w:val="01D625BB"/>
    <w:rsid w:val="01EB5F4B"/>
    <w:rsid w:val="025B1A3E"/>
    <w:rsid w:val="03157E45"/>
    <w:rsid w:val="034E7C17"/>
    <w:rsid w:val="03726617"/>
    <w:rsid w:val="03BB1D6C"/>
    <w:rsid w:val="03EF5EB9"/>
    <w:rsid w:val="043E7DDF"/>
    <w:rsid w:val="05B40FDD"/>
    <w:rsid w:val="05E12225"/>
    <w:rsid w:val="05E530D0"/>
    <w:rsid w:val="061A763E"/>
    <w:rsid w:val="06344057"/>
    <w:rsid w:val="070F2026"/>
    <w:rsid w:val="07177811"/>
    <w:rsid w:val="072D2F81"/>
    <w:rsid w:val="078C04BA"/>
    <w:rsid w:val="07DF3229"/>
    <w:rsid w:val="08193505"/>
    <w:rsid w:val="08316AA1"/>
    <w:rsid w:val="08AB24A0"/>
    <w:rsid w:val="0A334788"/>
    <w:rsid w:val="0A4B01C2"/>
    <w:rsid w:val="0ACE4A7B"/>
    <w:rsid w:val="0B2146DD"/>
    <w:rsid w:val="0B416ECE"/>
    <w:rsid w:val="0B9D51B7"/>
    <w:rsid w:val="0C0149DC"/>
    <w:rsid w:val="0C8D5C03"/>
    <w:rsid w:val="0CCE2267"/>
    <w:rsid w:val="0CD43E9E"/>
    <w:rsid w:val="0CDF1230"/>
    <w:rsid w:val="0D5374B9"/>
    <w:rsid w:val="0E9D0FC7"/>
    <w:rsid w:val="0FB308BC"/>
    <w:rsid w:val="0FB57FB7"/>
    <w:rsid w:val="103C5FE2"/>
    <w:rsid w:val="111B209C"/>
    <w:rsid w:val="115B2DE0"/>
    <w:rsid w:val="1231570E"/>
    <w:rsid w:val="14942891"/>
    <w:rsid w:val="14E54E9B"/>
    <w:rsid w:val="150D43F1"/>
    <w:rsid w:val="15871778"/>
    <w:rsid w:val="15B64A89"/>
    <w:rsid w:val="15C9656A"/>
    <w:rsid w:val="15DA2525"/>
    <w:rsid w:val="162C474A"/>
    <w:rsid w:val="16741FD3"/>
    <w:rsid w:val="1688267C"/>
    <w:rsid w:val="16DC6904"/>
    <w:rsid w:val="172D0D7B"/>
    <w:rsid w:val="1778161B"/>
    <w:rsid w:val="1785596D"/>
    <w:rsid w:val="179901BE"/>
    <w:rsid w:val="17EF41D4"/>
    <w:rsid w:val="183B37E7"/>
    <w:rsid w:val="18525A47"/>
    <w:rsid w:val="1870769A"/>
    <w:rsid w:val="18786026"/>
    <w:rsid w:val="19911600"/>
    <w:rsid w:val="19E33973"/>
    <w:rsid w:val="1A71102A"/>
    <w:rsid w:val="1B0E67CD"/>
    <w:rsid w:val="1B116048"/>
    <w:rsid w:val="1B9C202B"/>
    <w:rsid w:val="1BA01863"/>
    <w:rsid w:val="1C394EA9"/>
    <w:rsid w:val="1C412D52"/>
    <w:rsid w:val="1C7A6810"/>
    <w:rsid w:val="1D6C5A10"/>
    <w:rsid w:val="1D8323FD"/>
    <w:rsid w:val="1DA86FA8"/>
    <w:rsid w:val="1E6C42CC"/>
    <w:rsid w:val="1ED94820"/>
    <w:rsid w:val="1F841754"/>
    <w:rsid w:val="1F973235"/>
    <w:rsid w:val="1FA025B1"/>
    <w:rsid w:val="20337402"/>
    <w:rsid w:val="20607ACB"/>
    <w:rsid w:val="208C4F89"/>
    <w:rsid w:val="21224D81"/>
    <w:rsid w:val="221768AF"/>
    <w:rsid w:val="228E694F"/>
    <w:rsid w:val="229121BE"/>
    <w:rsid w:val="22A55C69"/>
    <w:rsid w:val="23A72ED2"/>
    <w:rsid w:val="24CA3E4B"/>
    <w:rsid w:val="24D40A88"/>
    <w:rsid w:val="25F0544D"/>
    <w:rsid w:val="262C762B"/>
    <w:rsid w:val="2657371E"/>
    <w:rsid w:val="26751DF6"/>
    <w:rsid w:val="26F37574"/>
    <w:rsid w:val="27173272"/>
    <w:rsid w:val="272C4BAB"/>
    <w:rsid w:val="275C47A5"/>
    <w:rsid w:val="278C433D"/>
    <w:rsid w:val="279C0BB3"/>
    <w:rsid w:val="27F21951"/>
    <w:rsid w:val="28A2203C"/>
    <w:rsid w:val="28BE7A85"/>
    <w:rsid w:val="28CB3F50"/>
    <w:rsid w:val="28EF40E2"/>
    <w:rsid w:val="2A6B091C"/>
    <w:rsid w:val="2A8A7D6F"/>
    <w:rsid w:val="2AA052CC"/>
    <w:rsid w:val="2AA103B9"/>
    <w:rsid w:val="2AA80EDD"/>
    <w:rsid w:val="2B312684"/>
    <w:rsid w:val="2B45623B"/>
    <w:rsid w:val="2B8F5708"/>
    <w:rsid w:val="2C275941"/>
    <w:rsid w:val="2C627D42"/>
    <w:rsid w:val="2C7F61B1"/>
    <w:rsid w:val="2D3E3331"/>
    <w:rsid w:val="2EFC6592"/>
    <w:rsid w:val="2FEA73B1"/>
    <w:rsid w:val="3005243D"/>
    <w:rsid w:val="305636D4"/>
    <w:rsid w:val="310444A3"/>
    <w:rsid w:val="31BA5C46"/>
    <w:rsid w:val="322E7A29"/>
    <w:rsid w:val="32843AED"/>
    <w:rsid w:val="32FA5B5D"/>
    <w:rsid w:val="34C13400"/>
    <w:rsid w:val="34CA4CA1"/>
    <w:rsid w:val="35A16764"/>
    <w:rsid w:val="35CC2815"/>
    <w:rsid w:val="36107446"/>
    <w:rsid w:val="36267689"/>
    <w:rsid w:val="38415FDC"/>
    <w:rsid w:val="388329B2"/>
    <w:rsid w:val="399A3BF6"/>
    <w:rsid w:val="3ADB38C7"/>
    <w:rsid w:val="3AE91F17"/>
    <w:rsid w:val="3B1753B1"/>
    <w:rsid w:val="3B7A5A8D"/>
    <w:rsid w:val="3C4816E7"/>
    <w:rsid w:val="3D145A6E"/>
    <w:rsid w:val="3DEB4836"/>
    <w:rsid w:val="3E411F1F"/>
    <w:rsid w:val="3E990920"/>
    <w:rsid w:val="3F487EB5"/>
    <w:rsid w:val="40AD0E43"/>
    <w:rsid w:val="41933E5E"/>
    <w:rsid w:val="424B1F31"/>
    <w:rsid w:val="42601B4D"/>
    <w:rsid w:val="432307B8"/>
    <w:rsid w:val="43346E69"/>
    <w:rsid w:val="445A46AE"/>
    <w:rsid w:val="45365C27"/>
    <w:rsid w:val="45594965"/>
    <w:rsid w:val="45D87F80"/>
    <w:rsid w:val="46584C1D"/>
    <w:rsid w:val="468B5AEE"/>
    <w:rsid w:val="47005379"/>
    <w:rsid w:val="47721D0E"/>
    <w:rsid w:val="47A125F4"/>
    <w:rsid w:val="47B70473"/>
    <w:rsid w:val="47C25144"/>
    <w:rsid w:val="47F6649C"/>
    <w:rsid w:val="48380F1B"/>
    <w:rsid w:val="4839282C"/>
    <w:rsid w:val="48665392"/>
    <w:rsid w:val="48741AB6"/>
    <w:rsid w:val="487C2EFA"/>
    <w:rsid w:val="48815559"/>
    <w:rsid w:val="4913307D"/>
    <w:rsid w:val="4A03505A"/>
    <w:rsid w:val="4A981A8C"/>
    <w:rsid w:val="4AA20B5D"/>
    <w:rsid w:val="4AB53506"/>
    <w:rsid w:val="4AB61C7B"/>
    <w:rsid w:val="4AFC64BF"/>
    <w:rsid w:val="4B2B6DA4"/>
    <w:rsid w:val="4B3C28EA"/>
    <w:rsid w:val="4B661B8A"/>
    <w:rsid w:val="4B86053B"/>
    <w:rsid w:val="4BE63733"/>
    <w:rsid w:val="4CDE0E2E"/>
    <w:rsid w:val="4D106251"/>
    <w:rsid w:val="4DA2520B"/>
    <w:rsid w:val="4DE4148C"/>
    <w:rsid w:val="4E1F4396"/>
    <w:rsid w:val="4E6D76D3"/>
    <w:rsid w:val="4EC2357B"/>
    <w:rsid w:val="4EE554BC"/>
    <w:rsid w:val="4EF75204"/>
    <w:rsid w:val="4F012B14"/>
    <w:rsid w:val="4F3E43AC"/>
    <w:rsid w:val="4FCC5A01"/>
    <w:rsid w:val="50175B49"/>
    <w:rsid w:val="50E346C4"/>
    <w:rsid w:val="50F87728"/>
    <w:rsid w:val="513172B5"/>
    <w:rsid w:val="51541C54"/>
    <w:rsid w:val="51722952"/>
    <w:rsid w:val="52023B4B"/>
    <w:rsid w:val="52FE7DEF"/>
    <w:rsid w:val="53452D12"/>
    <w:rsid w:val="536977EA"/>
    <w:rsid w:val="53A24E5F"/>
    <w:rsid w:val="546844CA"/>
    <w:rsid w:val="54883479"/>
    <w:rsid w:val="548E7C22"/>
    <w:rsid w:val="55A35789"/>
    <w:rsid w:val="567002D5"/>
    <w:rsid w:val="56867D31"/>
    <w:rsid w:val="57DE6F4C"/>
    <w:rsid w:val="58366D88"/>
    <w:rsid w:val="58DC6966"/>
    <w:rsid w:val="58DF1EA0"/>
    <w:rsid w:val="59453815"/>
    <w:rsid w:val="59CC24A7"/>
    <w:rsid w:val="5A447542"/>
    <w:rsid w:val="5B281818"/>
    <w:rsid w:val="5B330F7D"/>
    <w:rsid w:val="5B557525"/>
    <w:rsid w:val="5BB07212"/>
    <w:rsid w:val="5BED3C02"/>
    <w:rsid w:val="5D8038B9"/>
    <w:rsid w:val="5F2E07B9"/>
    <w:rsid w:val="5F895777"/>
    <w:rsid w:val="5FBA204D"/>
    <w:rsid w:val="602C2E66"/>
    <w:rsid w:val="612E2CF2"/>
    <w:rsid w:val="6244689D"/>
    <w:rsid w:val="62546789"/>
    <w:rsid w:val="6262113D"/>
    <w:rsid w:val="636E5628"/>
    <w:rsid w:val="63906276"/>
    <w:rsid w:val="63ED29F1"/>
    <w:rsid w:val="641D7175"/>
    <w:rsid w:val="648C5EBC"/>
    <w:rsid w:val="65503FD7"/>
    <w:rsid w:val="65764C68"/>
    <w:rsid w:val="66C8366F"/>
    <w:rsid w:val="67694A84"/>
    <w:rsid w:val="67753429"/>
    <w:rsid w:val="67796DF3"/>
    <w:rsid w:val="67FD51CC"/>
    <w:rsid w:val="68442DFB"/>
    <w:rsid w:val="684F5996"/>
    <w:rsid w:val="689363BA"/>
    <w:rsid w:val="68D17906"/>
    <w:rsid w:val="69140A20"/>
    <w:rsid w:val="69CF4947"/>
    <w:rsid w:val="69E456CB"/>
    <w:rsid w:val="6B293C1E"/>
    <w:rsid w:val="6B8F6814"/>
    <w:rsid w:val="6BB84DDA"/>
    <w:rsid w:val="6BCA6966"/>
    <w:rsid w:val="6BDF4621"/>
    <w:rsid w:val="6CC14C79"/>
    <w:rsid w:val="6E051306"/>
    <w:rsid w:val="6EAB3BD4"/>
    <w:rsid w:val="6EB365E5"/>
    <w:rsid w:val="6ECB1B80"/>
    <w:rsid w:val="6F291E1E"/>
    <w:rsid w:val="6FDF587E"/>
    <w:rsid w:val="70657158"/>
    <w:rsid w:val="70C745CA"/>
    <w:rsid w:val="70EC28BD"/>
    <w:rsid w:val="711C7F4D"/>
    <w:rsid w:val="7146077D"/>
    <w:rsid w:val="71A1793A"/>
    <w:rsid w:val="725956F5"/>
    <w:rsid w:val="7279090F"/>
    <w:rsid w:val="729014FF"/>
    <w:rsid w:val="74516EC2"/>
    <w:rsid w:val="749654C9"/>
    <w:rsid w:val="75104791"/>
    <w:rsid w:val="754C6E64"/>
    <w:rsid w:val="759470DB"/>
    <w:rsid w:val="75D83E8B"/>
    <w:rsid w:val="76086B70"/>
    <w:rsid w:val="7687606F"/>
    <w:rsid w:val="76B80EDD"/>
    <w:rsid w:val="7724572B"/>
    <w:rsid w:val="7725204A"/>
    <w:rsid w:val="779276DF"/>
    <w:rsid w:val="78623ECC"/>
    <w:rsid w:val="786727A1"/>
    <w:rsid w:val="78CB5A16"/>
    <w:rsid w:val="78EB1954"/>
    <w:rsid w:val="78FF429B"/>
    <w:rsid w:val="79346E73"/>
    <w:rsid w:val="79D53687"/>
    <w:rsid w:val="79F04DA2"/>
    <w:rsid w:val="7A1F7224"/>
    <w:rsid w:val="7B2F38DA"/>
    <w:rsid w:val="7C2559E9"/>
    <w:rsid w:val="7C5C5680"/>
    <w:rsid w:val="7E2117BD"/>
    <w:rsid w:val="7E9C0E44"/>
    <w:rsid w:val="7EAD3577"/>
    <w:rsid w:val="7F201A75"/>
    <w:rsid w:val="7F5E4DB1"/>
    <w:rsid w:val="BBFE8C8D"/>
    <w:rsid w:val="FE5FE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Cs/>
      <w:szCs w:val="32"/>
    </w:rPr>
  </w:style>
  <w:style w:type="paragraph" w:styleId="7">
    <w:name w:val="heading 4"/>
    <w:basedOn w:val="1"/>
    <w:next w:val="1"/>
    <w:qFormat/>
    <w:uiPriority w:val="0"/>
    <w:pPr>
      <w:keepNext/>
      <w:jc w:val="center"/>
      <w:outlineLvl w:val="3"/>
    </w:pPr>
    <w:rPr>
      <w:rFonts w:ascii="仿宋_GB2312" w:hAnsi="宋体" w:eastAsia="仿宋_GB2312"/>
      <w:b/>
      <w:w w:val="90"/>
      <w:sz w:val="24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  <w:rPr>
      <w:kern w:val="0"/>
      <w:sz w:val="24"/>
      <w:szCs w:val="20"/>
    </w:rPr>
  </w:style>
  <w:style w:type="paragraph" w:styleId="3">
    <w:name w:val="Body Text Indent 2"/>
    <w:basedOn w:val="1"/>
    <w:next w:val="4"/>
    <w:qFormat/>
    <w:uiPriority w:val="0"/>
    <w:pPr>
      <w:spacing w:after="120" w:line="480" w:lineRule="auto"/>
      <w:ind w:left="420" w:leftChars="200"/>
    </w:pPr>
  </w:style>
  <w:style w:type="paragraph" w:styleId="4">
    <w:name w:val="Body Text First Indent 2"/>
    <w:basedOn w:val="2"/>
    <w:next w:val="1"/>
    <w:qFormat/>
    <w:uiPriority w:val="0"/>
    <w:pPr>
      <w:adjustRightInd/>
      <w:spacing w:before="0" w:after="120" w:line="240" w:lineRule="auto"/>
      <w:ind w:left="420" w:leftChars="200" w:firstLine="420" w:firstLineChars="200"/>
      <w:textAlignment w:val="auto"/>
    </w:pPr>
    <w:rPr>
      <w:kern w:val="2"/>
      <w:sz w:val="21"/>
      <w:szCs w:val="24"/>
    </w:rPr>
  </w:style>
  <w:style w:type="paragraph" w:styleId="8">
    <w:name w:val="Normal Indent"/>
    <w:basedOn w:val="1"/>
    <w:qFormat/>
    <w:uiPriority w:val="0"/>
    <w:pPr>
      <w:spacing w:line="360" w:lineRule="auto"/>
      <w:ind w:firstLine="420"/>
    </w:pPr>
    <w:rPr>
      <w:sz w:val="24"/>
      <w:szCs w:val="20"/>
    </w:rPr>
  </w:style>
  <w:style w:type="paragraph" w:styleId="9">
    <w:name w:val="Body Text"/>
    <w:basedOn w:val="1"/>
    <w:next w:val="10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customStyle="1" w:styleId="10">
    <w:name w:val="xl27"/>
    <w:basedOn w:val="1"/>
    <w:next w:val="1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2"/>
      <w:szCs w:val="22"/>
    </w:rPr>
  </w:style>
  <w:style w:type="paragraph" w:customStyle="1" w:styleId="11">
    <w:name w:val="A正文"/>
    <w:basedOn w:val="1"/>
    <w:qFormat/>
    <w:uiPriority w:val="0"/>
    <w:pPr>
      <w:widowControl/>
      <w:overflowPunct w:val="0"/>
      <w:autoSpaceDE w:val="0"/>
      <w:autoSpaceDN w:val="0"/>
      <w:jc w:val="left"/>
      <w:textAlignment w:val="baseline"/>
    </w:pPr>
  </w:style>
  <w:style w:type="paragraph" w:styleId="12">
    <w:name w:val="toc 5"/>
    <w:basedOn w:val="1"/>
    <w:next w:val="1"/>
    <w:unhideWhenUsed/>
    <w:qFormat/>
    <w:uiPriority w:val="39"/>
    <w:pPr>
      <w:widowControl w:val="0"/>
      <w:adjustRightInd/>
      <w:snapToGrid/>
      <w:spacing w:line="240" w:lineRule="auto"/>
      <w:ind w:left="1680" w:leftChars="800" w:firstLine="0" w:firstLineChars="0"/>
      <w:jc w:val="both"/>
    </w:pPr>
    <w:rPr>
      <w:rFonts w:ascii="Calibri" w:hAnsi="Calibri"/>
      <w:color w:val="auto"/>
      <w:kern w:val="2"/>
      <w:sz w:val="21"/>
      <w:lang w:bidi="ar-SA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7">
    <w:name w:val="正文2"/>
    <w:basedOn w:val="1"/>
    <w:qFormat/>
    <w:uiPriority w:val="0"/>
    <w:pPr>
      <w:spacing w:line="440" w:lineRule="atLeast"/>
      <w:ind w:firstLine="567"/>
    </w:pPr>
    <w:rPr>
      <w:szCs w:val="20"/>
    </w:rPr>
  </w:style>
  <w:style w:type="paragraph" w:customStyle="1" w:styleId="18">
    <w:name w:val="样式 标题 2"/>
    <w:basedOn w:val="5"/>
    <w:qFormat/>
    <w:uiPriority w:val="0"/>
    <w:pPr>
      <w:spacing w:before="50" w:after="50" w:line="415" w:lineRule="auto"/>
    </w:pPr>
    <w:rPr>
      <w:rFonts w:ascii="Cambria" w:hAnsi="Cambria" w:eastAsia="宋体" w:cs="Times New Roman"/>
      <w:szCs w:val="28"/>
    </w:rPr>
  </w:style>
  <w:style w:type="paragraph" w:customStyle="1" w:styleId="19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Default"/>
    <w:basedOn w:val="21"/>
    <w:next w:val="4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Calibri" w:hAnsi="Calibri" w:eastAsia="Times New Roman" w:cs="Times New Roman"/>
      <w:color w:val="000000"/>
      <w:sz w:val="24"/>
      <w:szCs w:val="22"/>
      <w:lang w:val="en-US" w:eastAsia="zh-CN" w:bidi="ar-SA"/>
    </w:rPr>
  </w:style>
  <w:style w:type="paragraph" w:customStyle="1" w:styleId="21">
    <w:name w:val="批注文字1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  <w:style w:type="paragraph" w:customStyle="1" w:styleId="2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23">
    <w:name w:val="表文字"/>
    <w:basedOn w:val="1"/>
    <w:qFormat/>
    <w:uiPriority w:val="99"/>
    <w:pPr>
      <w:tabs>
        <w:tab w:val="left" w:pos="945"/>
        <w:tab w:val="right" w:leader="dot" w:pos="1155"/>
        <w:tab w:val="left" w:pos="8715"/>
      </w:tabs>
      <w:adjustRightInd w:val="0"/>
      <w:snapToGrid w:val="0"/>
      <w:spacing w:before="51" w:beforeLines="15" w:after="51" w:afterLines="15" w:line="360" w:lineRule="auto"/>
      <w:jc w:val="center"/>
      <w:textAlignment w:val="baseline"/>
    </w:pPr>
    <w:rPr>
      <w:rFonts w:ascii="宋体" w:hAnsi="宋体"/>
      <w:snapToGrid w:val="0"/>
      <w:color w:val="000000"/>
      <w:kern w:val="0"/>
      <w:szCs w:val="9"/>
    </w:rPr>
  </w:style>
  <w:style w:type="paragraph" w:customStyle="1" w:styleId="24">
    <w:name w:val="B正文"/>
    <w:basedOn w:val="1"/>
    <w:qFormat/>
    <w:uiPriority w:val="0"/>
    <w:pPr>
      <w:ind w:firstLine="20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3196</Words>
  <Characters>3557</Characters>
  <Lines>0</Lines>
  <Paragraphs>0</Paragraphs>
  <TotalTime>14</TotalTime>
  <ScaleCrop>false</ScaleCrop>
  <LinksUpToDate>false</LinksUpToDate>
  <CharactersWithSpaces>3716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2022-09-02T15:14:00Z</dcterms:created>
  <dc:creator>LenovoQT</dc:creator>
  <cp:lastModifiedBy>huawei</cp:lastModifiedBy>
  <cp:lastPrinted>2023-03-23T10:58:00Z</cp:lastPrinted>
  <dcterms:modified xsi:type="dcterms:W3CDTF">2023-04-18T16:42:02Z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D7B38D7D43494ECB9A07907DD82EDD2D</vt:lpwstr>
  </property>
</Properties>
</file>