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spacing w:line="520" w:lineRule="exact"/>
        <w:jc w:val="center"/>
        <w:rPr>
          <w:rFonts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宜环环评〔202</w:t>
      </w:r>
      <w:r>
        <w:rPr>
          <w:rFonts w:hint="eastAsia" w:ascii="仿宋_GB2312" w:eastAsia="仿宋_GB2312"/>
          <w:sz w:val="32"/>
          <w:lang w:val="en-US" w:eastAsia="zh-CN"/>
        </w:rPr>
        <w:t>3</w:t>
      </w:r>
      <w:r>
        <w:rPr>
          <w:rFonts w:hint="eastAsia" w:ascii="仿宋_GB2312" w:eastAsia="仿宋_GB2312"/>
          <w:sz w:val="32"/>
        </w:rPr>
        <w:t>〕</w:t>
      </w:r>
      <w:r>
        <w:rPr>
          <w:rFonts w:hint="eastAsia" w:ascii="仿宋_GB2312" w:eastAsia="仿宋_GB2312"/>
          <w:sz w:val="32"/>
          <w:lang w:val="en-US" w:eastAsia="zh-CN"/>
        </w:rPr>
        <w:t>15</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uw7UY1QAAAAYBAAAP&#10;AAAAAAAAAAEAIAAAADgAAABkcnMvZG93bnJldi54bWxQSwECFAAUAAAACACHTuJAParcagUCAAD7&#10;AwAADgAAAAAAAAABACAAAAA6AQAAZHJzL2Uyb0RvYy54bWxQSwUGAAAAAAYABgBZAQAAsQUAAAAA&#10;">
                <v:fill on="f" focussize="0,0"/>
                <v:stroke weight="3pt" color="#FF0000" joinstyle="round"/>
                <v:imagedata o:title=""/>
                <o:lock v:ext="edit" aspectratio="f"/>
              </v:shape>
            </w:pict>
          </mc:Fallback>
        </mc:AlternateContent>
      </w:r>
    </w:p>
    <w:p>
      <w:pPr>
        <w:spacing w:line="640" w:lineRule="exact"/>
        <w:jc w:val="center"/>
        <w:rPr>
          <w:rFonts w:hint="eastAsia" w:ascii="方正小标宋简体" w:hAnsi="方正小标宋简体" w:eastAsia="方正小标宋简体" w:cs="方正小标宋简体"/>
          <w:bCs/>
          <w:color w:val="000000"/>
          <w:sz w:val="44"/>
          <w:szCs w:val="44"/>
          <w:lang w:eastAsia="zh-CN"/>
        </w:rPr>
      </w:pPr>
      <w:r>
        <w:rPr>
          <w:rFonts w:hint="eastAsia" w:ascii="方正小标宋简体" w:hAnsi="方正小标宋简体" w:eastAsia="方正小标宋简体" w:cs="方正小标宋简体"/>
          <w:bCs/>
          <w:color w:val="000000"/>
          <w:sz w:val="44"/>
          <w:szCs w:val="44"/>
        </w:rPr>
        <w:t>宜春市生</w:t>
      </w:r>
      <w:r>
        <w:rPr>
          <w:rFonts w:hint="eastAsia" w:ascii="方正小标宋简体" w:hAnsi="宋体" w:eastAsia="方正小标宋简体"/>
          <w:sz w:val="44"/>
          <w:szCs w:val="44"/>
        </w:rPr>
        <w:t>态环境局</w:t>
      </w:r>
      <w:r>
        <w:rPr>
          <w:rFonts w:hint="eastAsia" w:ascii="方正小标宋简体" w:hAnsi="方正小标宋简体" w:eastAsia="方正小标宋简体" w:cs="方正小标宋简体"/>
          <w:bCs/>
          <w:color w:val="000000"/>
          <w:sz w:val="44"/>
          <w:szCs w:val="44"/>
        </w:rPr>
        <w:t>关于</w:t>
      </w:r>
      <w:r>
        <w:rPr>
          <w:rFonts w:hint="eastAsia" w:ascii="方正小标宋简体" w:hAnsi="方正小标宋简体" w:eastAsia="方正小标宋简体" w:cs="方正小标宋简体"/>
          <w:bCs/>
          <w:color w:val="000000"/>
          <w:sz w:val="44"/>
          <w:szCs w:val="44"/>
          <w:lang w:eastAsia="zh-CN"/>
        </w:rPr>
        <w:t>宜春市泰昌矿业</w:t>
      </w:r>
    </w:p>
    <w:p>
      <w:pPr>
        <w:spacing w:line="640"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lang w:eastAsia="zh-CN"/>
        </w:rPr>
        <w:t>有限公司</w:t>
      </w:r>
      <w:r>
        <w:rPr>
          <w:rFonts w:hint="eastAsia" w:ascii="方正小标宋简体" w:hAnsi="方正小标宋简体" w:eastAsia="方正小标宋简体" w:cs="方正小标宋简体"/>
          <w:bCs/>
          <w:color w:val="000000"/>
          <w:sz w:val="44"/>
          <w:szCs w:val="44"/>
        </w:rPr>
        <w:t>钽铌提取工艺改造项目</w:t>
      </w:r>
    </w:p>
    <w:p>
      <w:pPr>
        <w:spacing w:line="640" w:lineRule="exact"/>
        <w:jc w:val="center"/>
        <w:rPr>
          <w:rFonts w:ascii="方正小标宋简体" w:hAnsi="宋体" w:eastAsia="方正小标宋简体"/>
          <w:sz w:val="44"/>
          <w:szCs w:val="44"/>
        </w:rPr>
      </w:pPr>
      <w:r>
        <w:rPr>
          <w:rFonts w:hint="eastAsia" w:ascii="方正小标宋简体" w:hAnsi="方正小标宋简体" w:eastAsia="方正小标宋简体" w:cs="方正小标宋简体"/>
          <w:bCs/>
          <w:color w:val="000000"/>
          <w:sz w:val="44"/>
          <w:szCs w:val="44"/>
        </w:rPr>
        <w:t>环</w:t>
      </w:r>
      <w:r>
        <w:rPr>
          <w:rFonts w:hint="eastAsia" w:ascii="方正小标宋简体" w:hAnsi="宋体" w:eastAsia="方正小标宋简体"/>
          <w:sz w:val="44"/>
          <w:szCs w:val="44"/>
        </w:rPr>
        <w:t>境影响报告书的批复</w:t>
      </w:r>
    </w:p>
    <w:p>
      <w:pPr>
        <w:spacing w:line="520" w:lineRule="exact"/>
        <w:rPr>
          <w:rFonts w:ascii="仿宋_GB2312" w:hAnsi="仿宋_GB2312" w:eastAsia="仿宋_GB2312" w:cs="仿宋_GB2312"/>
          <w:sz w:val="32"/>
          <w:szCs w:val="32"/>
        </w:rPr>
      </w:pPr>
    </w:p>
    <w:p>
      <w:pPr>
        <w:keepNext w:val="0"/>
        <w:keepLines w:val="0"/>
        <w:pageBreakBefore w:val="0"/>
        <w:kinsoku/>
        <w:wordWrap/>
        <w:overflowPunct/>
        <w:topLinePunct w:val="0"/>
        <w:autoSpaceDE w:val="0"/>
        <w:autoSpaceDN/>
        <w:bidi w:val="0"/>
        <w:snapToGrid w:val="0"/>
        <w:spacing w:line="56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宜春市泰昌矿业有限公司</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N/>
        <w:bidi w:val="0"/>
        <w:snapToGrid w:val="0"/>
        <w:spacing w:line="56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你公司《关于请求审批</w:t>
      </w:r>
      <w:r>
        <w:rPr>
          <w:rFonts w:hint="eastAsia" w:ascii="仿宋_GB2312" w:hAnsi="仿宋" w:eastAsia="仿宋_GB2312" w:cs="仿宋"/>
          <w:color w:val="000000"/>
          <w:sz w:val="32"/>
          <w:szCs w:val="32"/>
        </w:rPr>
        <w:t>〈</w:t>
      </w:r>
      <w:r>
        <w:rPr>
          <w:rFonts w:hint="eastAsia" w:ascii="仿宋_GB2312" w:hAnsi="仿宋_GB2312" w:eastAsia="仿宋_GB2312" w:cs="仿宋_GB2312"/>
          <w:sz w:val="32"/>
          <w:szCs w:val="32"/>
          <w:lang w:eastAsia="zh-CN"/>
        </w:rPr>
        <w:t>宜春市泰昌矿业有限公司</w:t>
      </w:r>
      <w:r>
        <w:rPr>
          <w:rFonts w:hint="eastAsia" w:ascii="仿宋_GB2312" w:hAnsi="仿宋_GB2312" w:eastAsia="仿宋_GB2312" w:cs="仿宋_GB2312"/>
          <w:sz w:val="32"/>
          <w:szCs w:val="32"/>
        </w:rPr>
        <w:t>钽铌提取工艺改造项目环境影响报告书</w:t>
      </w:r>
      <w:r>
        <w:rPr>
          <w:rFonts w:hint="eastAsia" w:ascii="仿宋_GB2312" w:hAnsi="仿宋" w:eastAsia="仿宋_GB2312" w:cs="仿宋"/>
          <w:color w:val="000000"/>
          <w:sz w:val="32"/>
          <w:szCs w:val="32"/>
        </w:rPr>
        <w:t>〉</w:t>
      </w:r>
      <w:r>
        <w:rPr>
          <w:rFonts w:hint="eastAsia" w:ascii="仿宋_GB2312" w:hAnsi="仿宋_GB2312" w:eastAsia="仿宋_GB2312" w:cs="仿宋_GB2312"/>
          <w:sz w:val="32"/>
          <w:szCs w:val="32"/>
        </w:rPr>
        <w:t>的请示》</w:t>
      </w:r>
      <w:r>
        <w:rPr>
          <w:rFonts w:hint="eastAsia" w:ascii="仿宋_GB2312" w:hAnsi="仿宋" w:eastAsia="仿宋_GB2312" w:cs="仿宋"/>
          <w:color w:val="000000"/>
          <w:sz w:val="32"/>
          <w:szCs w:val="32"/>
        </w:rPr>
        <w:t>以及相关资料收悉，经研究，批复如下：</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outlineLvl w:val="0"/>
        <w:rPr>
          <w:rFonts w:hint="eastAsia" w:ascii="黑体" w:hAnsi="黑体" w:eastAsia="黑体"/>
          <w:sz w:val="32"/>
          <w:szCs w:val="32"/>
          <w:lang w:eastAsia="zh-CN"/>
        </w:rPr>
      </w:pPr>
      <w:r>
        <w:rPr>
          <w:rFonts w:hint="eastAsia" w:ascii="黑体" w:hAnsi="黑体" w:eastAsia="黑体"/>
          <w:sz w:val="32"/>
          <w:szCs w:val="32"/>
          <w:lang w:eastAsia="zh-CN"/>
        </w:rPr>
        <w:t>一、项目建设内容及批复意见</w:t>
      </w:r>
    </w:p>
    <w:p>
      <w:pPr>
        <w:keepNext w:val="0"/>
        <w:keepLines w:val="0"/>
        <w:pageBreakBefore w:val="0"/>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（一）项目基本情况。</w:t>
      </w:r>
      <w:r>
        <w:rPr>
          <w:rFonts w:hint="eastAsia" w:ascii="仿宋_GB2312" w:hAnsi="仿宋_GB2312" w:eastAsia="仿宋_GB2312" w:cs="仿宋_GB2312"/>
          <w:sz w:val="32"/>
          <w:szCs w:val="32"/>
          <w:lang w:val="en-US" w:eastAsia="zh-CN"/>
        </w:rPr>
        <w:t>宜春市泰昌矿业有限公司钽铌提取工艺改造项目拟建于宜春市袁州区新坊镇泽布村，厂区地理位置坐标为东经114°26'44.50"、北纬27°44'20.24"，厂区总占地面积134.78亩。本次技改工程在现有厂区内进行，不新增用地。项目东</w:t>
      </w:r>
      <w:r>
        <w:rPr>
          <w:rFonts w:hint="default" w:ascii="仿宋_GB2312" w:hAnsi="仿宋_GB2312" w:eastAsia="仿宋_GB2312" w:cs="仿宋_GB2312"/>
          <w:sz w:val="32"/>
          <w:szCs w:val="32"/>
          <w:lang w:val="en-US" w:eastAsia="zh-CN"/>
        </w:rPr>
        <w:t>侧为林地，南侧为旗胜矿业，西侧为金辉公司，北侧为林地和白路树下居民点</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本项目属技改工程。主要以含锂瓷石矿、浮选剂、水、钢球等为原</w:t>
      </w:r>
      <w:bookmarkStart w:id="0" w:name="_GoBack"/>
      <w:bookmarkEnd w:id="0"/>
      <w:r>
        <w:rPr>
          <w:rFonts w:hint="eastAsia" w:ascii="仿宋_GB2312" w:hAnsi="仿宋_GB2312" w:eastAsia="仿宋_GB2312" w:cs="仿宋_GB2312"/>
          <w:sz w:val="32"/>
          <w:szCs w:val="32"/>
          <w:lang w:val="en-US" w:eastAsia="zh-CN"/>
        </w:rPr>
        <w:t>辅料，为原料，经破碎、球磨、筛分、磁选、重选、浮选等工序达到年处理含锂瓷石矿35万吨的生产规模。</w:t>
      </w:r>
    </w:p>
    <w:p>
      <w:pPr>
        <w:keepNext w:val="0"/>
        <w:keepLines w:val="0"/>
        <w:pageBreakBefore w:val="0"/>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技改后全厂的产品方案：粗长石粉13.86万t/a、中长石粉9.24万t/a、细长石粉6.6t/a、锂云母精矿3.41万t/a、钽铌精矿60t/a。</w:t>
      </w:r>
    </w:p>
    <w:p>
      <w:pPr>
        <w:keepNext w:val="0"/>
        <w:keepLines w:val="0"/>
        <w:pageBreakBefore w:val="0"/>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本项目新增总投资100万元，其中环保投资20万元，占总投资的20%。</w:t>
      </w:r>
    </w:p>
    <w:p>
      <w:pPr>
        <w:keepNext w:val="0"/>
        <w:keepLines w:val="0"/>
        <w:pageBreakBefore w:val="0"/>
        <w:kinsoku/>
        <w:wordWrap/>
        <w:overflowPunct/>
        <w:topLinePunct w:val="0"/>
        <w:autoSpaceDN/>
        <w:bidi w:val="0"/>
        <w:snapToGrid w:val="0"/>
        <w:spacing w:line="560" w:lineRule="exact"/>
        <w:ind w:firstLine="640" w:firstLineChars="200"/>
        <w:textAlignment w:val="auto"/>
        <w:rPr>
          <w:rFonts w:hint="eastAsia"/>
        </w:rPr>
      </w:pPr>
      <w:r>
        <w:rPr>
          <w:rFonts w:hint="eastAsia" w:ascii="楷体_GB2312" w:hAnsi="楷体_GB2312" w:eastAsia="楷体_GB2312" w:cs="楷体_GB2312"/>
          <w:sz w:val="32"/>
          <w:szCs w:val="32"/>
        </w:rPr>
        <w:t>（二）项目批复意见。</w:t>
      </w:r>
      <w:r>
        <w:rPr>
          <w:rFonts w:hint="eastAsia" w:ascii="仿宋_GB2312" w:eastAsia="仿宋_GB2312"/>
          <w:sz w:val="32"/>
          <w:szCs w:val="32"/>
        </w:rPr>
        <w:t>你公司应全面落实《</w:t>
      </w:r>
      <w:r>
        <w:rPr>
          <w:rFonts w:hint="eastAsia" w:ascii="仿宋_GB2312" w:hAnsi="仿宋_GB2312" w:eastAsia="仿宋_GB2312" w:cs="仿宋_GB2312"/>
          <w:sz w:val="32"/>
          <w:szCs w:val="32"/>
          <w:lang w:val="en-US" w:eastAsia="zh-CN"/>
        </w:rPr>
        <w:t>宜春市泰昌矿业有限公司钽铌提取工艺改造项目</w:t>
      </w:r>
      <w:r>
        <w:rPr>
          <w:rFonts w:hint="eastAsia" w:ascii="仿宋_GB2312" w:eastAsia="仿宋_GB2312"/>
          <w:color w:val="000000"/>
          <w:sz w:val="32"/>
          <w:szCs w:val="32"/>
        </w:rPr>
        <w:t>环境影响报告书</w:t>
      </w:r>
      <w:r>
        <w:rPr>
          <w:rFonts w:hint="eastAsia" w:ascii="仿宋_GB2312" w:eastAsia="仿宋_GB2312"/>
          <w:sz w:val="32"/>
          <w:szCs w:val="32"/>
        </w:rPr>
        <w:t>》（以下简称《报告书》）和《</w:t>
      </w:r>
      <w:r>
        <w:rPr>
          <w:rFonts w:hint="eastAsia" w:ascii="仿宋_GB2312" w:hAnsi="仿宋_GB2312" w:eastAsia="仿宋_GB2312" w:cs="仿宋_GB2312"/>
          <w:sz w:val="32"/>
          <w:szCs w:val="32"/>
          <w:lang w:val="en-US" w:eastAsia="zh-CN"/>
        </w:rPr>
        <w:t>宜春市泰昌矿业有限公司钽铌提取工艺改造项目</w:t>
      </w:r>
      <w:r>
        <w:rPr>
          <w:rFonts w:hint="eastAsia" w:ascii="仿宋_GB2312" w:eastAsia="仿宋_GB2312"/>
          <w:sz w:val="32"/>
          <w:szCs w:val="32"/>
        </w:rPr>
        <w:t>环境影响报告书评估意见》（以下简称《评估意见》）提出的各项污染防治措施和环境风险防范措施，缓解和控制不利环境影响。</w:t>
      </w:r>
      <w:r>
        <w:rPr>
          <w:rFonts w:hint="eastAsia" w:ascii="仿宋_GB2312" w:hAnsi="仿宋_GB2312" w:eastAsia="仿宋_GB2312" w:cs="仿宋_GB2312"/>
          <w:color w:val="000000"/>
          <w:sz w:val="32"/>
          <w:szCs w:val="32"/>
        </w:rPr>
        <w:t>从环境保护角度</w:t>
      </w:r>
      <w:r>
        <w:rPr>
          <w:rFonts w:hint="eastAsia" w:ascii="仿宋_GB2312" w:eastAsia="仿宋_GB2312"/>
          <w:sz w:val="32"/>
          <w:szCs w:val="32"/>
        </w:rPr>
        <w:t>我局原则同意《报告书》中所列工程性质、地点、规模、生产工艺和环境保护措施。</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二、污染防治措施及要求</w:t>
      </w:r>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项目在工程设计、建设和生产过程中必须认真落实《报告书》和《评估意见》提出的各项环保要求，严格执行宜春市生态环境保护工作领导小组办公室下发的《宜春市瓷土加工生产企业污染专项整治工作方案》要求进行建设，并重点做好以下几项工作：</w:t>
      </w:r>
    </w:p>
    <w:p>
      <w:pPr>
        <w:keepNext w:val="0"/>
        <w:keepLines w:val="0"/>
        <w:pageBreakBefore w:val="0"/>
        <w:numPr>
          <w:ilvl w:val="0"/>
          <w:numId w:val="0"/>
        </w:numPr>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一</w:t>
      </w:r>
      <w:r>
        <w:rPr>
          <w:rFonts w:ascii="楷体_GB2312" w:hAnsi="楷体_GB2312" w:eastAsia="楷体_GB2312" w:cs="楷体_GB2312"/>
          <w:color w:val="auto"/>
          <w:sz w:val="32"/>
          <w:szCs w:val="32"/>
        </w:rPr>
        <w:t>）</w:t>
      </w:r>
      <w:r>
        <w:rPr>
          <w:rFonts w:hint="eastAsia" w:ascii="楷体_GB2312" w:hAnsi="楷体_GB2312" w:eastAsia="楷体_GB2312" w:cs="楷体_GB2312"/>
          <w:sz w:val="32"/>
          <w:szCs w:val="32"/>
        </w:rPr>
        <w:t>严格落实水污染防治措施。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按“清污分流、雨污分流、分质处理、一水多用”原则，合理制定废水收集、处理方案。项目废水主要为选矿废水、车辆清洗废水、生活污水及初期雨水。</w:t>
      </w:r>
      <w:r>
        <w:rPr>
          <w:rFonts w:hint="eastAsia" w:ascii="仿宋_GB2312" w:hAnsi="仿宋_GB2312" w:eastAsia="仿宋_GB2312" w:cs="仿宋_GB2312"/>
          <w:bCs/>
          <w:snapToGrid w:val="0"/>
          <w:color w:val="auto"/>
          <w:sz w:val="32"/>
          <w:szCs w:val="32"/>
        </w:rPr>
        <w:t>选矿废水</w:t>
      </w:r>
      <w:r>
        <w:rPr>
          <w:rFonts w:hint="eastAsia" w:ascii="仿宋_GB2312" w:hAnsi="仿宋_GB2312" w:eastAsia="仿宋_GB2312" w:cs="仿宋_GB2312"/>
          <w:bCs/>
          <w:snapToGrid w:val="0"/>
          <w:color w:val="auto"/>
          <w:sz w:val="32"/>
          <w:szCs w:val="32"/>
          <w:lang w:val="en-US" w:eastAsia="zh-CN"/>
        </w:rPr>
        <w:t>经二级沉淀池处理回用于生产工序，</w:t>
      </w:r>
      <w:r>
        <w:rPr>
          <w:rFonts w:hint="eastAsia" w:ascii="仿宋_GB2312" w:hAnsi="仿宋_GB2312" w:eastAsia="仿宋_GB2312" w:cs="仿宋_GB2312"/>
          <w:bCs/>
          <w:snapToGrid w:val="0"/>
          <w:color w:val="auto"/>
          <w:sz w:val="32"/>
          <w:szCs w:val="32"/>
          <w:lang w:eastAsia="zh-CN"/>
        </w:rPr>
        <w:t>不外排。</w:t>
      </w:r>
      <w:r>
        <w:rPr>
          <w:rFonts w:hint="eastAsia" w:ascii="仿宋_GB2312" w:hAnsi="仿宋_GB2312" w:eastAsia="仿宋_GB2312" w:cs="仿宋_GB2312"/>
          <w:bCs/>
          <w:snapToGrid w:val="0"/>
          <w:color w:val="auto"/>
          <w:sz w:val="32"/>
          <w:szCs w:val="32"/>
          <w:lang w:val="en-US" w:eastAsia="zh-CN"/>
        </w:rPr>
        <w:t>车辆</w:t>
      </w:r>
      <w:r>
        <w:rPr>
          <w:rFonts w:hint="eastAsia" w:ascii="仿宋_GB2312" w:hAnsi="仿宋_GB2312" w:eastAsia="仿宋_GB2312" w:cs="仿宋_GB2312"/>
          <w:bCs/>
          <w:snapToGrid w:val="0"/>
          <w:color w:val="auto"/>
          <w:sz w:val="32"/>
          <w:szCs w:val="32"/>
          <w:lang w:eastAsia="zh-CN"/>
        </w:rPr>
        <w:t>清洗废水经管道收集至洗车平台沉淀池沉淀后清水重新回用于车辆清洗，不外排。</w:t>
      </w:r>
      <w:r>
        <w:rPr>
          <w:rFonts w:hint="eastAsia" w:ascii="仿宋_GB2312" w:eastAsia="仿宋_GB2312" w:hAnsiTheme="minorHAnsi" w:cstheme="minorBidi"/>
          <w:color w:val="auto"/>
          <w:sz w:val="32"/>
          <w:szCs w:val="32"/>
        </w:rPr>
        <w:t>严格做好雨污分流、雨水沟清淤等措施，</w:t>
      </w:r>
      <w:r>
        <w:rPr>
          <w:rFonts w:ascii="仿宋_GB2312" w:eastAsia="仿宋_GB2312" w:hAnsiTheme="minorHAnsi" w:cstheme="minorBidi"/>
          <w:color w:val="auto"/>
          <w:sz w:val="32"/>
          <w:szCs w:val="32"/>
        </w:rPr>
        <w:t>加强初期雨水收集、处理和回用，</w:t>
      </w:r>
      <w:r>
        <w:rPr>
          <w:rFonts w:hint="eastAsia" w:ascii="仿宋_GB2312" w:eastAsia="仿宋_GB2312" w:hAnsiTheme="minorHAnsi" w:cstheme="minorBidi"/>
          <w:color w:val="auto"/>
          <w:sz w:val="32"/>
          <w:szCs w:val="32"/>
        </w:rPr>
        <w:t>建设足够容量的初期雨水收集池，防止污水通过雨水管沟外排</w:t>
      </w:r>
      <w:r>
        <w:rPr>
          <w:rFonts w:ascii="仿宋_GB2312" w:eastAsia="仿宋_GB2312" w:hAnsiTheme="minorHAnsi" w:cstheme="minorBidi"/>
          <w:color w:val="auto"/>
          <w:sz w:val="32"/>
          <w:szCs w:val="32"/>
        </w:rPr>
        <w:t>；</w:t>
      </w:r>
      <w:r>
        <w:rPr>
          <w:rFonts w:hint="eastAsia" w:ascii="仿宋_GB2312" w:eastAsia="仿宋_GB2312" w:hAnsiTheme="minorHAnsi" w:cstheme="minorBidi"/>
          <w:color w:val="auto"/>
          <w:sz w:val="32"/>
          <w:szCs w:val="32"/>
        </w:rPr>
        <w:t>做好地面灰尘、泥渣的清理，防止污染物随雨水流入外环境；</w:t>
      </w:r>
      <w:r>
        <w:rPr>
          <w:rFonts w:hint="eastAsia" w:ascii="仿宋_GB2312" w:hAnsi="仿宋_GB2312" w:eastAsia="仿宋_GB2312" w:cs="仿宋_GB2312"/>
          <w:bCs/>
          <w:snapToGrid w:val="0"/>
          <w:color w:val="auto"/>
          <w:sz w:val="32"/>
          <w:szCs w:val="32"/>
        </w:rPr>
        <w:t>初期雨水经收集进入厂内初期雨水收集池，经</w:t>
      </w:r>
      <w:r>
        <w:rPr>
          <w:rFonts w:hint="eastAsia" w:ascii="仿宋_GB2312" w:hAnsi="仿宋_GB2312" w:eastAsia="仿宋_GB2312" w:cs="仿宋_GB2312"/>
          <w:bCs/>
          <w:snapToGrid w:val="0"/>
          <w:color w:val="auto"/>
          <w:sz w:val="32"/>
          <w:szCs w:val="32"/>
          <w:lang w:val="en-US" w:eastAsia="zh-CN"/>
        </w:rPr>
        <w:t>三级</w:t>
      </w:r>
      <w:r>
        <w:rPr>
          <w:rFonts w:hint="eastAsia" w:ascii="仿宋_GB2312" w:hAnsi="仿宋_GB2312" w:eastAsia="仿宋_GB2312" w:cs="仿宋_GB2312"/>
          <w:bCs/>
          <w:snapToGrid w:val="0"/>
          <w:color w:val="auto"/>
          <w:sz w:val="32"/>
          <w:szCs w:val="32"/>
        </w:rPr>
        <w:t>沉淀</w:t>
      </w:r>
      <w:r>
        <w:rPr>
          <w:rFonts w:hint="eastAsia" w:ascii="仿宋_GB2312" w:hAnsi="仿宋_GB2312" w:eastAsia="仿宋_GB2312" w:cs="仿宋_GB2312"/>
          <w:color w:val="auto"/>
          <w:sz w:val="32"/>
          <w:szCs w:val="32"/>
        </w:rPr>
        <w:t>处理</w:t>
      </w:r>
      <w:r>
        <w:rPr>
          <w:rFonts w:hint="eastAsia" w:ascii="仿宋_GB2312" w:hAnsi="仿宋_GB2312" w:eastAsia="仿宋_GB2312" w:cs="仿宋_GB2312"/>
          <w:bCs/>
          <w:snapToGrid w:val="0"/>
          <w:color w:val="auto"/>
          <w:sz w:val="32"/>
          <w:szCs w:val="32"/>
        </w:rPr>
        <w:t>后</w:t>
      </w:r>
      <w:r>
        <w:rPr>
          <w:rFonts w:hint="eastAsia" w:ascii="仿宋_GB2312" w:hAnsi="仿宋_GB2312" w:eastAsia="仿宋_GB2312" w:cs="仿宋_GB2312"/>
          <w:color w:val="auto"/>
          <w:sz w:val="32"/>
          <w:szCs w:val="32"/>
          <w:lang w:val="en-US" w:eastAsia="zh-CN"/>
        </w:rPr>
        <w:t>达</w:t>
      </w:r>
      <w:r>
        <w:rPr>
          <w:rFonts w:hint="eastAsia" w:ascii="仿宋_GB2312" w:hAnsi="仿宋_GB2312" w:eastAsia="仿宋_GB2312" w:cs="仿宋_GB2312"/>
          <w:color w:val="auto"/>
          <w:sz w:val="32"/>
          <w:szCs w:val="32"/>
        </w:rPr>
        <w:t>《污水综合排放标准》（GB8978-1996）一级标准</w:t>
      </w:r>
      <w:r>
        <w:rPr>
          <w:rFonts w:hint="eastAsia" w:ascii="仿宋_GB2312" w:hAnsi="仿宋_GB2312" w:eastAsia="仿宋_GB2312" w:cs="仿宋_GB2312"/>
          <w:color w:val="auto"/>
          <w:sz w:val="32"/>
          <w:szCs w:val="32"/>
          <w:lang w:val="en-US" w:eastAsia="zh-CN"/>
        </w:rPr>
        <w:t>后</w:t>
      </w:r>
      <w:r>
        <w:rPr>
          <w:rFonts w:hint="eastAsia" w:ascii="仿宋_GB2312" w:hAnsi="仿宋_GB2312" w:eastAsia="仿宋_GB2312" w:cs="仿宋_GB2312"/>
          <w:color w:val="auto"/>
          <w:sz w:val="32"/>
          <w:szCs w:val="32"/>
        </w:rPr>
        <w:t>外排至新坊河</w:t>
      </w:r>
      <w:r>
        <w:rPr>
          <w:rFonts w:hint="eastAsia" w:ascii="仿宋_GB2312" w:hAnsi="仿宋_GB2312" w:eastAsia="仿宋_GB2312" w:cs="仿宋_GB2312"/>
          <w:bCs/>
          <w:snapToGrid w:val="0"/>
          <w:color w:val="auto"/>
          <w:sz w:val="32"/>
          <w:szCs w:val="32"/>
        </w:rPr>
        <w:t>。</w:t>
      </w:r>
      <w:r>
        <w:rPr>
          <w:rFonts w:hint="eastAsia" w:ascii="仿宋_GB2312" w:hAnsi="仿宋_GB2312" w:eastAsia="仿宋_GB2312" w:cs="仿宋_GB2312"/>
          <w:color w:val="auto"/>
          <w:sz w:val="32"/>
          <w:szCs w:val="32"/>
        </w:rPr>
        <w:t>生活污水经“隔油池+化粪池</w:t>
      </w:r>
      <w:r>
        <w:rPr>
          <w:rFonts w:hint="eastAsia" w:ascii="仿宋_GB2312" w:hAnsi="仿宋_GB2312" w:eastAsia="仿宋_GB2312" w:cs="仿宋_GB2312"/>
          <w:color w:val="auto"/>
          <w:sz w:val="32"/>
          <w:szCs w:val="32"/>
          <w:lang w:val="en-US" w:eastAsia="zh-CN"/>
        </w:rPr>
        <w:t>+一体化污水处理设施</w:t>
      </w:r>
      <w:r>
        <w:rPr>
          <w:rFonts w:hint="eastAsia" w:ascii="仿宋_GB2312" w:hAnsi="仿宋_GB2312" w:eastAsia="仿宋_GB2312" w:cs="仿宋_GB2312"/>
          <w:color w:val="auto"/>
          <w:sz w:val="32"/>
          <w:szCs w:val="32"/>
        </w:rPr>
        <w:t>”处理</w:t>
      </w:r>
      <w:r>
        <w:rPr>
          <w:rFonts w:hint="eastAsia" w:ascii="仿宋_GB2312" w:hAnsi="仿宋_GB2312" w:eastAsia="仿宋_GB2312" w:cs="仿宋_GB2312"/>
          <w:color w:val="auto"/>
          <w:sz w:val="32"/>
          <w:szCs w:val="32"/>
          <w:lang w:val="en-US" w:eastAsia="zh-CN"/>
        </w:rPr>
        <w:t>达</w:t>
      </w:r>
      <w:r>
        <w:rPr>
          <w:rFonts w:hint="eastAsia" w:ascii="仿宋_GB2312" w:hAnsi="仿宋_GB2312" w:eastAsia="仿宋_GB2312" w:cs="仿宋_GB2312"/>
          <w:color w:val="auto"/>
          <w:sz w:val="32"/>
          <w:szCs w:val="32"/>
        </w:rPr>
        <w:t>《污水综合排放标准》（GB8978-1996）一级标准</w:t>
      </w:r>
      <w:r>
        <w:rPr>
          <w:rFonts w:hint="eastAsia" w:ascii="仿宋_GB2312" w:hAnsi="仿宋_GB2312" w:eastAsia="仿宋_GB2312" w:cs="仿宋_GB2312"/>
          <w:color w:val="auto"/>
          <w:sz w:val="32"/>
          <w:szCs w:val="32"/>
          <w:lang w:val="en-US" w:eastAsia="zh-CN"/>
        </w:rPr>
        <w:t>后</w:t>
      </w:r>
      <w:r>
        <w:rPr>
          <w:rFonts w:hint="eastAsia" w:ascii="仿宋_GB2312" w:hAnsi="仿宋_GB2312" w:eastAsia="仿宋_GB2312" w:cs="仿宋_GB2312"/>
          <w:color w:val="auto"/>
          <w:sz w:val="32"/>
          <w:szCs w:val="32"/>
        </w:rPr>
        <w:t>外排至新坊河，</w:t>
      </w:r>
      <w:r>
        <w:rPr>
          <w:rFonts w:hint="eastAsia" w:ascii="仿宋_GB2312" w:hAnsi="仿宋_GB2312" w:eastAsia="仿宋_GB2312" w:cs="仿宋_GB2312"/>
          <w:color w:val="auto"/>
          <w:sz w:val="32"/>
          <w:szCs w:val="32"/>
          <w:lang w:eastAsia="zh-CN"/>
        </w:rPr>
        <w:t>再</w:t>
      </w:r>
      <w:r>
        <w:rPr>
          <w:rFonts w:hint="eastAsia" w:ascii="仿宋_GB2312" w:hAnsi="仿宋_GB2312" w:eastAsia="仿宋_GB2312" w:cs="仿宋_GB2312"/>
          <w:color w:val="auto"/>
          <w:sz w:val="32"/>
          <w:szCs w:val="32"/>
        </w:rPr>
        <w:t>流经</w:t>
      </w:r>
      <w:r>
        <w:rPr>
          <w:rFonts w:hint="eastAsia" w:ascii="仿宋_GB2312" w:hAnsi="仿宋_GB2312" w:eastAsia="仿宋_GB2312" w:cs="仿宋_GB2312"/>
          <w:color w:val="auto"/>
          <w:sz w:val="32"/>
          <w:szCs w:val="32"/>
          <w:lang w:val="en-US" w:eastAsia="zh-CN"/>
        </w:rPr>
        <w:t>7.4</w:t>
      </w:r>
      <w:r>
        <w:rPr>
          <w:rFonts w:hint="eastAsia" w:ascii="仿宋_GB2312" w:hAnsi="仿宋_GB2312" w:eastAsia="仿宋_GB2312" w:cs="仿宋_GB2312"/>
          <w:color w:val="auto"/>
          <w:sz w:val="32"/>
          <w:szCs w:val="32"/>
        </w:rPr>
        <w:t>km后汇入袁河</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ascii="楷体_GB2312" w:hAnsi="楷体_GB2312" w:eastAsia="楷体_GB2312" w:cs="楷体_GB2312"/>
          <w:color w:val="auto"/>
          <w:sz w:val="32"/>
          <w:szCs w:val="32"/>
        </w:rPr>
        <w:t>（二）严格落实大气污染防治措施</w:t>
      </w:r>
      <w:r>
        <w:rPr>
          <w:rFonts w:ascii="仿宋_GB2312" w:hAnsi="Calibri" w:eastAsia="仿宋_GB2312"/>
          <w:color w:val="auto"/>
          <w:sz w:val="32"/>
          <w:szCs w:val="32"/>
        </w:rPr>
        <w:t>。</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 xml:space="preserve">项目运营期废气主要为破碎、筛分工艺中产生的有组织粉尘和中转仓粉尘、输送粉尘、堆场扬尘、装卸扬尘及道路运输扬尘及破碎、筛分工序未收集到的粉尘等无组织废气。   </w:t>
      </w:r>
    </w:p>
    <w:p>
      <w:pPr>
        <w:keepNext w:val="0"/>
        <w:keepLines w:val="0"/>
        <w:pageBreakBefore w:val="0"/>
        <w:numPr>
          <w:ilvl w:val="0"/>
          <w:numId w:val="0"/>
        </w:numPr>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破碎、筛分工艺车间密闭，采用湿法破碎，经“集尘罩收集＋</w:t>
      </w:r>
      <w:r>
        <w:rPr>
          <w:rFonts w:hint="eastAsia" w:ascii="仿宋_GB2312" w:hAnsi="仿宋_GB2312" w:eastAsia="仿宋_GB2312" w:cs="仿宋_GB2312"/>
          <w:i w:val="0"/>
          <w:iCs w:val="0"/>
          <w:color w:val="auto"/>
          <w:kern w:val="0"/>
          <w:sz w:val="32"/>
          <w:szCs w:val="32"/>
          <w:u w:val="none"/>
          <w:lang w:val="en-US" w:eastAsia="zh-CN" w:bidi="ar"/>
        </w:rPr>
        <w:t>气箱脉冲布袋除尘器</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”处理，颗粒物经处理后应满足《大气污染物综合排放标准》(GB16297-1996）表2中二级标准，经1根15m高排气筒外排。</w:t>
      </w:r>
    </w:p>
    <w:p>
      <w:pPr>
        <w:keepNext w:val="0"/>
        <w:keepLines w:val="0"/>
        <w:pageBreakBefore w:val="0"/>
        <w:numPr>
          <w:ilvl w:val="0"/>
          <w:numId w:val="0"/>
        </w:numPr>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采用封闭生产车间，</w:t>
      </w:r>
      <w:r>
        <w:rPr>
          <w:rFonts w:hint="eastAsia" w:ascii="仿宋_GB2312" w:hAnsi="仿宋_GB2312" w:eastAsia="仿宋_GB2312" w:cs="仿宋_GB2312"/>
          <w:bCs/>
          <w:snapToGrid w:val="0"/>
          <w:color w:val="auto"/>
          <w:sz w:val="32"/>
          <w:szCs w:val="32"/>
          <w:lang w:eastAsia="zh-CN"/>
        </w:rPr>
        <w:t>屋顶加设洒水喷淋设施，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定期进行雾炮降尘、洒水、车间地面勤清理的方法抑尘；通过输送带封闭，降低物料落差，对运输车辆加蓬盖，道路硬化，设置喷雾洒水、车辆冲洗平台等措施，加强物料湿度，减少输送、装卸和道路运输粉尘。通过上述措施控制无组织排放，厂界颗粒物无组织排放应达到《大气污染物综合排放标准》(GB16297-1996） 中无组织排放标准要求。</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shd w:val="clear" w:color="auto" w:fill="auto"/>
        </w:rPr>
      </w:pPr>
      <w:r>
        <w:rPr>
          <w:rFonts w:hint="eastAsia" w:ascii="楷体_GB2312" w:hAnsi="楷体_GB2312" w:eastAsia="楷体_GB2312" w:cs="楷体_GB2312"/>
          <w:sz w:val="32"/>
          <w:szCs w:val="32"/>
        </w:rPr>
        <w:t>严格落实噪声污染防治措施。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项目噪声主要来源于各类</w:t>
      </w:r>
      <w:r>
        <w:rPr>
          <w:rFonts w:hint="eastAsia" w:ascii="仿宋_GB2312" w:hAnsi="宋体" w:eastAsia="仿宋_GB2312"/>
          <w:color w:val="auto"/>
          <w:sz w:val="32"/>
          <w:szCs w:val="32"/>
          <w:lang w:val="en-US" w:eastAsia="zh-CN"/>
        </w:rPr>
        <w:t>破碎机、球磨机、高频筛、泵类</w:t>
      </w:r>
      <w:r>
        <w:rPr>
          <w:rFonts w:ascii="仿宋_GB2312" w:hAnsi="宋体" w:eastAsia="仿宋_GB2312"/>
          <w:color w:val="auto"/>
          <w:sz w:val="32"/>
          <w:szCs w:val="32"/>
        </w:rPr>
        <w:t>等设备及车辆运输噪</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声，应采取隔声、减振等降噪措施，定期对隔声罩、减震装置等降噪设施进行检查和维护，维持设备处于良好的运转状态，经厂房、围墙隔音及距离衰减等措施后，</w:t>
      </w:r>
      <w:r>
        <w:rPr>
          <w:rFonts w:hint="eastAsia" w:ascii="仿宋_GB2312" w:hAnsi="仿宋_GB2312" w:eastAsia="仿宋_GB2312" w:cs="仿宋_GB2312"/>
          <w:color w:val="auto"/>
          <w:sz w:val="32"/>
          <w:szCs w:val="32"/>
          <w:shd w:val="clear" w:color="auto" w:fill="auto"/>
        </w:rPr>
        <w:t>东、南、北厂界噪声</w:t>
      </w:r>
      <w:r>
        <w:rPr>
          <w:rFonts w:hint="eastAsia" w:ascii="仿宋_GB2312" w:hAnsi="仿宋_GB2312" w:eastAsia="仿宋_GB2312" w:cs="仿宋_GB2312"/>
          <w:color w:val="auto"/>
          <w:sz w:val="32"/>
          <w:szCs w:val="32"/>
          <w:shd w:val="clear" w:color="auto" w:fill="auto"/>
          <w:lang w:eastAsia="zh-CN"/>
        </w:rPr>
        <w:t>须</w:t>
      </w:r>
      <w:r>
        <w:rPr>
          <w:rFonts w:hint="eastAsia" w:ascii="仿宋_GB2312" w:hAnsi="仿宋_GB2312" w:eastAsia="仿宋_GB2312" w:cs="仿宋_GB2312"/>
          <w:color w:val="auto"/>
          <w:sz w:val="32"/>
          <w:szCs w:val="32"/>
          <w:shd w:val="clear" w:color="auto" w:fill="auto"/>
        </w:rPr>
        <w:t>满足《工业企业厂界环境噪声排放标准》（GB12348-2008）中2类标准</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西厂界噪声</w:t>
      </w:r>
      <w:r>
        <w:rPr>
          <w:rFonts w:hint="eastAsia" w:ascii="仿宋_GB2312" w:hAnsi="仿宋_GB2312" w:eastAsia="仿宋_GB2312" w:cs="仿宋_GB2312"/>
          <w:color w:val="auto"/>
          <w:sz w:val="32"/>
          <w:szCs w:val="32"/>
          <w:shd w:val="clear" w:color="auto" w:fill="auto"/>
          <w:lang w:eastAsia="zh-CN"/>
        </w:rPr>
        <w:t>须</w:t>
      </w:r>
      <w:r>
        <w:rPr>
          <w:rFonts w:hint="eastAsia" w:ascii="仿宋_GB2312" w:hAnsi="仿宋_GB2312" w:eastAsia="仿宋_GB2312" w:cs="仿宋_GB2312"/>
          <w:color w:val="auto"/>
          <w:sz w:val="32"/>
          <w:szCs w:val="32"/>
          <w:shd w:val="clear" w:color="auto" w:fill="auto"/>
        </w:rPr>
        <w:t>满足《工业企业厂界环境噪声排放标准》（GB12348-2008）中</w:t>
      </w:r>
      <w:r>
        <w:rPr>
          <w:rFonts w:hint="eastAsia" w:ascii="仿宋_GB2312" w:hAnsi="仿宋_GB2312" w:eastAsia="仿宋_GB2312" w:cs="仿宋_GB2312"/>
          <w:color w:val="auto"/>
          <w:sz w:val="32"/>
          <w:szCs w:val="32"/>
          <w:shd w:val="clear" w:color="auto" w:fill="auto"/>
          <w:lang w:val="en-US" w:eastAsia="zh-CN"/>
        </w:rPr>
        <w:t>4</w:t>
      </w:r>
      <w:r>
        <w:rPr>
          <w:rFonts w:hint="eastAsia" w:ascii="仿宋_GB2312" w:hAnsi="仿宋_GB2312" w:eastAsia="仿宋_GB2312" w:cs="仿宋_GB2312"/>
          <w:color w:val="auto"/>
          <w:sz w:val="32"/>
          <w:szCs w:val="32"/>
          <w:shd w:val="clear" w:color="auto" w:fill="auto"/>
        </w:rPr>
        <w:t>类标准</w:t>
      </w:r>
      <w:r>
        <w:rPr>
          <w:rFonts w:hint="eastAsia" w:ascii="仿宋_GB2312" w:hAnsi="仿宋_GB2312" w:eastAsia="仿宋_GB2312" w:cs="仿宋_GB2312"/>
          <w:color w:val="auto"/>
          <w:sz w:val="32"/>
          <w:szCs w:val="32"/>
          <w:shd w:val="clear" w:color="auto" w:fill="auto"/>
          <w:lang w:eastAsia="zh-CN"/>
        </w:rPr>
        <w:t>要求</w:t>
      </w:r>
      <w:r>
        <w:rPr>
          <w:rFonts w:hint="eastAsia" w:ascii="仿宋_GB2312" w:hAnsi="仿宋_GB2312" w:eastAsia="仿宋_GB2312" w:cs="仿宋_GB2312"/>
          <w:color w:val="auto"/>
          <w:sz w:val="32"/>
          <w:szCs w:val="32"/>
          <w:shd w:val="clear" w:color="auto" w:fill="auto"/>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严格落实固体废物分类处置和综合利用措施。</w:t>
      </w:r>
      <w:r>
        <w:rPr>
          <w:rFonts w:hint="eastAsia" w:ascii="仿宋_GB2312" w:hAnsi="仿宋_GB2312" w:eastAsia="仿宋_GB2312" w:cs="仿宋_GB2312"/>
          <w:color w:val="auto"/>
          <w:sz w:val="32"/>
          <w:szCs w:val="32"/>
          <w:lang w:val="en-US" w:eastAsia="zh-CN"/>
        </w:rPr>
        <w:t>应按“资源化、减量化、无害化”处置原则，认真落实固废分类收集、处置和综合利用措施。产生的一般工业固体废物应合法处置，生活垃圾收集后由当地环卫部门统一清运处置。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应在厂区内设置足够容积的一般工业固体废物暂存库和危险废物暂存库。危险废物暂存库设计、建设和运行必须满足《危险废物贮存污染控制标准》（GB 18597-2001）及其修改单要求；一般工业固体废物综合利用或合理处置，一般工业固体废物暂存库设计、建设和运行必须满足《一般工业固体废物贮存和填埋污染控制标准》(GB 18599-2020)要求。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（五）严格落实土壤及地下水污染防治措施。</w:t>
      </w:r>
      <w:r>
        <w:rPr>
          <w:rFonts w:hint="eastAsia" w:ascii="仿宋_GB2312" w:hAnsi="仿宋_GB2312" w:eastAsia="仿宋_GB2312" w:cs="仿宋_GB2312"/>
          <w:color w:val="auto"/>
          <w:sz w:val="32"/>
          <w:szCs w:val="32"/>
          <w:lang w:val="en-US" w:eastAsia="zh-CN"/>
        </w:rPr>
        <w:t>按照“源头防控、分区防治、污染监控、应急响应”的原则进行土壤和地下水污染防治。严格按照《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Autospacing="0" w:afterAutospacing="0" w:line="560" w:lineRule="exact"/>
        <w:ind w:left="0" w:right="0"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影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color w:val="auto"/>
          <w:lang w:val="en-US"/>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六</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严格落实辐射防治措施。</w:t>
      </w:r>
      <w:r>
        <w:rPr>
          <w:rFonts w:hint="eastAsia" w:ascii="仿宋_GB2312" w:hAnsi="仿宋_GB2312" w:eastAsia="仿宋_GB2312" w:cs="仿宋_GB2312"/>
          <w:color w:val="auto"/>
          <w:sz w:val="32"/>
          <w:szCs w:val="32"/>
          <w:lang w:val="en-US" w:eastAsia="zh-CN"/>
        </w:rPr>
        <w:t>按照环境影响报告书要求，落实各项放射性污染防治措施，确保辐射环境安全。按照《伴生放射性矿开发利用企业环境辐射监测及信息公开办法（试行）》制定年度辐射环境监测方案，委托有资质单位定期监测，并公开年度监测报告。按照《伴生放射性物料贮存及固体废物填埋辐射环境保护技术规范（试行）》（HJ1114-2020）相关要求建设钽铌精矿产品仓库，钽铌精矿产品按照（HJ1114-2020）的规定进行贮存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）严格落实环境风险防范措施。</w:t>
      </w:r>
      <w:r>
        <w:rPr>
          <w:rFonts w:hint="eastAsia" w:ascii="仿宋_GB2312" w:hAnsi="仿宋_GB2312" w:eastAsia="仿宋_GB2312" w:cs="仿宋_GB2312"/>
          <w:color w:val="auto"/>
          <w:sz w:val="32"/>
          <w:szCs w:val="32"/>
          <w:lang w:val="en-US" w:eastAsia="zh-CN"/>
        </w:rPr>
        <w:t>严格落实《报告书》和《评估意见》提出的各项环境风险防控措施。严格按照有关规范标准的要求对各车间进行管理。在厂区周围设置雨水截流沟，防止山体汇流面雨水对厂区及废水处理设施造成影响；按环评要求规范保障足够容积的事故应急设施，发生事故时，及时启动事故应急池收集泄漏废水、物料等，防止废水直排，并应在发生事故时，立即停止生产，关闭门窗，防止粉尘泄漏至车间外；危废暂存间设置围堰并采取防腐防渗措施，防止废机油泄露至车间外。健全企业环境风险防范与应急管理体系，制定全厂环境风险防控措施和突发环境事件应急预案。突发环境事件应急预案（须报市、县生态环境部门备案）应与园区相邻企业、当地政府进行有效衔接，定期协同有关部门开展应急演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）排污口规范化和环境监测要求。</w:t>
      </w:r>
      <w:r>
        <w:rPr>
          <w:rFonts w:hint="eastAsia" w:ascii="仿宋_GB2312" w:hAnsi="仿宋_GB2312" w:eastAsia="仿宋_GB2312" w:cs="仿宋_GB2312"/>
          <w:color w:val="auto"/>
          <w:sz w:val="32"/>
          <w:szCs w:val="32"/>
          <w:lang w:val="en-US" w:eastAsia="zh-CN"/>
        </w:rPr>
        <w:t>按照国家有关规定设置规范的污染物排放口，并设立标志牌。项目废气和废水排放设施按要求设置永久监测采样口。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九</w:t>
      </w:r>
      <w:r>
        <w:rPr>
          <w:rFonts w:hint="eastAsia" w:ascii="楷体_GB2312" w:hAnsi="楷体_GB2312" w:eastAsia="楷体_GB2312" w:cs="楷体_GB2312"/>
          <w:sz w:val="32"/>
          <w:szCs w:val="32"/>
        </w:rPr>
        <w:t>）项目周围规划控制要求。</w:t>
      </w:r>
      <w:r>
        <w:rPr>
          <w:rFonts w:hint="eastAsia" w:ascii="仿宋_GB2312" w:hAnsi="仿宋_GB2312" w:eastAsia="仿宋_GB2312" w:cs="仿宋_GB2312"/>
          <w:color w:val="auto"/>
          <w:sz w:val="32"/>
          <w:szCs w:val="32"/>
          <w:lang w:val="en-US" w:eastAsia="zh-CN"/>
        </w:rPr>
        <w:t>根据《报告书》和《评估意见》结论，</w:t>
      </w:r>
      <w:r>
        <w:rPr>
          <w:rFonts w:hint="eastAsia" w:ascii="仿宋_GB2312" w:hAnsi="仿宋_GB2312" w:eastAsia="仿宋_GB2312" w:cs="仿宋_GB2312"/>
          <w:snapToGrid w:val="0"/>
          <w:color w:val="000000"/>
          <w:sz w:val="32"/>
          <w:szCs w:val="32"/>
        </w:rPr>
        <w:t>确定本项目</w:t>
      </w:r>
      <w:r>
        <w:rPr>
          <w:rFonts w:hint="eastAsia" w:ascii="仿宋_GB2312" w:hAnsi="Times New Roman" w:eastAsia="仿宋_GB2312" w:cs="Times New Roman"/>
          <w:bCs/>
          <w:color w:val="auto"/>
          <w:sz w:val="32"/>
          <w:szCs w:val="32"/>
        </w:rPr>
        <w:t>破碎车间、</w:t>
      </w:r>
      <w:r>
        <w:rPr>
          <w:rFonts w:hint="eastAsia" w:ascii="仿宋_GB2312" w:hAnsi="Times New Roman" w:eastAsia="仿宋_GB2312" w:cs="Times New Roman"/>
          <w:bCs/>
          <w:color w:val="auto"/>
          <w:sz w:val="32"/>
          <w:szCs w:val="32"/>
          <w:lang w:val="en-US" w:eastAsia="zh-CN"/>
        </w:rPr>
        <w:t>原料仓库、</w:t>
      </w:r>
      <w:r>
        <w:rPr>
          <w:rFonts w:hint="eastAsia" w:ascii="仿宋_GB2312" w:hAnsi="Times New Roman" w:eastAsia="仿宋_GB2312" w:cs="Times New Roman"/>
          <w:bCs/>
          <w:color w:val="auto"/>
          <w:sz w:val="32"/>
          <w:szCs w:val="32"/>
        </w:rPr>
        <w:t>中转仓</w:t>
      </w:r>
      <w:r>
        <w:rPr>
          <w:rFonts w:hint="eastAsia" w:ascii="仿宋_GB2312" w:hAnsi="Times New Roman" w:eastAsia="仿宋_GB2312" w:cs="Times New Roman"/>
          <w:bCs/>
          <w:color w:val="auto"/>
          <w:sz w:val="32"/>
          <w:szCs w:val="32"/>
          <w:lang w:eastAsia="zh-CN"/>
        </w:rPr>
        <w:t>、成品仓库</w:t>
      </w:r>
      <w:r>
        <w:rPr>
          <w:rFonts w:ascii="仿宋_GB2312" w:hAnsi="Times New Roman" w:eastAsia="仿宋_GB2312" w:cs="Times New Roman"/>
          <w:bCs/>
          <w:color w:val="auto"/>
          <w:sz w:val="32"/>
          <w:szCs w:val="32"/>
        </w:rPr>
        <w:t>等</w:t>
      </w:r>
      <w:r>
        <w:rPr>
          <w:rFonts w:hint="eastAsia" w:ascii="仿宋_GB2312" w:hAnsi="仿宋_GB2312" w:eastAsia="仿宋_GB2312" w:cs="仿宋_GB2312"/>
          <w:color w:val="auto"/>
          <w:sz w:val="32"/>
          <w:szCs w:val="32"/>
          <w:lang w:eastAsia="zh-CN"/>
        </w:rPr>
        <w:t>设置</w:t>
      </w:r>
      <w:r>
        <w:rPr>
          <w:rFonts w:hint="eastAsia" w:ascii="仿宋_GB2312" w:hAnsi="仿宋_GB2312" w:eastAsia="仿宋_GB2312" w:cs="仿宋_GB2312"/>
          <w:color w:val="auto"/>
          <w:sz w:val="32"/>
          <w:szCs w:val="32"/>
        </w:rPr>
        <w:t>50m的</w:t>
      </w:r>
      <w:r>
        <w:rPr>
          <w:rFonts w:hint="eastAsia" w:ascii="仿宋_GB2312" w:hAnsi="仿宋_GB2312" w:eastAsia="仿宋_GB2312" w:cs="仿宋_GB2312"/>
          <w:color w:val="auto"/>
          <w:sz w:val="32"/>
          <w:szCs w:val="32"/>
          <w:lang w:eastAsia="zh-CN"/>
        </w:rPr>
        <w:t>卫生防护距离，</w:t>
      </w:r>
      <w:r>
        <w:rPr>
          <w:rFonts w:hint="eastAsia" w:ascii="仿宋_GB2312" w:hAnsi="仿宋_GB2312" w:eastAsia="仿宋_GB2312" w:cs="仿宋_GB2312"/>
          <w:color w:val="auto"/>
          <w:sz w:val="32"/>
          <w:szCs w:val="32"/>
          <w:lang w:val="en-US" w:eastAsia="zh-CN"/>
        </w:rPr>
        <w:t>你公司应配合政府和规划部门做好项目周边规划管控，项目卫生防护距离范围内不得新建居民住宅、学校、医院等环境敏感建筑。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rPr>
        <w:t>）严格落实“以新带老”污染防治措施。</w:t>
      </w:r>
      <w:r>
        <w:rPr>
          <w:rFonts w:hint="eastAsia" w:ascii="仿宋_GB2312" w:hAnsi="仿宋_GB2312" w:eastAsia="仿宋_GB2312" w:cs="仿宋_GB2312"/>
          <w:color w:val="auto"/>
          <w:sz w:val="32"/>
          <w:szCs w:val="32"/>
          <w:lang w:val="en-US" w:eastAsia="zh-CN"/>
        </w:rPr>
        <w:t>应按《评估意见》要求</w:t>
      </w:r>
      <w:r>
        <w:rPr>
          <w:rFonts w:hint="eastAsia" w:ascii="仿宋_GB2312" w:hAnsi="仿宋_GB2312" w:eastAsia="仿宋_GB2312" w:cs="仿宋_GB2312"/>
          <w:caps w:val="0"/>
          <w:smallCaps w:val="0"/>
          <w:color w:val="auto"/>
          <w:sz w:val="32"/>
          <w:szCs w:val="32"/>
          <w:lang w:val="en-US" w:eastAsia="zh-CN"/>
        </w:rPr>
        <w:t>，</w:t>
      </w:r>
      <w:r>
        <w:rPr>
          <w:rFonts w:hint="eastAsia" w:ascii="仿宋_GB2312" w:hAnsi="仿宋_GB2312" w:eastAsia="仿宋_GB2312" w:cs="仿宋_GB2312"/>
          <w:caps w:val="0"/>
          <w:smallCaps w:val="0"/>
          <w:color w:val="auto"/>
          <w:sz w:val="32"/>
          <w:szCs w:val="32"/>
          <w:lang w:eastAsia="zh-CN"/>
        </w:rPr>
        <w:t>完善仓库密闭性建设，对厂内</w:t>
      </w:r>
      <w:r>
        <w:rPr>
          <w:rFonts w:hint="eastAsia" w:ascii="仿宋_GB2312" w:hAnsi="仿宋_GB2312" w:eastAsia="仿宋_GB2312" w:cs="仿宋_GB2312"/>
          <w:bCs/>
          <w:color w:val="auto"/>
          <w:sz w:val="32"/>
          <w:szCs w:val="32"/>
          <w:lang w:val="en-US" w:eastAsia="zh-CN"/>
        </w:rPr>
        <w:t>地面进行硬化处理，并及时清扫路面，</w:t>
      </w:r>
      <w:r>
        <w:rPr>
          <w:rFonts w:hint="eastAsia" w:ascii="仿宋_GB2312" w:hAnsi="仿宋_GB2312" w:eastAsia="仿宋_GB2312" w:cs="仿宋_GB2312"/>
          <w:caps w:val="0"/>
          <w:smallCaps w:val="0"/>
          <w:color w:val="auto"/>
          <w:sz w:val="32"/>
          <w:szCs w:val="32"/>
          <w:lang w:eastAsia="zh-CN"/>
        </w:rPr>
        <w:t>减少无组织扬尘的产生；</w:t>
      </w:r>
      <w:r>
        <w:rPr>
          <w:rFonts w:hint="eastAsia" w:ascii="仿宋_GB2312" w:hAnsi="仿宋_GB2312" w:eastAsia="仿宋_GB2312" w:cs="仿宋_GB2312"/>
          <w:bCs/>
          <w:color w:val="auto"/>
          <w:sz w:val="32"/>
          <w:szCs w:val="32"/>
          <w:lang w:val="en-US" w:eastAsia="zh-CN"/>
        </w:rPr>
        <w:t>加强各水池防渗措施，破裂路面及时维修，对全厂生产废水排放节点、管网进行检查，及时封堵，杜绝生产废水排入雨水沟；</w:t>
      </w:r>
      <w:r>
        <w:rPr>
          <w:rFonts w:hint="eastAsia" w:ascii="仿宋_GB2312" w:hAnsi="仿宋_GB2312" w:eastAsia="仿宋_GB2312" w:cs="仿宋_GB2312"/>
          <w:caps w:val="0"/>
          <w:smallCaps w:val="0"/>
          <w:color w:val="auto"/>
          <w:sz w:val="32"/>
          <w:szCs w:val="32"/>
          <w:lang w:eastAsia="zh-CN"/>
        </w:rPr>
        <w:t>落实对全厂区</w:t>
      </w:r>
      <w:r>
        <w:rPr>
          <w:rFonts w:hint="eastAsia" w:ascii="仿宋_GB2312" w:hAnsi="仿宋_GB2312" w:eastAsia="仿宋_GB2312" w:cs="仿宋_GB2312"/>
          <w:bCs/>
          <w:color w:val="auto"/>
          <w:sz w:val="32"/>
          <w:szCs w:val="32"/>
          <w:lang w:val="en-US" w:eastAsia="zh-CN"/>
        </w:rPr>
        <w:t>进行防雨、防淋溶整改，屋顶进行密封，四周设置一定高度围堰及截排水沟等措施。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十一</w:t>
      </w:r>
      <w:r>
        <w:rPr>
          <w:rFonts w:hint="eastAsia" w:ascii="楷体_GB2312" w:hAnsi="楷体_GB2312" w:eastAsia="楷体_GB2312" w:cs="楷体_GB2312"/>
          <w:sz w:val="32"/>
          <w:szCs w:val="32"/>
        </w:rPr>
        <w:t>）环境信息公开要求。</w:t>
      </w:r>
      <w:r>
        <w:rPr>
          <w:rFonts w:hint="eastAsia" w:ascii="仿宋_GB2312" w:hAnsi="仿宋_GB2312" w:eastAsia="仿宋_GB2312" w:cs="仿宋_GB2312"/>
          <w:color w:val="auto"/>
          <w:sz w:val="32"/>
          <w:szCs w:val="32"/>
          <w:lang w:val="en-US" w:eastAsia="zh-CN"/>
        </w:rPr>
        <w:t>你公司应依法实施信息公开，接受社会监督。项目投产后应定期公示企业环境报告，公布污染物排放和环境管理情况。</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三、项目建设和竣工验收的环保要求</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本项目建设必须严格执行环境保护设施与主体工程同时设计、同时施工、同时投入使用的环境保护“三同时”制度，落实环境影响报告书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widowControl w:val="0"/>
        <w:kinsoku/>
        <w:wordWrap/>
        <w:overflowPunct/>
        <w:topLinePunct w:val="0"/>
        <w:autoSpaceDN/>
        <w:bidi w:val="0"/>
        <w:adjustRightInd/>
        <w:spacing w:line="56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四、其他环保要求</w:t>
      </w:r>
    </w:p>
    <w:p>
      <w:pPr>
        <w:keepNext w:val="0"/>
        <w:keepLines w:val="0"/>
        <w:pageBreakBefore w:val="0"/>
        <w:widowControl w:val="0"/>
        <w:kinsoku/>
        <w:wordWrap/>
        <w:overflowPunct/>
        <w:topLinePunct w:val="0"/>
        <w:autoSpaceDE w:val="0"/>
        <w:autoSpaceDN/>
        <w:bidi w:val="0"/>
        <w:adjustRightInd w:val="0"/>
        <w:snapToGrid w:val="0"/>
        <w:spacing w:line="560" w:lineRule="exact"/>
        <w:ind w:firstLine="640" w:firstLineChars="200"/>
        <w:textAlignment w:val="auto"/>
        <w:rPr>
          <w:rFonts w:ascii="仿宋_GB2312" w:eastAsia="仿宋_GB2312"/>
          <w:color w:val="000000"/>
          <w:sz w:val="32"/>
          <w:szCs w:val="32"/>
        </w:rPr>
      </w:pPr>
      <w:r>
        <w:rPr>
          <w:rFonts w:hint="eastAsia" w:ascii="楷体" w:hAnsi="楷体" w:eastAsia="楷体" w:cs="楷体"/>
          <w:color w:val="000000"/>
          <w:sz w:val="32"/>
          <w:szCs w:val="32"/>
        </w:rPr>
        <w:t>（一）项目变更环保要求。</w:t>
      </w:r>
      <w:r>
        <w:rPr>
          <w:rFonts w:hint="eastAsia" w:ascii="仿宋_GB2312" w:hAnsi="Calibri" w:eastAsia="仿宋_GB2312"/>
          <w:color w:val="000000"/>
          <w:sz w:val="32"/>
          <w:szCs w:val="32"/>
          <w:lang w:eastAsia="zh-CN"/>
        </w:rPr>
        <w:t>本项目批准后</w:t>
      </w:r>
      <w:r>
        <w:rPr>
          <w:rFonts w:hint="eastAsia" w:ascii="仿宋_GB2312" w:hAnsi="Calibri" w:eastAsia="仿宋_GB2312"/>
          <w:color w:val="000000"/>
          <w:sz w:val="32"/>
          <w:szCs w:val="32"/>
        </w:rPr>
        <w:t>，若项目建设性质、规模、地点、内容、采用的生产工艺或者防治污染的措施等发生重大变化应重新报批环境影响评价文件，审批后超过5年方动工建设的，应当报我局重新审核。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楷体" w:hAnsi="楷体" w:eastAsia="楷体" w:cs="楷体"/>
          <w:color w:val="000000"/>
          <w:sz w:val="32"/>
          <w:szCs w:val="32"/>
        </w:rPr>
      </w:pPr>
      <w:r>
        <w:rPr>
          <w:rFonts w:hint="eastAsia" w:ascii="楷体" w:hAnsi="楷体" w:eastAsia="楷体" w:cs="楷体"/>
          <w:color w:val="000000"/>
          <w:sz w:val="32"/>
          <w:szCs w:val="32"/>
        </w:rPr>
        <w:t>（二）排污许可要求。</w:t>
      </w:r>
      <w:r>
        <w:rPr>
          <w:rFonts w:hint="eastAsia" w:ascii="仿宋_GB2312" w:hAnsi="仿宋_GB2312" w:eastAsia="仿宋_GB2312" w:cs="仿宋_GB2312"/>
          <w:bCs/>
          <w:color w:val="000000"/>
          <w:sz w:val="32"/>
          <w:szCs w:val="32"/>
        </w:rPr>
        <w:t>你公司应在启动生产设施或者发生实际排污之前申请取得排污许可证或填报排污登记表。</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eastAsia="仿宋_GB2312"/>
          <w:color w:val="000000"/>
          <w:sz w:val="32"/>
          <w:szCs w:val="32"/>
        </w:rPr>
      </w:pPr>
      <w:r>
        <w:rPr>
          <w:rFonts w:hint="eastAsia" w:ascii="楷体" w:hAnsi="楷体" w:eastAsia="楷体" w:cs="楷体"/>
          <w:color w:val="000000"/>
          <w:sz w:val="32"/>
          <w:szCs w:val="32"/>
        </w:rPr>
        <w:t>（三）日常环保监管。</w:t>
      </w:r>
      <w:r>
        <w:rPr>
          <w:rFonts w:hint="eastAsia" w:ascii="仿宋_GB2312" w:eastAsia="仿宋_GB2312"/>
          <w:color w:val="000000"/>
          <w:sz w:val="32"/>
          <w:szCs w:val="32"/>
        </w:rPr>
        <w:t>请</w:t>
      </w:r>
      <w:r>
        <w:rPr>
          <w:rFonts w:hint="eastAsia" w:ascii="仿宋_GB2312" w:eastAsia="仿宋_GB2312"/>
          <w:color w:val="000000"/>
          <w:sz w:val="32"/>
          <w:szCs w:val="32"/>
          <w:lang w:val="en-US" w:eastAsia="zh-CN"/>
        </w:rPr>
        <w:t>宜春市生态环境保护综合执法支队和</w:t>
      </w:r>
      <w:r>
        <w:rPr>
          <w:rFonts w:hint="eastAsia" w:ascii="仿宋_GB2312" w:eastAsia="仿宋_GB2312"/>
          <w:color w:val="000000"/>
          <w:sz w:val="32"/>
          <w:szCs w:val="32"/>
        </w:rPr>
        <w:t>宜春市</w:t>
      </w:r>
      <w:r>
        <w:rPr>
          <w:rFonts w:hint="eastAsia" w:ascii="仿宋_GB2312" w:eastAsia="仿宋_GB2312"/>
          <w:color w:val="000000"/>
          <w:sz w:val="32"/>
          <w:szCs w:val="32"/>
          <w:lang w:eastAsia="zh-CN"/>
        </w:rPr>
        <w:t>袁州</w:t>
      </w:r>
      <w:r>
        <w:rPr>
          <w:rFonts w:hint="eastAsia" w:ascii="仿宋_GB2312" w:eastAsia="仿宋_GB2312"/>
          <w:color w:val="000000"/>
          <w:sz w:val="32"/>
          <w:szCs w:val="32"/>
        </w:rPr>
        <w:t>生态环境局加强对该项目的环境监管，你公司应在收到本批复后20个工作日内，将批准后的</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报告书</w:t>
      </w:r>
      <w:r>
        <w:rPr>
          <w:rFonts w:hint="eastAsia" w:ascii="仿宋_GB2312" w:eastAsia="仿宋_GB2312"/>
          <w:color w:val="000000"/>
          <w:sz w:val="32"/>
          <w:szCs w:val="32"/>
          <w:lang w:eastAsia="zh-CN"/>
        </w:rPr>
        <w:t>》</w:t>
      </w:r>
      <w:r>
        <w:rPr>
          <w:rFonts w:hint="eastAsia" w:ascii="仿宋_GB2312" w:eastAsia="仿宋_GB2312"/>
          <w:color w:val="000000"/>
          <w:sz w:val="32"/>
          <w:szCs w:val="32"/>
        </w:rPr>
        <w:t>送至宜春市</w:t>
      </w:r>
      <w:r>
        <w:rPr>
          <w:rFonts w:hint="eastAsia" w:ascii="仿宋_GB2312" w:eastAsia="仿宋_GB2312"/>
          <w:color w:val="000000"/>
          <w:sz w:val="32"/>
          <w:szCs w:val="32"/>
          <w:lang w:eastAsia="zh-CN"/>
        </w:rPr>
        <w:t>袁州</w:t>
      </w:r>
      <w:r>
        <w:rPr>
          <w:rFonts w:hint="eastAsia" w:ascii="仿宋_GB2312" w:eastAsia="仿宋_GB2312"/>
          <w:color w:val="000000"/>
          <w:sz w:val="32"/>
          <w:szCs w:val="32"/>
        </w:rPr>
        <w:t>生态环境局并按规定接受各级生态环境主管部门的监督检查。</w:t>
      </w:r>
    </w:p>
    <w:p>
      <w:pPr>
        <w:keepNext w:val="0"/>
        <w:keepLines w:val="0"/>
        <w:pageBreakBefore w:val="0"/>
        <w:widowControl/>
        <w:suppressLineNumbers w:val="0"/>
        <w:kinsoku/>
        <w:wordWrap/>
        <w:overflowPunct/>
        <w:topLinePunct w:val="0"/>
        <w:autoSpaceDN/>
        <w:bidi w:val="0"/>
        <w:spacing w:line="560" w:lineRule="exact"/>
        <w:ind w:firstLine="640" w:firstLineChars="200"/>
        <w:jc w:val="left"/>
        <w:textAlignment w:val="auto"/>
      </w:pPr>
      <w:r>
        <w:rPr>
          <w:rFonts w:hint="eastAsia" w:ascii="楷体" w:hAnsi="楷体" w:eastAsia="楷体" w:cs="楷体"/>
          <w:color w:val="000000"/>
          <w:sz w:val="32"/>
          <w:szCs w:val="32"/>
        </w:rPr>
        <w:t>（四）其他管理要求。</w:t>
      </w:r>
      <w:r>
        <w:rPr>
          <w:rFonts w:hint="eastAsia" w:ascii="仿宋_GB2312" w:eastAsia="仿宋_GB2312"/>
          <w:color w:val="000000"/>
          <w:sz w:val="32"/>
          <w:szCs w:val="32"/>
          <w:lang w:val="en-US" w:eastAsia="zh-CN"/>
        </w:rPr>
        <w:t>项目产品长石粉应有明确可行的下游销售渠道。如暂时无法外售，应参照《一般工业固体废物贮存和填埋污染控制标准》要求进行管理，并建立专门台账，不得随意倾倒，污染环境。</w:t>
      </w:r>
    </w:p>
    <w:p>
      <w:pPr>
        <w:rPr>
          <w:rFonts w:hint="eastAsia"/>
          <w:lang w:val="en-US" w:eastAsia="zh-CN"/>
        </w:rPr>
      </w:pPr>
    </w:p>
    <w:p>
      <w:pPr>
        <w:wordWrap w:val="0"/>
        <w:spacing w:line="500" w:lineRule="exact"/>
        <w:ind w:right="1077"/>
        <w:jc w:val="right"/>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 xml:space="preserve"> </w:t>
      </w:r>
    </w:p>
    <w:p>
      <w:pPr>
        <w:pStyle w:val="21"/>
        <w:rPr>
          <w:rFonts w:hint="eastAsia"/>
          <w:lang w:val="en-US" w:eastAsia="zh-CN"/>
        </w:rPr>
      </w:pPr>
    </w:p>
    <w:p>
      <w:pPr>
        <w:spacing w:line="500" w:lineRule="exact"/>
        <w:ind w:right="1077"/>
        <w:jc w:val="right"/>
        <w:rPr>
          <w:rFonts w:ascii="仿宋_GB2312" w:hAnsi="华文仿宋" w:eastAsia="仿宋_GB2312"/>
          <w:sz w:val="32"/>
          <w:szCs w:val="32"/>
        </w:rPr>
      </w:pPr>
      <w:r>
        <w:rPr>
          <w:rFonts w:hint="eastAsia" w:ascii="仿宋_GB2312" w:hAnsi="华文仿宋" w:eastAsia="仿宋_GB2312"/>
          <w:sz w:val="32"/>
          <w:szCs w:val="32"/>
        </w:rPr>
        <w:t>宜春市生态环境局</w:t>
      </w:r>
    </w:p>
    <w:p>
      <w:pPr>
        <w:tabs>
          <w:tab w:val="left" w:pos="7655"/>
          <w:tab w:val="left" w:pos="7797"/>
        </w:tabs>
        <w:spacing w:line="500" w:lineRule="exact"/>
        <w:ind w:firstLine="80" w:firstLineChars="25"/>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p>
    <w:p>
      <w:pPr>
        <w:pStyle w:val="20"/>
        <w:spacing w:line="560" w:lineRule="exact"/>
        <w:outlineLvl w:val="9"/>
        <w:rPr>
          <w:rFonts w:hint="eastAsia" w:ascii="仿宋_GB2312" w:hAnsi="Calibri" w:eastAsia="仿宋_GB2312" w:cs="Times New Roman"/>
          <w:b w:val="0"/>
          <w:bCs w:val="0"/>
          <w:color w:val="000000"/>
          <w:kern w:val="2"/>
          <w:sz w:val="32"/>
          <w:szCs w:val="32"/>
          <w:lang w:val="en-US" w:eastAsia="zh-CN" w:bidi="ar-SA"/>
        </w:rPr>
      </w:pPr>
    </w:p>
    <w:p>
      <w:pPr>
        <w:pStyle w:val="20"/>
        <w:spacing w:line="560" w:lineRule="exact"/>
        <w:outlineLvl w:val="9"/>
        <w:rPr>
          <w:rFonts w:hint="eastAsia" w:ascii="仿宋_GB2312" w:hAnsi="Calibri" w:eastAsia="仿宋_GB2312" w:cs="Times New Roman"/>
          <w:b w:val="0"/>
          <w:bCs w:val="0"/>
          <w:color w:val="000000"/>
          <w:kern w:val="2"/>
          <w:sz w:val="32"/>
          <w:szCs w:val="32"/>
          <w:lang w:val="en-US" w:eastAsia="zh-CN" w:bidi="ar-SA"/>
        </w:rPr>
      </w:pPr>
      <w:r>
        <w:rPr>
          <w:rFonts w:hint="eastAsia" w:ascii="仿宋_GB2312" w:hAnsi="Calibri" w:eastAsia="仿宋_GB2312" w:cs="Times New Roman"/>
          <w:b w:val="0"/>
          <w:bCs w:val="0"/>
          <w:color w:val="000000"/>
          <w:kern w:val="2"/>
          <w:sz w:val="32"/>
          <w:szCs w:val="32"/>
          <w:lang w:val="en-US" w:eastAsia="zh-CN" w:bidi="ar-SA"/>
        </w:rPr>
        <w:t>（此件主动公开）</w:t>
      </w:r>
    </w:p>
    <w:p>
      <w:pPr>
        <w:pStyle w:val="21"/>
        <w:rPr>
          <w:rFonts w:hint="eastAsia"/>
          <w:lang w:val="en-US" w:eastAsia="zh-CN"/>
        </w:rPr>
      </w:pPr>
    </w:p>
    <w:p>
      <w:pPr>
        <w:spacing w:line="120" w:lineRule="exact"/>
        <w:rPr>
          <w:rFonts w:hint="eastAsia" w:ascii="仿宋_GB2312" w:eastAsia="仿宋_GB2312"/>
          <w:color w:val="auto"/>
          <w:sz w:val="30"/>
          <w:szCs w:val="30"/>
          <w:u w:val="single"/>
        </w:rPr>
      </w:pPr>
    </w:p>
    <w:p>
      <w:pPr>
        <w:spacing w:line="120" w:lineRule="exact"/>
        <w:rPr>
          <w:rFonts w:hint="eastAsia" w:ascii="仿宋_GB2312" w:eastAsia="仿宋_GB2312"/>
          <w:color w:val="auto"/>
          <w:sz w:val="30"/>
          <w:szCs w:val="30"/>
          <w:u w:val="single"/>
        </w:rPr>
      </w:pPr>
    </w:p>
    <w:p>
      <w:pPr>
        <w:spacing w:line="120" w:lineRule="exact"/>
        <w:rPr>
          <w:rFonts w:hint="eastAsia" w:ascii="仿宋_GB2312" w:eastAsia="仿宋_GB2312"/>
          <w:color w:val="auto"/>
          <w:sz w:val="30"/>
          <w:szCs w:val="30"/>
          <w:u w:val="single"/>
        </w:rPr>
      </w:pPr>
    </w:p>
    <w:p>
      <w:pPr>
        <w:spacing w:line="120" w:lineRule="exact"/>
        <w:rPr>
          <w:rFonts w:hint="eastAsia" w:ascii="仿宋_GB2312" w:eastAsia="仿宋_GB2312"/>
          <w:color w:val="auto"/>
          <w:sz w:val="30"/>
          <w:szCs w:val="30"/>
          <w:u w:val="single"/>
        </w:rPr>
      </w:pPr>
    </w:p>
    <w:p>
      <w:pPr>
        <w:spacing w:line="120" w:lineRule="exact"/>
        <w:rPr>
          <w:rFonts w:hint="eastAsia" w:ascii="仿宋_GB2312" w:eastAsia="仿宋_GB2312"/>
          <w:color w:val="auto"/>
          <w:sz w:val="30"/>
          <w:szCs w:val="30"/>
          <w:u w:val="single"/>
        </w:rPr>
      </w:pPr>
    </w:p>
    <w:p>
      <w:pPr>
        <w:spacing w:line="120" w:lineRule="exact"/>
        <w:rPr>
          <w:rFonts w:hint="eastAsia" w:ascii="仿宋_GB2312" w:eastAsia="仿宋_GB2312"/>
          <w:color w:val="auto"/>
          <w:sz w:val="30"/>
          <w:szCs w:val="30"/>
          <w:u w:val="single"/>
        </w:rPr>
      </w:pPr>
    </w:p>
    <w:p>
      <w:pPr>
        <w:spacing w:line="120" w:lineRule="exact"/>
        <w:rPr>
          <w:rFonts w:hint="eastAsia" w:ascii="仿宋_GB2312" w:eastAsia="仿宋_GB2312"/>
          <w:color w:val="auto"/>
          <w:sz w:val="30"/>
          <w:szCs w:val="30"/>
          <w:u w:val="single"/>
        </w:rPr>
      </w:pPr>
    </w:p>
    <w:p>
      <w:pPr>
        <w:spacing w:line="120" w:lineRule="exact"/>
        <w:rPr>
          <w:rFonts w:hint="eastAsia" w:ascii="仿宋_GB2312" w:eastAsia="仿宋_GB2312"/>
          <w:color w:val="auto"/>
          <w:sz w:val="30"/>
          <w:szCs w:val="30"/>
          <w:u w:val="single"/>
        </w:rPr>
      </w:pPr>
    </w:p>
    <w:p>
      <w:pPr>
        <w:spacing w:line="120" w:lineRule="exact"/>
        <w:rPr>
          <w:rFonts w:hint="eastAsia" w:ascii="仿宋_GB2312" w:eastAsia="仿宋_GB2312"/>
          <w:color w:val="auto"/>
          <w:sz w:val="30"/>
          <w:szCs w:val="30"/>
          <w:u w:val="single"/>
        </w:rPr>
      </w:pPr>
    </w:p>
    <w:p>
      <w:pPr>
        <w:spacing w:line="120" w:lineRule="exact"/>
        <w:rPr>
          <w:rFonts w:hint="eastAsia" w:ascii="仿宋_GB2312" w:eastAsia="仿宋_GB2312"/>
          <w:color w:val="auto"/>
          <w:sz w:val="30"/>
          <w:szCs w:val="30"/>
          <w:u w:val="single"/>
        </w:rPr>
      </w:pPr>
      <w:r>
        <w:rPr>
          <w:rFonts w:hint="eastAsia" w:ascii="仿宋_GB2312" w:eastAsia="仿宋_GB2312"/>
          <w:color w:val="auto"/>
          <w:sz w:val="30"/>
          <w:szCs w:val="30"/>
          <w:u w:val="single"/>
        </w:rPr>
        <w:t xml:space="preserve">                                                           </w:t>
      </w:r>
    </w:p>
    <w:p>
      <w:pPr>
        <w:spacing w:line="500" w:lineRule="exact"/>
        <w:ind w:left="1050" w:leftChars="100" w:right="210" w:rightChars="100" w:hanging="840" w:hangingChars="300"/>
        <w:rPr>
          <w:rFonts w:hint="eastAsia"/>
          <w:lang w:eastAsia="zh-CN"/>
        </w:rPr>
      </w:pPr>
      <w:r>
        <w:rPr>
          <w:rFonts w:hint="eastAsia" w:ascii="仿宋_GB2312" w:hAnsi="宋体" w:eastAsia="仿宋_GB2312"/>
          <w:snapToGrid w:val="0"/>
          <w:color w:val="auto"/>
          <w:sz w:val="28"/>
          <w:szCs w:val="28"/>
        </w:rPr>
        <w:t>抄送:</w:t>
      </w:r>
      <w:r>
        <w:rPr>
          <w:rFonts w:hint="eastAsia"/>
          <w:color w:val="auto"/>
        </w:rPr>
        <w:t xml:space="preserve"> </w:t>
      </w:r>
      <w:r>
        <w:rPr>
          <w:rFonts w:hint="eastAsia" w:ascii="仿宋_GB2312" w:hAnsi="华文仿宋" w:eastAsia="仿宋_GB2312"/>
          <w:spacing w:val="-6"/>
          <w:sz w:val="28"/>
          <w:szCs w:val="32"/>
          <w:lang w:eastAsia="zh-CN"/>
        </w:rPr>
        <w:t>袁州区</w:t>
      </w:r>
      <w:r>
        <w:rPr>
          <w:rFonts w:hint="eastAsia" w:ascii="仿宋_GB2312" w:hAnsi="华文仿宋" w:eastAsia="仿宋_GB2312"/>
          <w:spacing w:val="-6"/>
          <w:sz w:val="28"/>
          <w:szCs w:val="32"/>
        </w:rPr>
        <w:t>人民政府，宜春市</w:t>
      </w:r>
      <w:r>
        <w:rPr>
          <w:rFonts w:hint="eastAsia" w:ascii="仿宋_GB2312" w:hAnsi="华文仿宋" w:eastAsia="仿宋_GB2312"/>
          <w:spacing w:val="-6"/>
          <w:sz w:val="28"/>
          <w:szCs w:val="32"/>
          <w:lang w:eastAsia="zh-CN"/>
        </w:rPr>
        <w:t>袁州</w:t>
      </w:r>
      <w:r>
        <w:rPr>
          <w:rFonts w:hint="eastAsia" w:ascii="仿宋_GB2312" w:hAnsi="华文仿宋" w:eastAsia="仿宋_GB2312"/>
          <w:spacing w:val="-6"/>
          <w:sz w:val="28"/>
          <w:szCs w:val="32"/>
        </w:rPr>
        <w:t>生态环境局，局相关科室，局直属关单位，</w:t>
      </w:r>
      <w:r>
        <w:rPr>
          <w:rFonts w:hint="eastAsia" w:ascii="仿宋_GB2312" w:eastAsia="仿宋_GB2312"/>
          <w:snapToGrid w:val="0"/>
          <w:color w:val="auto"/>
          <w:w w:val="98"/>
          <w:sz w:val="28"/>
          <w:szCs w:val="28"/>
          <w:highlight w:val="none"/>
          <w:lang w:val="en-US" w:eastAsia="zh-CN"/>
        </w:rPr>
        <w:t>核工业二七0</w:t>
      </w:r>
      <w:r>
        <w:rPr>
          <w:rFonts w:hint="eastAsia" w:ascii="仿宋_GB2312" w:hAnsi="华文仿宋" w:eastAsia="仿宋_GB2312"/>
          <w:spacing w:val="-6"/>
          <w:sz w:val="28"/>
          <w:szCs w:val="32"/>
          <w:lang w:val="en-US" w:eastAsia="zh-CN"/>
        </w:rPr>
        <w:t>研究所</w:t>
      </w:r>
      <w:r>
        <w:rPr>
          <w:rFonts w:hint="eastAsia" w:ascii="仿宋_GB2312" w:hAnsi="华文仿宋" w:eastAsia="仿宋_GB2312"/>
          <w:spacing w:val="-6"/>
          <w:sz w:val="28"/>
          <w:szCs w:val="32"/>
        </w:rPr>
        <w:t>。</w:t>
      </w:r>
    </w:p>
    <w:p>
      <w:pPr>
        <w:spacing w:line="120" w:lineRule="exact"/>
        <w:rPr>
          <w:rFonts w:hint="eastAsia" w:ascii="仿宋_GB2312" w:eastAsia="仿宋_GB2312"/>
          <w:color w:val="auto"/>
          <w:sz w:val="30"/>
          <w:szCs w:val="30"/>
          <w:u w:val="single"/>
        </w:rPr>
      </w:pPr>
      <w:r>
        <w:rPr>
          <w:rFonts w:hint="eastAsia" w:ascii="仿宋_GB2312" w:eastAsia="仿宋_GB2312"/>
          <w:color w:val="auto"/>
          <w:sz w:val="30"/>
          <w:szCs w:val="30"/>
          <w:u w:val="single"/>
        </w:rPr>
        <w:t xml:space="preserve">                                                            </w:t>
      </w:r>
    </w:p>
    <w:p>
      <w:pPr>
        <w:spacing w:line="500" w:lineRule="exact"/>
        <w:ind w:left="210" w:leftChars="100" w:right="210" w:rightChars="100"/>
        <w:rPr>
          <w:rFonts w:hint="eastAsia" w:ascii="仿宋_GB2312" w:hAnsi="仿宋_GB2312" w:eastAsia="仿宋_GB2312" w:cs="仿宋_GB2312"/>
          <w:color w:val="auto"/>
          <w:sz w:val="28"/>
          <w:szCs w:val="28"/>
        </w:rPr>
      </w:pPr>
      <w:r>
        <w:rPr>
          <w:rFonts w:hint="eastAsia" w:ascii="仿宋_GB2312" w:eastAsia="仿宋_GB2312"/>
          <w:color w:val="000000"/>
          <w:sz w:val="28"/>
          <w:szCs w:val="32"/>
        </w:rPr>
        <w:t>宜春市生态环境局秘书科</w:t>
      </w:r>
      <w:r>
        <w:rPr>
          <w:rFonts w:hint="eastAsia" w:ascii="仿宋_GB2312" w:eastAsia="仿宋_GB2312"/>
          <w:color w:val="000000"/>
          <w:sz w:val="28"/>
          <w:szCs w:val="32"/>
          <w:lang w:val="en-US" w:eastAsia="zh-CN"/>
        </w:rPr>
        <w:t xml:space="preserve">              </w:t>
      </w:r>
      <w:r>
        <w:rPr>
          <w:rFonts w:hint="eastAsia" w:ascii="仿宋_GB2312" w:eastAsia="仿宋_GB2312"/>
          <w:color w:val="auto"/>
          <w:w w:val="90"/>
          <w:sz w:val="28"/>
          <w:szCs w:val="28"/>
          <w:lang w:val="en-US" w:eastAsia="zh-CN"/>
        </w:rPr>
        <w:t xml:space="preserve">     </w:t>
      </w:r>
      <w:r>
        <w:rPr>
          <w:rFonts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日印发</w:t>
      </w:r>
    </w:p>
    <w:p>
      <w:pPr>
        <w:spacing w:line="120" w:lineRule="exact"/>
        <w:rPr>
          <w:rFonts w:ascii="仿宋_GB2312" w:hAnsi="华文仿宋" w:eastAsia="仿宋_GB2312"/>
          <w:spacing w:val="-6"/>
          <w:sz w:val="18"/>
          <w:szCs w:val="32"/>
        </w:rPr>
      </w:pPr>
      <w:r>
        <w:rPr>
          <w:rFonts w:hint="eastAsia" w:ascii="仿宋_GB2312" w:eastAsia="仿宋_GB2312"/>
          <w:color w:val="auto"/>
          <w:sz w:val="30"/>
          <w:szCs w:val="30"/>
          <w:u w:val="single"/>
        </w:rPr>
        <w:t xml:space="preserve">                                                            </w:t>
      </w:r>
    </w:p>
    <w:sectPr>
      <w:footerReference r:id="rId3" w:type="default"/>
      <w:pgSz w:w="11906" w:h="16838"/>
      <w:pgMar w:top="2098" w:right="1587" w:bottom="1984" w:left="1587" w:header="851" w:footer="170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decorative"/>
    <w:pitch w:val="default"/>
    <w:sig w:usb0="00000000" w:usb1="00000000"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00"/>
    <w:family w:val="auto"/>
    <w:pitch w:val="default"/>
    <w:sig w:usb0="00000000" w:usb1="00000000" w:usb2="0000003F" w:usb3="00000000" w:csb0="601F00FF" w:csb1="FFFF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Ct1YkckBAACZAwAADgAAAAAA&#10;AAABACAAAAA0AQAAZHJzL2Uyb0RvYy54bWxQSwUGAAAAAAYABgBZAQAAbwUAAAAA&#10;">
              <v:fill on="f" focussize="0,0"/>
              <v:stroke on="f"/>
              <v:imagedata o:title=""/>
              <o:lock v:ext="edit" aspectratio="f"/>
              <v:textbox inset="0mm,0mm,0mm,0mm" style="mso-fit-shape-to-text:t;">
                <w:txbxContent>
                  <w:p>
                    <w:pPr>
                      <w:pStyle w:val="12"/>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AE43C1"/>
    <w:multiLevelType w:val="singleLevel"/>
    <w:tmpl w:val="FEAE43C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NGU2MTU4MzdkOTFkODUyZGQ0MDczZmQ4OWMxYzYifQ=="/>
  </w:docVars>
  <w:rsids>
    <w:rsidRoot w:val="006B467D"/>
    <w:rsid w:val="00010C60"/>
    <w:rsid w:val="00037829"/>
    <w:rsid w:val="000406EC"/>
    <w:rsid w:val="00041B93"/>
    <w:rsid w:val="000674EC"/>
    <w:rsid w:val="00095B65"/>
    <w:rsid w:val="000962AC"/>
    <w:rsid w:val="00097B4F"/>
    <w:rsid w:val="000A1A79"/>
    <w:rsid w:val="000B152E"/>
    <w:rsid w:val="000B1539"/>
    <w:rsid w:val="000B1BCC"/>
    <w:rsid w:val="000E179A"/>
    <w:rsid w:val="000F742F"/>
    <w:rsid w:val="001040DC"/>
    <w:rsid w:val="00116867"/>
    <w:rsid w:val="00130B44"/>
    <w:rsid w:val="001407B0"/>
    <w:rsid w:val="0014082E"/>
    <w:rsid w:val="00146035"/>
    <w:rsid w:val="00153F98"/>
    <w:rsid w:val="00163E19"/>
    <w:rsid w:val="00180ACE"/>
    <w:rsid w:val="00193AB1"/>
    <w:rsid w:val="001A6A62"/>
    <w:rsid w:val="001B35B9"/>
    <w:rsid w:val="001B48E9"/>
    <w:rsid w:val="001B4E5D"/>
    <w:rsid w:val="001C3BC7"/>
    <w:rsid w:val="001D4BB1"/>
    <w:rsid w:val="001E1C11"/>
    <w:rsid w:val="001E3011"/>
    <w:rsid w:val="001F081D"/>
    <w:rsid w:val="001F4AD4"/>
    <w:rsid w:val="001F5849"/>
    <w:rsid w:val="002028E2"/>
    <w:rsid w:val="002059DA"/>
    <w:rsid w:val="00222F3F"/>
    <w:rsid w:val="00224EB5"/>
    <w:rsid w:val="00231263"/>
    <w:rsid w:val="00241C64"/>
    <w:rsid w:val="002621F5"/>
    <w:rsid w:val="00264DFF"/>
    <w:rsid w:val="00266597"/>
    <w:rsid w:val="00270F71"/>
    <w:rsid w:val="00271B77"/>
    <w:rsid w:val="00283666"/>
    <w:rsid w:val="00285609"/>
    <w:rsid w:val="00286B1F"/>
    <w:rsid w:val="00286F5B"/>
    <w:rsid w:val="0029574C"/>
    <w:rsid w:val="002A6121"/>
    <w:rsid w:val="002A7B68"/>
    <w:rsid w:val="002B5C75"/>
    <w:rsid w:val="002C1A1F"/>
    <w:rsid w:val="002D36C8"/>
    <w:rsid w:val="002D4357"/>
    <w:rsid w:val="002E6EC5"/>
    <w:rsid w:val="002F0352"/>
    <w:rsid w:val="00307AD1"/>
    <w:rsid w:val="003230C2"/>
    <w:rsid w:val="00325016"/>
    <w:rsid w:val="003604D4"/>
    <w:rsid w:val="00380DB1"/>
    <w:rsid w:val="003A09F5"/>
    <w:rsid w:val="003B32F0"/>
    <w:rsid w:val="003B51DB"/>
    <w:rsid w:val="00401C86"/>
    <w:rsid w:val="00405A49"/>
    <w:rsid w:val="0042252A"/>
    <w:rsid w:val="00425987"/>
    <w:rsid w:val="004522D5"/>
    <w:rsid w:val="00460A78"/>
    <w:rsid w:val="00461D00"/>
    <w:rsid w:val="004620EC"/>
    <w:rsid w:val="00473FBA"/>
    <w:rsid w:val="0047493E"/>
    <w:rsid w:val="00474F95"/>
    <w:rsid w:val="00486A24"/>
    <w:rsid w:val="0049249D"/>
    <w:rsid w:val="004974B6"/>
    <w:rsid w:val="004A5F29"/>
    <w:rsid w:val="004C4B72"/>
    <w:rsid w:val="004C7947"/>
    <w:rsid w:val="004E0153"/>
    <w:rsid w:val="004E1A0D"/>
    <w:rsid w:val="004F1941"/>
    <w:rsid w:val="004F78B6"/>
    <w:rsid w:val="005079B0"/>
    <w:rsid w:val="00514A5B"/>
    <w:rsid w:val="00525216"/>
    <w:rsid w:val="00526441"/>
    <w:rsid w:val="0052644B"/>
    <w:rsid w:val="005418D8"/>
    <w:rsid w:val="0057560A"/>
    <w:rsid w:val="005A677E"/>
    <w:rsid w:val="005B309F"/>
    <w:rsid w:val="005C40EF"/>
    <w:rsid w:val="005E2F03"/>
    <w:rsid w:val="005E30BE"/>
    <w:rsid w:val="005E59AF"/>
    <w:rsid w:val="005F5849"/>
    <w:rsid w:val="0063058C"/>
    <w:rsid w:val="00644899"/>
    <w:rsid w:val="00646FBC"/>
    <w:rsid w:val="0066022E"/>
    <w:rsid w:val="00664DB7"/>
    <w:rsid w:val="006765B0"/>
    <w:rsid w:val="00691DA9"/>
    <w:rsid w:val="006A2072"/>
    <w:rsid w:val="006B27FC"/>
    <w:rsid w:val="006B467D"/>
    <w:rsid w:val="006C3D1F"/>
    <w:rsid w:val="006D1A6B"/>
    <w:rsid w:val="006F16EB"/>
    <w:rsid w:val="006F4EEE"/>
    <w:rsid w:val="006F5CED"/>
    <w:rsid w:val="007526F5"/>
    <w:rsid w:val="007560D8"/>
    <w:rsid w:val="00771662"/>
    <w:rsid w:val="0077442E"/>
    <w:rsid w:val="00781170"/>
    <w:rsid w:val="00794C9D"/>
    <w:rsid w:val="007C4113"/>
    <w:rsid w:val="007C66F2"/>
    <w:rsid w:val="007D0404"/>
    <w:rsid w:val="007F7109"/>
    <w:rsid w:val="008048A6"/>
    <w:rsid w:val="00807746"/>
    <w:rsid w:val="00812F26"/>
    <w:rsid w:val="00856911"/>
    <w:rsid w:val="00874512"/>
    <w:rsid w:val="008858FF"/>
    <w:rsid w:val="00892744"/>
    <w:rsid w:val="008B0865"/>
    <w:rsid w:val="008B6639"/>
    <w:rsid w:val="008C304F"/>
    <w:rsid w:val="008E1C45"/>
    <w:rsid w:val="008F245B"/>
    <w:rsid w:val="008F7F63"/>
    <w:rsid w:val="009049B4"/>
    <w:rsid w:val="00914FB4"/>
    <w:rsid w:val="009402E4"/>
    <w:rsid w:val="009558F2"/>
    <w:rsid w:val="00975670"/>
    <w:rsid w:val="009A2596"/>
    <w:rsid w:val="009A6675"/>
    <w:rsid w:val="009B44DF"/>
    <w:rsid w:val="009C4711"/>
    <w:rsid w:val="009C6D8D"/>
    <w:rsid w:val="009D798A"/>
    <w:rsid w:val="009E15D4"/>
    <w:rsid w:val="009E4495"/>
    <w:rsid w:val="009F1A28"/>
    <w:rsid w:val="00A02A06"/>
    <w:rsid w:val="00A1099D"/>
    <w:rsid w:val="00A13677"/>
    <w:rsid w:val="00A15470"/>
    <w:rsid w:val="00A37078"/>
    <w:rsid w:val="00A415B5"/>
    <w:rsid w:val="00A60CA5"/>
    <w:rsid w:val="00A63D50"/>
    <w:rsid w:val="00A649DE"/>
    <w:rsid w:val="00A66564"/>
    <w:rsid w:val="00A71F9C"/>
    <w:rsid w:val="00A758E2"/>
    <w:rsid w:val="00A81D64"/>
    <w:rsid w:val="00A82668"/>
    <w:rsid w:val="00A91117"/>
    <w:rsid w:val="00A94C09"/>
    <w:rsid w:val="00AB7106"/>
    <w:rsid w:val="00AC6B5F"/>
    <w:rsid w:val="00B020CF"/>
    <w:rsid w:val="00B02BD7"/>
    <w:rsid w:val="00B10996"/>
    <w:rsid w:val="00B127B5"/>
    <w:rsid w:val="00B31BAC"/>
    <w:rsid w:val="00B56BFB"/>
    <w:rsid w:val="00B60F18"/>
    <w:rsid w:val="00B75207"/>
    <w:rsid w:val="00B77C27"/>
    <w:rsid w:val="00B849F8"/>
    <w:rsid w:val="00B87E56"/>
    <w:rsid w:val="00B9184E"/>
    <w:rsid w:val="00B92C8A"/>
    <w:rsid w:val="00BA776F"/>
    <w:rsid w:val="00BB5BB4"/>
    <w:rsid w:val="00BC41E5"/>
    <w:rsid w:val="00BC45AB"/>
    <w:rsid w:val="00BC557B"/>
    <w:rsid w:val="00BD2CE5"/>
    <w:rsid w:val="00BD3CA3"/>
    <w:rsid w:val="00C04E94"/>
    <w:rsid w:val="00C23D98"/>
    <w:rsid w:val="00C320D5"/>
    <w:rsid w:val="00C471CA"/>
    <w:rsid w:val="00C930A4"/>
    <w:rsid w:val="00CA70FE"/>
    <w:rsid w:val="00CC09F4"/>
    <w:rsid w:val="00CC3C5E"/>
    <w:rsid w:val="00CD0D51"/>
    <w:rsid w:val="00CD4095"/>
    <w:rsid w:val="00CF39ED"/>
    <w:rsid w:val="00CF454E"/>
    <w:rsid w:val="00D02548"/>
    <w:rsid w:val="00D0271D"/>
    <w:rsid w:val="00D0459C"/>
    <w:rsid w:val="00D06919"/>
    <w:rsid w:val="00D1068C"/>
    <w:rsid w:val="00D1159F"/>
    <w:rsid w:val="00D127EB"/>
    <w:rsid w:val="00D14C0B"/>
    <w:rsid w:val="00D14CAC"/>
    <w:rsid w:val="00D22F21"/>
    <w:rsid w:val="00D2779C"/>
    <w:rsid w:val="00D3507C"/>
    <w:rsid w:val="00D406FB"/>
    <w:rsid w:val="00D47C4A"/>
    <w:rsid w:val="00D857AC"/>
    <w:rsid w:val="00DA4070"/>
    <w:rsid w:val="00DA4BA0"/>
    <w:rsid w:val="00DB1F34"/>
    <w:rsid w:val="00DD0A9E"/>
    <w:rsid w:val="00DD106F"/>
    <w:rsid w:val="00DE5591"/>
    <w:rsid w:val="00DF1A97"/>
    <w:rsid w:val="00E0098E"/>
    <w:rsid w:val="00E03AD2"/>
    <w:rsid w:val="00E06AC7"/>
    <w:rsid w:val="00E60A5E"/>
    <w:rsid w:val="00E625A1"/>
    <w:rsid w:val="00E6287F"/>
    <w:rsid w:val="00E720C8"/>
    <w:rsid w:val="00E73849"/>
    <w:rsid w:val="00E935EF"/>
    <w:rsid w:val="00EA0324"/>
    <w:rsid w:val="00EC2683"/>
    <w:rsid w:val="00ED591D"/>
    <w:rsid w:val="00EE34EE"/>
    <w:rsid w:val="00EF4453"/>
    <w:rsid w:val="00EF4619"/>
    <w:rsid w:val="00EF6624"/>
    <w:rsid w:val="00F31FFC"/>
    <w:rsid w:val="00F37F97"/>
    <w:rsid w:val="00F43341"/>
    <w:rsid w:val="00F44FC1"/>
    <w:rsid w:val="00F548AA"/>
    <w:rsid w:val="00F62E2C"/>
    <w:rsid w:val="00F70496"/>
    <w:rsid w:val="00F704E2"/>
    <w:rsid w:val="00F74BA4"/>
    <w:rsid w:val="00F77AB2"/>
    <w:rsid w:val="00F87C54"/>
    <w:rsid w:val="00F95CD8"/>
    <w:rsid w:val="00F9748B"/>
    <w:rsid w:val="00FA7567"/>
    <w:rsid w:val="00FC0384"/>
    <w:rsid w:val="00FC07C2"/>
    <w:rsid w:val="00FC1B12"/>
    <w:rsid w:val="00FC3FDC"/>
    <w:rsid w:val="00FF7256"/>
    <w:rsid w:val="00FF7C9A"/>
    <w:rsid w:val="012732BA"/>
    <w:rsid w:val="012F2C7B"/>
    <w:rsid w:val="01703D1E"/>
    <w:rsid w:val="0179160B"/>
    <w:rsid w:val="017C52DD"/>
    <w:rsid w:val="01860F84"/>
    <w:rsid w:val="01992B72"/>
    <w:rsid w:val="01A4060B"/>
    <w:rsid w:val="01B612A4"/>
    <w:rsid w:val="01C46E2A"/>
    <w:rsid w:val="01D6466C"/>
    <w:rsid w:val="01DD1D6E"/>
    <w:rsid w:val="01E66AA5"/>
    <w:rsid w:val="021467C2"/>
    <w:rsid w:val="025331B3"/>
    <w:rsid w:val="02591E01"/>
    <w:rsid w:val="026043E7"/>
    <w:rsid w:val="027C0F4C"/>
    <w:rsid w:val="027F62BA"/>
    <w:rsid w:val="03026814"/>
    <w:rsid w:val="030C6980"/>
    <w:rsid w:val="03336D8A"/>
    <w:rsid w:val="035816F4"/>
    <w:rsid w:val="03661A20"/>
    <w:rsid w:val="03842595"/>
    <w:rsid w:val="04011366"/>
    <w:rsid w:val="04032C8E"/>
    <w:rsid w:val="040844BC"/>
    <w:rsid w:val="043833BC"/>
    <w:rsid w:val="045D155C"/>
    <w:rsid w:val="047E6FDC"/>
    <w:rsid w:val="049B7758"/>
    <w:rsid w:val="04BC26AE"/>
    <w:rsid w:val="04C06FA9"/>
    <w:rsid w:val="05075043"/>
    <w:rsid w:val="050B1C9F"/>
    <w:rsid w:val="050D65F7"/>
    <w:rsid w:val="05131E7D"/>
    <w:rsid w:val="05146604"/>
    <w:rsid w:val="055924D7"/>
    <w:rsid w:val="057D502A"/>
    <w:rsid w:val="05897CDE"/>
    <w:rsid w:val="058C31DC"/>
    <w:rsid w:val="058D3327"/>
    <w:rsid w:val="05B16C1D"/>
    <w:rsid w:val="05D610DF"/>
    <w:rsid w:val="05E730FB"/>
    <w:rsid w:val="05EC445F"/>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B572A"/>
    <w:rsid w:val="09FC169A"/>
    <w:rsid w:val="0A0A16AE"/>
    <w:rsid w:val="0A2150FA"/>
    <w:rsid w:val="0A4F6CD6"/>
    <w:rsid w:val="0A622CF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64718F"/>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470958"/>
    <w:rsid w:val="0F89709B"/>
    <w:rsid w:val="0F8E0D44"/>
    <w:rsid w:val="0F9AA9A3"/>
    <w:rsid w:val="0FB96372"/>
    <w:rsid w:val="0FC37304"/>
    <w:rsid w:val="0FDF7909"/>
    <w:rsid w:val="0FEF586D"/>
    <w:rsid w:val="0FFED1D8"/>
    <w:rsid w:val="100E61F1"/>
    <w:rsid w:val="10423BF8"/>
    <w:rsid w:val="10606F0E"/>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6A680D"/>
    <w:rsid w:val="13967CA7"/>
    <w:rsid w:val="13B26FBE"/>
    <w:rsid w:val="13D777E7"/>
    <w:rsid w:val="13EC5B6B"/>
    <w:rsid w:val="14032E0E"/>
    <w:rsid w:val="1411085C"/>
    <w:rsid w:val="14120302"/>
    <w:rsid w:val="144F64EE"/>
    <w:rsid w:val="14661880"/>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125099"/>
    <w:rsid w:val="171B0308"/>
    <w:rsid w:val="172C4E9D"/>
    <w:rsid w:val="173B5E82"/>
    <w:rsid w:val="174B24D1"/>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0C6"/>
    <w:rsid w:val="19EF4A72"/>
    <w:rsid w:val="19FB33C6"/>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3E5F1F"/>
    <w:rsid w:val="1B4648B6"/>
    <w:rsid w:val="1B704E36"/>
    <w:rsid w:val="1B850928"/>
    <w:rsid w:val="1BA209B9"/>
    <w:rsid w:val="1BB147EF"/>
    <w:rsid w:val="1BB7CF60"/>
    <w:rsid w:val="1BD16179"/>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0551D"/>
    <w:rsid w:val="1D7E7C7B"/>
    <w:rsid w:val="1D7F7B99"/>
    <w:rsid w:val="1DB924E9"/>
    <w:rsid w:val="1DC104B3"/>
    <w:rsid w:val="1DC74215"/>
    <w:rsid w:val="1DE7DC64"/>
    <w:rsid w:val="1DF41A03"/>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7B751A"/>
    <w:rsid w:val="1F894E20"/>
    <w:rsid w:val="1F8AC30B"/>
    <w:rsid w:val="1FA75C0D"/>
    <w:rsid w:val="1FA917E5"/>
    <w:rsid w:val="1FBFF046"/>
    <w:rsid w:val="1FD1682D"/>
    <w:rsid w:val="1FDF234E"/>
    <w:rsid w:val="1FDFBB3A"/>
    <w:rsid w:val="1FEDB956"/>
    <w:rsid w:val="1FEE0E62"/>
    <w:rsid w:val="1FFF9B15"/>
    <w:rsid w:val="1FFF9DF5"/>
    <w:rsid w:val="1FFFCFFF"/>
    <w:rsid w:val="202A6496"/>
    <w:rsid w:val="202B0A86"/>
    <w:rsid w:val="20335A75"/>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5E91562"/>
    <w:rsid w:val="2603596E"/>
    <w:rsid w:val="261457E5"/>
    <w:rsid w:val="2614741E"/>
    <w:rsid w:val="26526993"/>
    <w:rsid w:val="265C71AB"/>
    <w:rsid w:val="265E6149"/>
    <w:rsid w:val="267F7DF9"/>
    <w:rsid w:val="26A11866"/>
    <w:rsid w:val="26A2644A"/>
    <w:rsid w:val="26BF2702"/>
    <w:rsid w:val="26D72A9C"/>
    <w:rsid w:val="26D9450D"/>
    <w:rsid w:val="270B55FD"/>
    <w:rsid w:val="2718473C"/>
    <w:rsid w:val="275405E2"/>
    <w:rsid w:val="277E2115"/>
    <w:rsid w:val="278A6AED"/>
    <w:rsid w:val="27B330D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6F53A2"/>
    <w:rsid w:val="29797096"/>
    <w:rsid w:val="29837114"/>
    <w:rsid w:val="298F6165"/>
    <w:rsid w:val="29AB2E6F"/>
    <w:rsid w:val="29AC13BE"/>
    <w:rsid w:val="29C0187A"/>
    <w:rsid w:val="2A0D6FEB"/>
    <w:rsid w:val="2A7C3107"/>
    <w:rsid w:val="2A826B38"/>
    <w:rsid w:val="2A951FF8"/>
    <w:rsid w:val="2A9F2116"/>
    <w:rsid w:val="2AB14540"/>
    <w:rsid w:val="2AFD6359"/>
    <w:rsid w:val="2B3B0C82"/>
    <w:rsid w:val="2B4F5DB3"/>
    <w:rsid w:val="2B50012B"/>
    <w:rsid w:val="2B5865A9"/>
    <w:rsid w:val="2B695F7E"/>
    <w:rsid w:val="2B8A133E"/>
    <w:rsid w:val="2BAF35FD"/>
    <w:rsid w:val="2BB40893"/>
    <w:rsid w:val="2BE84C5A"/>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9A689E"/>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2EC51EE"/>
    <w:rsid w:val="331B0A3B"/>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743A3"/>
    <w:rsid w:val="35BA0BE8"/>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441DA0"/>
    <w:rsid w:val="385A0D73"/>
    <w:rsid w:val="385B1F92"/>
    <w:rsid w:val="386E6066"/>
    <w:rsid w:val="387442ED"/>
    <w:rsid w:val="388C7A87"/>
    <w:rsid w:val="38AF6807"/>
    <w:rsid w:val="38D53ED1"/>
    <w:rsid w:val="38E726E0"/>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52F69"/>
    <w:rsid w:val="3BB71564"/>
    <w:rsid w:val="3BBF06F6"/>
    <w:rsid w:val="3BE27E23"/>
    <w:rsid w:val="3BE5148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C11532"/>
    <w:rsid w:val="3DD26A94"/>
    <w:rsid w:val="3DDD0555"/>
    <w:rsid w:val="3DE76524"/>
    <w:rsid w:val="3DF7DBA4"/>
    <w:rsid w:val="3DF906CD"/>
    <w:rsid w:val="3E03359B"/>
    <w:rsid w:val="3E1C7283"/>
    <w:rsid w:val="3E2F6D9B"/>
    <w:rsid w:val="3E4B7E5C"/>
    <w:rsid w:val="3E587BD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6BF733"/>
    <w:rsid w:val="3F790CB0"/>
    <w:rsid w:val="3F7B049D"/>
    <w:rsid w:val="3F7EF851"/>
    <w:rsid w:val="3F7F5C6A"/>
    <w:rsid w:val="3F7FAF80"/>
    <w:rsid w:val="3F8954B2"/>
    <w:rsid w:val="3F8D0899"/>
    <w:rsid w:val="3F911FB7"/>
    <w:rsid w:val="3F970855"/>
    <w:rsid w:val="3F9B8D70"/>
    <w:rsid w:val="3F9C704E"/>
    <w:rsid w:val="3F9EF683"/>
    <w:rsid w:val="3FAE6D2D"/>
    <w:rsid w:val="3FB765EE"/>
    <w:rsid w:val="3FBD71D2"/>
    <w:rsid w:val="3FBD8D6B"/>
    <w:rsid w:val="3FBE84A1"/>
    <w:rsid w:val="3FC111A5"/>
    <w:rsid w:val="3FC767C0"/>
    <w:rsid w:val="3FCB541B"/>
    <w:rsid w:val="3FE394E7"/>
    <w:rsid w:val="3FFB0E64"/>
    <w:rsid w:val="3FFB4CC3"/>
    <w:rsid w:val="3FFBE772"/>
    <w:rsid w:val="3FFD09BF"/>
    <w:rsid w:val="3FFF180E"/>
    <w:rsid w:val="3FFF3C7C"/>
    <w:rsid w:val="40406848"/>
    <w:rsid w:val="40507D03"/>
    <w:rsid w:val="406F0D95"/>
    <w:rsid w:val="40A244D3"/>
    <w:rsid w:val="40CC3D01"/>
    <w:rsid w:val="40CF687B"/>
    <w:rsid w:val="410846C7"/>
    <w:rsid w:val="41170D8C"/>
    <w:rsid w:val="411E3DC1"/>
    <w:rsid w:val="415663BE"/>
    <w:rsid w:val="416F7A1E"/>
    <w:rsid w:val="417B233A"/>
    <w:rsid w:val="417F6D50"/>
    <w:rsid w:val="418F7470"/>
    <w:rsid w:val="41A1787D"/>
    <w:rsid w:val="41BE31E5"/>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6450B8"/>
    <w:rsid w:val="457654BD"/>
    <w:rsid w:val="45781435"/>
    <w:rsid w:val="458F461A"/>
    <w:rsid w:val="459040FF"/>
    <w:rsid w:val="45A809B5"/>
    <w:rsid w:val="45B2422F"/>
    <w:rsid w:val="45B51851"/>
    <w:rsid w:val="45BD31FC"/>
    <w:rsid w:val="45BF1B18"/>
    <w:rsid w:val="45C03E43"/>
    <w:rsid w:val="45CF606B"/>
    <w:rsid w:val="45DA659D"/>
    <w:rsid w:val="45E63C2A"/>
    <w:rsid w:val="45EC7588"/>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5081B"/>
    <w:rsid w:val="49CF608B"/>
    <w:rsid w:val="49DA3B9B"/>
    <w:rsid w:val="49EF2AF6"/>
    <w:rsid w:val="49F6339E"/>
    <w:rsid w:val="4A146D63"/>
    <w:rsid w:val="4A4B7096"/>
    <w:rsid w:val="4A7EB2FF"/>
    <w:rsid w:val="4A893617"/>
    <w:rsid w:val="4AB75723"/>
    <w:rsid w:val="4ABDA9E8"/>
    <w:rsid w:val="4ABF315C"/>
    <w:rsid w:val="4B080EAE"/>
    <w:rsid w:val="4B155BEE"/>
    <w:rsid w:val="4B7047B7"/>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CA17BE"/>
    <w:rsid w:val="4DE52F92"/>
    <w:rsid w:val="4DE777E6"/>
    <w:rsid w:val="4DED67BF"/>
    <w:rsid w:val="4E6DB298"/>
    <w:rsid w:val="4E775E5C"/>
    <w:rsid w:val="4E7816D4"/>
    <w:rsid w:val="4EAFD821"/>
    <w:rsid w:val="4EBC0FDC"/>
    <w:rsid w:val="4EBE67B2"/>
    <w:rsid w:val="4F260F14"/>
    <w:rsid w:val="4F3374B4"/>
    <w:rsid w:val="4F3DFD49"/>
    <w:rsid w:val="4F4F65BB"/>
    <w:rsid w:val="4F6036C3"/>
    <w:rsid w:val="4F7B626C"/>
    <w:rsid w:val="4FAFF7AB"/>
    <w:rsid w:val="4FB60EB6"/>
    <w:rsid w:val="4FC9436C"/>
    <w:rsid w:val="4FD72B41"/>
    <w:rsid w:val="4FF36A56"/>
    <w:rsid w:val="4FF41F1D"/>
    <w:rsid w:val="4FFE184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682217"/>
    <w:rsid w:val="537DC0A2"/>
    <w:rsid w:val="53A928A9"/>
    <w:rsid w:val="53B2024F"/>
    <w:rsid w:val="53B83907"/>
    <w:rsid w:val="53E91301"/>
    <w:rsid w:val="53F0747B"/>
    <w:rsid w:val="545112A5"/>
    <w:rsid w:val="54696247"/>
    <w:rsid w:val="54756E9F"/>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BF4844"/>
    <w:rsid w:val="56C6473B"/>
    <w:rsid w:val="56CC6EAB"/>
    <w:rsid w:val="56D74735"/>
    <w:rsid w:val="56DE000D"/>
    <w:rsid w:val="56F33945"/>
    <w:rsid w:val="56F6DAB0"/>
    <w:rsid w:val="57120E18"/>
    <w:rsid w:val="571D495C"/>
    <w:rsid w:val="574645BE"/>
    <w:rsid w:val="576919EA"/>
    <w:rsid w:val="57732AC1"/>
    <w:rsid w:val="577D65AF"/>
    <w:rsid w:val="577F6FDC"/>
    <w:rsid w:val="57843B76"/>
    <w:rsid w:val="57A52339"/>
    <w:rsid w:val="57AC5A1C"/>
    <w:rsid w:val="57B66A9F"/>
    <w:rsid w:val="57B95083"/>
    <w:rsid w:val="57DD7529"/>
    <w:rsid w:val="57DE385A"/>
    <w:rsid w:val="57F306A6"/>
    <w:rsid w:val="57F7D34F"/>
    <w:rsid w:val="57F8EF97"/>
    <w:rsid w:val="57FD6F33"/>
    <w:rsid w:val="57FE9A6A"/>
    <w:rsid w:val="57FF410E"/>
    <w:rsid w:val="57FF62C0"/>
    <w:rsid w:val="581727A0"/>
    <w:rsid w:val="583BBBA1"/>
    <w:rsid w:val="5873337D"/>
    <w:rsid w:val="58741794"/>
    <w:rsid w:val="587E07B8"/>
    <w:rsid w:val="58896EB8"/>
    <w:rsid w:val="58AF4E41"/>
    <w:rsid w:val="58B41022"/>
    <w:rsid w:val="58B97F29"/>
    <w:rsid w:val="58C46B40"/>
    <w:rsid w:val="58DA705B"/>
    <w:rsid w:val="58E72F20"/>
    <w:rsid w:val="58FB1F94"/>
    <w:rsid w:val="592D53E5"/>
    <w:rsid w:val="59475466"/>
    <w:rsid w:val="59482DC3"/>
    <w:rsid w:val="594C2C9B"/>
    <w:rsid w:val="595DEFC6"/>
    <w:rsid w:val="59724B00"/>
    <w:rsid w:val="59870899"/>
    <w:rsid w:val="5992714E"/>
    <w:rsid w:val="59EA212F"/>
    <w:rsid w:val="59F271D3"/>
    <w:rsid w:val="59F87366"/>
    <w:rsid w:val="59FF35F5"/>
    <w:rsid w:val="59FFE946"/>
    <w:rsid w:val="5A04162B"/>
    <w:rsid w:val="5A091DC0"/>
    <w:rsid w:val="5A145BBF"/>
    <w:rsid w:val="5A81421E"/>
    <w:rsid w:val="5A963AAD"/>
    <w:rsid w:val="5A9E2282"/>
    <w:rsid w:val="5ACFD81A"/>
    <w:rsid w:val="5AD563E4"/>
    <w:rsid w:val="5AFA4BDB"/>
    <w:rsid w:val="5B3A6098"/>
    <w:rsid w:val="5B410D79"/>
    <w:rsid w:val="5B4D177D"/>
    <w:rsid w:val="5B57206F"/>
    <w:rsid w:val="5B5D79F8"/>
    <w:rsid w:val="5B6B7A7F"/>
    <w:rsid w:val="5B7E537A"/>
    <w:rsid w:val="5B8643BE"/>
    <w:rsid w:val="5B9752C3"/>
    <w:rsid w:val="5BA1550F"/>
    <w:rsid w:val="5BAEC8ED"/>
    <w:rsid w:val="5BB25C1D"/>
    <w:rsid w:val="5BBF10B3"/>
    <w:rsid w:val="5BCB0034"/>
    <w:rsid w:val="5BDA3F4B"/>
    <w:rsid w:val="5BDC5203"/>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5F8B6"/>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6F5CDD"/>
    <w:rsid w:val="5F73DE65"/>
    <w:rsid w:val="5F74F361"/>
    <w:rsid w:val="5F7EDA11"/>
    <w:rsid w:val="5F874302"/>
    <w:rsid w:val="5F8E49D3"/>
    <w:rsid w:val="5FB00E66"/>
    <w:rsid w:val="5FB6969D"/>
    <w:rsid w:val="5FB7CC16"/>
    <w:rsid w:val="5FBA3B31"/>
    <w:rsid w:val="5FBA7FDE"/>
    <w:rsid w:val="5FC5229F"/>
    <w:rsid w:val="5FC64909"/>
    <w:rsid w:val="5FD3833D"/>
    <w:rsid w:val="5FD3DC4E"/>
    <w:rsid w:val="5FDBCECD"/>
    <w:rsid w:val="5FDE99A3"/>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6E23EB"/>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894210"/>
    <w:rsid w:val="63B55F66"/>
    <w:rsid w:val="63BA23FD"/>
    <w:rsid w:val="63D461A2"/>
    <w:rsid w:val="63F6AF09"/>
    <w:rsid w:val="63F75FE1"/>
    <w:rsid w:val="6407213A"/>
    <w:rsid w:val="64200576"/>
    <w:rsid w:val="6432530E"/>
    <w:rsid w:val="647B80EC"/>
    <w:rsid w:val="64A2696B"/>
    <w:rsid w:val="64C748BF"/>
    <w:rsid w:val="64CA6A88"/>
    <w:rsid w:val="64D709CE"/>
    <w:rsid w:val="6507390C"/>
    <w:rsid w:val="654E5711"/>
    <w:rsid w:val="654F48C4"/>
    <w:rsid w:val="655A10D9"/>
    <w:rsid w:val="65764BF7"/>
    <w:rsid w:val="65DA75E4"/>
    <w:rsid w:val="65ED38F4"/>
    <w:rsid w:val="65EF1B82"/>
    <w:rsid w:val="65F446F9"/>
    <w:rsid w:val="65F96C4A"/>
    <w:rsid w:val="65FC5311"/>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D77BC"/>
    <w:rsid w:val="677EA2CA"/>
    <w:rsid w:val="67875BEC"/>
    <w:rsid w:val="6797C3E4"/>
    <w:rsid w:val="67981E55"/>
    <w:rsid w:val="679A30E1"/>
    <w:rsid w:val="67BB5DCF"/>
    <w:rsid w:val="67CF4B12"/>
    <w:rsid w:val="67D56C7D"/>
    <w:rsid w:val="67DB7D86"/>
    <w:rsid w:val="67EDA967"/>
    <w:rsid w:val="67EDB27E"/>
    <w:rsid w:val="67EDBDA0"/>
    <w:rsid w:val="67FF0E94"/>
    <w:rsid w:val="68835F71"/>
    <w:rsid w:val="68EE5790"/>
    <w:rsid w:val="690432A4"/>
    <w:rsid w:val="692F6DAF"/>
    <w:rsid w:val="69746EBF"/>
    <w:rsid w:val="69787C50"/>
    <w:rsid w:val="697FCD9D"/>
    <w:rsid w:val="6987583A"/>
    <w:rsid w:val="69964C41"/>
    <w:rsid w:val="69C26DD9"/>
    <w:rsid w:val="69D45A86"/>
    <w:rsid w:val="69E80CC5"/>
    <w:rsid w:val="69F6F957"/>
    <w:rsid w:val="6A1F4150"/>
    <w:rsid w:val="6A2D1CCF"/>
    <w:rsid w:val="6A7E092E"/>
    <w:rsid w:val="6A904237"/>
    <w:rsid w:val="6AB5277B"/>
    <w:rsid w:val="6AF040E0"/>
    <w:rsid w:val="6AF711C0"/>
    <w:rsid w:val="6AFAFFDE"/>
    <w:rsid w:val="6AFF09AC"/>
    <w:rsid w:val="6B131661"/>
    <w:rsid w:val="6B39269D"/>
    <w:rsid w:val="6B6E2ECF"/>
    <w:rsid w:val="6B744899"/>
    <w:rsid w:val="6B774A6D"/>
    <w:rsid w:val="6B7D00D8"/>
    <w:rsid w:val="6B7F6011"/>
    <w:rsid w:val="6B84408B"/>
    <w:rsid w:val="6BAE6F4B"/>
    <w:rsid w:val="6BB9765C"/>
    <w:rsid w:val="6BBB38C9"/>
    <w:rsid w:val="6BBD121A"/>
    <w:rsid w:val="6BBDD199"/>
    <w:rsid w:val="6BBE2EC3"/>
    <w:rsid w:val="6BD4BFFA"/>
    <w:rsid w:val="6BDDBC3F"/>
    <w:rsid w:val="6BE03964"/>
    <w:rsid w:val="6BEEC6FD"/>
    <w:rsid w:val="6BF7A4CE"/>
    <w:rsid w:val="6BFF2C4A"/>
    <w:rsid w:val="6BFF6F90"/>
    <w:rsid w:val="6C1C2C64"/>
    <w:rsid w:val="6C5DB040"/>
    <w:rsid w:val="6C6351B9"/>
    <w:rsid w:val="6C6F4811"/>
    <w:rsid w:val="6C745F04"/>
    <w:rsid w:val="6C7FDC0D"/>
    <w:rsid w:val="6C815AFB"/>
    <w:rsid w:val="6C9106CB"/>
    <w:rsid w:val="6CB392BE"/>
    <w:rsid w:val="6CEB81F2"/>
    <w:rsid w:val="6CEDAF30"/>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EE8ED"/>
    <w:rsid w:val="6DFFDE98"/>
    <w:rsid w:val="6E0A0FF3"/>
    <w:rsid w:val="6E200660"/>
    <w:rsid w:val="6E3C2184"/>
    <w:rsid w:val="6E501280"/>
    <w:rsid w:val="6E541107"/>
    <w:rsid w:val="6E662C4C"/>
    <w:rsid w:val="6E6D3F1C"/>
    <w:rsid w:val="6E6F13E2"/>
    <w:rsid w:val="6E7FB585"/>
    <w:rsid w:val="6EBA0434"/>
    <w:rsid w:val="6EBE0B2E"/>
    <w:rsid w:val="6EBFC098"/>
    <w:rsid w:val="6EC117B0"/>
    <w:rsid w:val="6EC73413"/>
    <w:rsid w:val="6ED04039"/>
    <w:rsid w:val="6EE71261"/>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7F042"/>
    <w:rsid w:val="6FBB02AE"/>
    <w:rsid w:val="6FBF5CB5"/>
    <w:rsid w:val="6FCE37D4"/>
    <w:rsid w:val="6FE71825"/>
    <w:rsid w:val="6FEB3409"/>
    <w:rsid w:val="6FF2EFD2"/>
    <w:rsid w:val="6FF55067"/>
    <w:rsid w:val="6FF70C7C"/>
    <w:rsid w:val="6FF736B6"/>
    <w:rsid w:val="6FFE666F"/>
    <w:rsid w:val="701B6B38"/>
    <w:rsid w:val="704A5458"/>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CA1E5F"/>
    <w:rsid w:val="74E77EFD"/>
    <w:rsid w:val="74FB735B"/>
    <w:rsid w:val="7519F0F1"/>
    <w:rsid w:val="753A75CE"/>
    <w:rsid w:val="75472CB5"/>
    <w:rsid w:val="7547410B"/>
    <w:rsid w:val="75670E1B"/>
    <w:rsid w:val="757E8488"/>
    <w:rsid w:val="759D5D2B"/>
    <w:rsid w:val="759DDA6E"/>
    <w:rsid w:val="75B57793"/>
    <w:rsid w:val="75B847FC"/>
    <w:rsid w:val="75DFB6E5"/>
    <w:rsid w:val="75E60986"/>
    <w:rsid w:val="75FFAC91"/>
    <w:rsid w:val="76067541"/>
    <w:rsid w:val="76171E85"/>
    <w:rsid w:val="761E1DD9"/>
    <w:rsid w:val="76571F4C"/>
    <w:rsid w:val="766D0A82"/>
    <w:rsid w:val="767F7BF5"/>
    <w:rsid w:val="76824B18"/>
    <w:rsid w:val="769FBAE5"/>
    <w:rsid w:val="769FF50B"/>
    <w:rsid w:val="76A357D8"/>
    <w:rsid w:val="76F2C855"/>
    <w:rsid w:val="76FB0D0B"/>
    <w:rsid w:val="76FDC104"/>
    <w:rsid w:val="76FE6EBE"/>
    <w:rsid w:val="76FF4B69"/>
    <w:rsid w:val="7712305A"/>
    <w:rsid w:val="771BC93C"/>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FB1360"/>
    <w:rsid w:val="77FBF545"/>
    <w:rsid w:val="77FC65BD"/>
    <w:rsid w:val="77FD2258"/>
    <w:rsid w:val="77FDAFC9"/>
    <w:rsid w:val="77FDD67D"/>
    <w:rsid w:val="77FFAA62"/>
    <w:rsid w:val="78267840"/>
    <w:rsid w:val="7884684B"/>
    <w:rsid w:val="78A6232C"/>
    <w:rsid w:val="78BE02B4"/>
    <w:rsid w:val="78BF6301"/>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78ED9"/>
    <w:rsid w:val="7ADE746F"/>
    <w:rsid w:val="7ADF8D6D"/>
    <w:rsid w:val="7ADFEA57"/>
    <w:rsid w:val="7AEF1479"/>
    <w:rsid w:val="7AEF646F"/>
    <w:rsid w:val="7AF46CCC"/>
    <w:rsid w:val="7AF80114"/>
    <w:rsid w:val="7AFBA5EB"/>
    <w:rsid w:val="7B0C378D"/>
    <w:rsid w:val="7B14665D"/>
    <w:rsid w:val="7B211BE0"/>
    <w:rsid w:val="7B3604A3"/>
    <w:rsid w:val="7B64B9A8"/>
    <w:rsid w:val="7B6C23D0"/>
    <w:rsid w:val="7B77B281"/>
    <w:rsid w:val="7B7E3534"/>
    <w:rsid w:val="7B975221"/>
    <w:rsid w:val="7BA47726"/>
    <w:rsid w:val="7BB23E9F"/>
    <w:rsid w:val="7BBE7689"/>
    <w:rsid w:val="7BCA5CF9"/>
    <w:rsid w:val="7BCF053D"/>
    <w:rsid w:val="7BCFB8A0"/>
    <w:rsid w:val="7BD37350"/>
    <w:rsid w:val="7BDB8B1C"/>
    <w:rsid w:val="7BDE04C2"/>
    <w:rsid w:val="7BDF1B52"/>
    <w:rsid w:val="7BDFF045"/>
    <w:rsid w:val="7BE627E0"/>
    <w:rsid w:val="7BED0A2D"/>
    <w:rsid w:val="7BEF63A1"/>
    <w:rsid w:val="7BF2732B"/>
    <w:rsid w:val="7BF36A1C"/>
    <w:rsid w:val="7BF73FA3"/>
    <w:rsid w:val="7BF84618"/>
    <w:rsid w:val="7BF98F73"/>
    <w:rsid w:val="7BFBE961"/>
    <w:rsid w:val="7BFCCF9A"/>
    <w:rsid w:val="7BFD23BE"/>
    <w:rsid w:val="7BFF1252"/>
    <w:rsid w:val="7BFF4CBB"/>
    <w:rsid w:val="7BFFBEF3"/>
    <w:rsid w:val="7BFFFB61"/>
    <w:rsid w:val="7C199E8E"/>
    <w:rsid w:val="7C1E4662"/>
    <w:rsid w:val="7C6FAC73"/>
    <w:rsid w:val="7C805BDF"/>
    <w:rsid w:val="7C960D11"/>
    <w:rsid w:val="7C9D15C7"/>
    <w:rsid w:val="7CBE8518"/>
    <w:rsid w:val="7CD09542"/>
    <w:rsid w:val="7CD51442"/>
    <w:rsid w:val="7CEC546D"/>
    <w:rsid w:val="7CED360A"/>
    <w:rsid w:val="7CF11320"/>
    <w:rsid w:val="7CF81A8E"/>
    <w:rsid w:val="7D4877F9"/>
    <w:rsid w:val="7D5F766F"/>
    <w:rsid w:val="7D772C0B"/>
    <w:rsid w:val="7D7F3FD0"/>
    <w:rsid w:val="7D804B82"/>
    <w:rsid w:val="7D841571"/>
    <w:rsid w:val="7D9E4DCD"/>
    <w:rsid w:val="7DB44617"/>
    <w:rsid w:val="7DB912C6"/>
    <w:rsid w:val="7DCFA9AF"/>
    <w:rsid w:val="7DEF655E"/>
    <w:rsid w:val="7DEFDD4D"/>
    <w:rsid w:val="7DF55D84"/>
    <w:rsid w:val="7DF5E540"/>
    <w:rsid w:val="7DFFD3A2"/>
    <w:rsid w:val="7E15D1C6"/>
    <w:rsid w:val="7E1861B4"/>
    <w:rsid w:val="7E1E6385"/>
    <w:rsid w:val="7E1FF0C7"/>
    <w:rsid w:val="7E340988"/>
    <w:rsid w:val="7E3D5B49"/>
    <w:rsid w:val="7E3D6278"/>
    <w:rsid w:val="7E55A534"/>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305B"/>
    <w:rsid w:val="7EFF55D8"/>
    <w:rsid w:val="7EFFCA79"/>
    <w:rsid w:val="7F0B523C"/>
    <w:rsid w:val="7F1A2ADD"/>
    <w:rsid w:val="7F1FE4C4"/>
    <w:rsid w:val="7F2E9941"/>
    <w:rsid w:val="7F33F16A"/>
    <w:rsid w:val="7F3F0374"/>
    <w:rsid w:val="7F3F48D2"/>
    <w:rsid w:val="7F3FBEE0"/>
    <w:rsid w:val="7F5B0192"/>
    <w:rsid w:val="7F5ECA21"/>
    <w:rsid w:val="7F661F11"/>
    <w:rsid w:val="7F666B4F"/>
    <w:rsid w:val="7F66706F"/>
    <w:rsid w:val="7F6C9FEC"/>
    <w:rsid w:val="7F727128"/>
    <w:rsid w:val="7F753CAD"/>
    <w:rsid w:val="7F77DAA1"/>
    <w:rsid w:val="7F7B93FD"/>
    <w:rsid w:val="7F7D363C"/>
    <w:rsid w:val="7F7DAC06"/>
    <w:rsid w:val="7F7DB235"/>
    <w:rsid w:val="7F7DEE50"/>
    <w:rsid w:val="7F7F0159"/>
    <w:rsid w:val="7F7F6CA6"/>
    <w:rsid w:val="7F7FA077"/>
    <w:rsid w:val="7F7FA806"/>
    <w:rsid w:val="7F9E5011"/>
    <w:rsid w:val="7F9FA1D3"/>
    <w:rsid w:val="7FA72D69"/>
    <w:rsid w:val="7FAD3878"/>
    <w:rsid w:val="7FAF19EE"/>
    <w:rsid w:val="7FB9C803"/>
    <w:rsid w:val="7FBA1318"/>
    <w:rsid w:val="7FBBD329"/>
    <w:rsid w:val="7FBD0DDC"/>
    <w:rsid w:val="7FBD3C31"/>
    <w:rsid w:val="7FBD6887"/>
    <w:rsid w:val="7FBF10A2"/>
    <w:rsid w:val="7FBF4759"/>
    <w:rsid w:val="7FC7B7AE"/>
    <w:rsid w:val="7FCB0E86"/>
    <w:rsid w:val="7FCDBC4D"/>
    <w:rsid w:val="7FCEEA31"/>
    <w:rsid w:val="7FCFE3A1"/>
    <w:rsid w:val="7FD7B55D"/>
    <w:rsid w:val="7FDA4A78"/>
    <w:rsid w:val="7FDBD71A"/>
    <w:rsid w:val="7FDE6D84"/>
    <w:rsid w:val="7FDF0F57"/>
    <w:rsid w:val="7FDF8A26"/>
    <w:rsid w:val="7FE45506"/>
    <w:rsid w:val="7FE74340"/>
    <w:rsid w:val="7FE777B0"/>
    <w:rsid w:val="7FEA3A9C"/>
    <w:rsid w:val="7FED35EB"/>
    <w:rsid w:val="7FED80C2"/>
    <w:rsid w:val="7FEFB642"/>
    <w:rsid w:val="7FEFD588"/>
    <w:rsid w:val="7FEFF9FF"/>
    <w:rsid w:val="7FF06597"/>
    <w:rsid w:val="7FF40534"/>
    <w:rsid w:val="7FF43A54"/>
    <w:rsid w:val="7FF4E625"/>
    <w:rsid w:val="7FF50D29"/>
    <w:rsid w:val="7FF61C38"/>
    <w:rsid w:val="7FF67E62"/>
    <w:rsid w:val="7FF732C2"/>
    <w:rsid w:val="7FF756F8"/>
    <w:rsid w:val="7FF7B148"/>
    <w:rsid w:val="7FF9D75E"/>
    <w:rsid w:val="7FFA0210"/>
    <w:rsid w:val="7FFB1B1E"/>
    <w:rsid w:val="7FFB5EB7"/>
    <w:rsid w:val="7FFBE9D5"/>
    <w:rsid w:val="7FFCFDD1"/>
    <w:rsid w:val="7FFDC326"/>
    <w:rsid w:val="7FFDF859"/>
    <w:rsid w:val="7FFF3702"/>
    <w:rsid w:val="7FFF5AD3"/>
    <w:rsid w:val="7FFFEDA8"/>
    <w:rsid w:val="7FFFFFF5"/>
    <w:rsid w:val="80FFD23B"/>
    <w:rsid w:val="87647AF8"/>
    <w:rsid w:val="87FDA02F"/>
    <w:rsid w:val="8BAD3C64"/>
    <w:rsid w:val="8DFFD1AA"/>
    <w:rsid w:val="8F3E3382"/>
    <w:rsid w:val="8F7302B9"/>
    <w:rsid w:val="8FBB9A55"/>
    <w:rsid w:val="91DFE8F5"/>
    <w:rsid w:val="93DB74AF"/>
    <w:rsid w:val="97D71DFE"/>
    <w:rsid w:val="99ED0C9D"/>
    <w:rsid w:val="99FEE736"/>
    <w:rsid w:val="9A1E0A07"/>
    <w:rsid w:val="9D3EAF1C"/>
    <w:rsid w:val="9D6B2ED6"/>
    <w:rsid w:val="9D7F0DA6"/>
    <w:rsid w:val="9D9F82B4"/>
    <w:rsid w:val="9DBE3653"/>
    <w:rsid w:val="9DBF28CB"/>
    <w:rsid w:val="9DE5F549"/>
    <w:rsid w:val="9DEEA1A7"/>
    <w:rsid w:val="9DFFC56B"/>
    <w:rsid w:val="9EFFBFDC"/>
    <w:rsid w:val="9F1F0774"/>
    <w:rsid w:val="9F5770BF"/>
    <w:rsid w:val="9F746438"/>
    <w:rsid w:val="9F7F0326"/>
    <w:rsid w:val="9FAE96CE"/>
    <w:rsid w:val="9FBF075C"/>
    <w:rsid w:val="9FBF926B"/>
    <w:rsid w:val="9FFFBA19"/>
    <w:rsid w:val="9FFFF6C8"/>
    <w:rsid w:val="A4F29759"/>
    <w:rsid w:val="A56A5B4C"/>
    <w:rsid w:val="A5FD18B9"/>
    <w:rsid w:val="A5FD887E"/>
    <w:rsid w:val="A69E7D90"/>
    <w:rsid w:val="A798F561"/>
    <w:rsid w:val="A7F5298F"/>
    <w:rsid w:val="A9FBD03D"/>
    <w:rsid w:val="ABF7DC2D"/>
    <w:rsid w:val="ABFFE5E5"/>
    <w:rsid w:val="AD6D9B49"/>
    <w:rsid w:val="AD7E0448"/>
    <w:rsid w:val="ADFA5E98"/>
    <w:rsid w:val="AEAF57D7"/>
    <w:rsid w:val="AEBFBB0B"/>
    <w:rsid w:val="AEF841E1"/>
    <w:rsid w:val="AF3EBA8C"/>
    <w:rsid w:val="AF3F1F03"/>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944576"/>
    <w:rsid w:val="B6F78BBC"/>
    <w:rsid w:val="B6FF60FB"/>
    <w:rsid w:val="B777BAE6"/>
    <w:rsid w:val="B7792E3B"/>
    <w:rsid w:val="B77E4031"/>
    <w:rsid w:val="B77F9227"/>
    <w:rsid w:val="B78ED157"/>
    <w:rsid w:val="B78F4E27"/>
    <w:rsid w:val="B7A2D194"/>
    <w:rsid w:val="B7BF41DE"/>
    <w:rsid w:val="B7BF6161"/>
    <w:rsid w:val="B7DC0139"/>
    <w:rsid w:val="B7DF8790"/>
    <w:rsid w:val="B7EF1635"/>
    <w:rsid w:val="B7F3D556"/>
    <w:rsid w:val="B7F59EB5"/>
    <w:rsid w:val="B82FA061"/>
    <w:rsid w:val="B8834A40"/>
    <w:rsid w:val="B8C36AD2"/>
    <w:rsid w:val="B8FB85AD"/>
    <w:rsid w:val="B94390A1"/>
    <w:rsid w:val="B9F7DB7E"/>
    <w:rsid w:val="B9FDF686"/>
    <w:rsid w:val="BABB2ACA"/>
    <w:rsid w:val="BB5D82F3"/>
    <w:rsid w:val="BB6D2A73"/>
    <w:rsid w:val="BB7916AC"/>
    <w:rsid w:val="BBCF4FBF"/>
    <w:rsid w:val="BBDD7A8B"/>
    <w:rsid w:val="BBDEB2DA"/>
    <w:rsid w:val="BBDF3B74"/>
    <w:rsid w:val="BBDF9C7C"/>
    <w:rsid w:val="BBFE9003"/>
    <w:rsid w:val="BCCD3A25"/>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AA910C"/>
    <w:rsid w:val="BEBBD8C1"/>
    <w:rsid w:val="BEDB8436"/>
    <w:rsid w:val="BEF7187E"/>
    <w:rsid w:val="BEFB0E83"/>
    <w:rsid w:val="BF3A91C7"/>
    <w:rsid w:val="BF604D9D"/>
    <w:rsid w:val="BF6BD8BA"/>
    <w:rsid w:val="BF76AA92"/>
    <w:rsid w:val="BF76E7B0"/>
    <w:rsid w:val="BF77B18C"/>
    <w:rsid w:val="BF793CE4"/>
    <w:rsid w:val="BF7E4088"/>
    <w:rsid w:val="BF7EDFC0"/>
    <w:rsid w:val="BF7F3C1C"/>
    <w:rsid w:val="BF9A05E5"/>
    <w:rsid w:val="BFA12AD0"/>
    <w:rsid w:val="BFB75766"/>
    <w:rsid w:val="BFBD201B"/>
    <w:rsid w:val="BFBD622E"/>
    <w:rsid w:val="BFBFCBD6"/>
    <w:rsid w:val="BFDBC591"/>
    <w:rsid w:val="BFDC8098"/>
    <w:rsid w:val="BFDFF8CA"/>
    <w:rsid w:val="BFE32A1E"/>
    <w:rsid w:val="BFEDD8B4"/>
    <w:rsid w:val="BFEEB6FB"/>
    <w:rsid w:val="BFEF8AF5"/>
    <w:rsid w:val="BFF5BC68"/>
    <w:rsid w:val="BFF7C788"/>
    <w:rsid w:val="BFFC6D96"/>
    <w:rsid w:val="BFFF0B13"/>
    <w:rsid w:val="BFFFF591"/>
    <w:rsid w:val="C57B30B2"/>
    <w:rsid w:val="C5923726"/>
    <w:rsid w:val="C5BF2169"/>
    <w:rsid w:val="C5DF0AA3"/>
    <w:rsid w:val="C7470024"/>
    <w:rsid w:val="C7AD4B17"/>
    <w:rsid w:val="CB339C4C"/>
    <w:rsid w:val="CB5FE9A0"/>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4BDA523"/>
    <w:rsid w:val="D5FD486A"/>
    <w:rsid w:val="D5FD875C"/>
    <w:rsid w:val="D5FF1039"/>
    <w:rsid w:val="D6EB4C31"/>
    <w:rsid w:val="D73FAC7A"/>
    <w:rsid w:val="D7BBF31B"/>
    <w:rsid w:val="D7D5CC6F"/>
    <w:rsid w:val="D7DE753A"/>
    <w:rsid w:val="D7E09F42"/>
    <w:rsid w:val="D7FB59A0"/>
    <w:rsid w:val="D7FED8D0"/>
    <w:rsid w:val="D7FF672B"/>
    <w:rsid w:val="D7FFF9DF"/>
    <w:rsid w:val="D8A9D188"/>
    <w:rsid w:val="D9BD42E9"/>
    <w:rsid w:val="D9BE4408"/>
    <w:rsid w:val="DABFB485"/>
    <w:rsid w:val="DB2E96B1"/>
    <w:rsid w:val="DB99523A"/>
    <w:rsid w:val="DBBFC65C"/>
    <w:rsid w:val="DBCB3E80"/>
    <w:rsid w:val="DBD5E18D"/>
    <w:rsid w:val="DBDD1800"/>
    <w:rsid w:val="DBEA5FD9"/>
    <w:rsid w:val="DBF6C713"/>
    <w:rsid w:val="DBFAB6E2"/>
    <w:rsid w:val="DBFB628C"/>
    <w:rsid w:val="DBFF2B01"/>
    <w:rsid w:val="DBFFB739"/>
    <w:rsid w:val="DC7FF3D4"/>
    <w:rsid w:val="DCBDD353"/>
    <w:rsid w:val="DCE9A5E8"/>
    <w:rsid w:val="DCEBD107"/>
    <w:rsid w:val="DCEFE6D6"/>
    <w:rsid w:val="DCFC881A"/>
    <w:rsid w:val="DCFE0F4D"/>
    <w:rsid w:val="DD722B29"/>
    <w:rsid w:val="DDAB0F76"/>
    <w:rsid w:val="DDDCC728"/>
    <w:rsid w:val="DDFE9AAD"/>
    <w:rsid w:val="DEAC06F5"/>
    <w:rsid w:val="DEBE04B8"/>
    <w:rsid w:val="DEBFF87C"/>
    <w:rsid w:val="DECD45E5"/>
    <w:rsid w:val="DED7F2B4"/>
    <w:rsid w:val="DEDFDF58"/>
    <w:rsid w:val="DEE54E08"/>
    <w:rsid w:val="DEE670BC"/>
    <w:rsid w:val="DF37A205"/>
    <w:rsid w:val="DF3F1911"/>
    <w:rsid w:val="DF6DD13C"/>
    <w:rsid w:val="DF763325"/>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368F0"/>
    <w:rsid w:val="DFE73EF5"/>
    <w:rsid w:val="DFEC7A3A"/>
    <w:rsid w:val="DFEFA24D"/>
    <w:rsid w:val="DFEFFE04"/>
    <w:rsid w:val="DFF0F891"/>
    <w:rsid w:val="DFF30972"/>
    <w:rsid w:val="DFFB4111"/>
    <w:rsid w:val="DFFBC7E1"/>
    <w:rsid w:val="DFFCACE0"/>
    <w:rsid w:val="DFFE1E36"/>
    <w:rsid w:val="DFFF2B5D"/>
    <w:rsid w:val="DFFF3928"/>
    <w:rsid w:val="DFFFB827"/>
    <w:rsid w:val="E17F3390"/>
    <w:rsid w:val="E1BDB81F"/>
    <w:rsid w:val="E1EF2A08"/>
    <w:rsid w:val="E2ED36E5"/>
    <w:rsid w:val="E5BFBD14"/>
    <w:rsid w:val="E5FD79EC"/>
    <w:rsid w:val="E69DB6F6"/>
    <w:rsid w:val="E6EEE5E3"/>
    <w:rsid w:val="E6FA0EAF"/>
    <w:rsid w:val="E6FF671B"/>
    <w:rsid w:val="E7BECC07"/>
    <w:rsid w:val="E7DD1255"/>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BD923"/>
    <w:rsid w:val="EAFEB82D"/>
    <w:rsid w:val="EB7E0D37"/>
    <w:rsid w:val="EBAD28DF"/>
    <w:rsid w:val="EBB6D35F"/>
    <w:rsid w:val="EBBF4A2E"/>
    <w:rsid w:val="EBBFAF58"/>
    <w:rsid w:val="EBD957CC"/>
    <w:rsid w:val="EBF3BC79"/>
    <w:rsid w:val="EBFBA9D6"/>
    <w:rsid w:val="EBFD03CE"/>
    <w:rsid w:val="EBFFD39E"/>
    <w:rsid w:val="EC75EFAF"/>
    <w:rsid w:val="EC7FA350"/>
    <w:rsid w:val="ECF1EE47"/>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A54636"/>
    <w:rsid w:val="EFB99481"/>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899859"/>
    <w:rsid w:val="F2BF5C01"/>
    <w:rsid w:val="F2DCE203"/>
    <w:rsid w:val="F2FBA260"/>
    <w:rsid w:val="F32FE83B"/>
    <w:rsid w:val="F3723DB1"/>
    <w:rsid w:val="F3D7D169"/>
    <w:rsid w:val="F3EA0697"/>
    <w:rsid w:val="F3F2F550"/>
    <w:rsid w:val="F3F5BEE9"/>
    <w:rsid w:val="F3F8EE6C"/>
    <w:rsid w:val="F3FB14F0"/>
    <w:rsid w:val="F3FF05B4"/>
    <w:rsid w:val="F3FFD2DD"/>
    <w:rsid w:val="F4225257"/>
    <w:rsid w:val="F4571BDB"/>
    <w:rsid w:val="F4BF339E"/>
    <w:rsid w:val="F4CF00A8"/>
    <w:rsid w:val="F4EBD455"/>
    <w:rsid w:val="F57EA373"/>
    <w:rsid w:val="F5AB4465"/>
    <w:rsid w:val="F5AF1AAC"/>
    <w:rsid w:val="F5D6D416"/>
    <w:rsid w:val="F5EF5BA1"/>
    <w:rsid w:val="F5FFA048"/>
    <w:rsid w:val="F65EB912"/>
    <w:rsid w:val="F66E6811"/>
    <w:rsid w:val="F6F715DC"/>
    <w:rsid w:val="F6FC548F"/>
    <w:rsid w:val="F6FF0645"/>
    <w:rsid w:val="F70F4387"/>
    <w:rsid w:val="F75DEE87"/>
    <w:rsid w:val="F76FC34E"/>
    <w:rsid w:val="F77EAFBC"/>
    <w:rsid w:val="F79BF327"/>
    <w:rsid w:val="F7BB0BC8"/>
    <w:rsid w:val="F7BB5C28"/>
    <w:rsid w:val="F7BB7DA5"/>
    <w:rsid w:val="F7BF4B69"/>
    <w:rsid w:val="F7BFDD02"/>
    <w:rsid w:val="F7C640FC"/>
    <w:rsid w:val="F7D30B5E"/>
    <w:rsid w:val="F7D5FA45"/>
    <w:rsid w:val="F7DF177A"/>
    <w:rsid w:val="F7DFD18F"/>
    <w:rsid w:val="F7E9BB8D"/>
    <w:rsid w:val="F7EF6B7F"/>
    <w:rsid w:val="F7EFD4DB"/>
    <w:rsid w:val="F7FCA197"/>
    <w:rsid w:val="F7FD22F1"/>
    <w:rsid w:val="F7FD386B"/>
    <w:rsid w:val="F7FD7703"/>
    <w:rsid w:val="F7FE284C"/>
    <w:rsid w:val="F7FF9535"/>
    <w:rsid w:val="F7FF9C5D"/>
    <w:rsid w:val="F7FFC5CE"/>
    <w:rsid w:val="F7FFFA83"/>
    <w:rsid w:val="F8BCFDD8"/>
    <w:rsid w:val="F8DFCC7B"/>
    <w:rsid w:val="F8E5AE44"/>
    <w:rsid w:val="F8F29178"/>
    <w:rsid w:val="F917FFBA"/>
    <w:rsid w:val="F935F7E5"/>
    <w:rsid w:val="F94A355D"/>
    <w:rsid w:val="F94ED4F1"/>
    <w:rsid w:val="F956B32B"/>
    <w:rsid w:val="F96FE810"/>
    <w:rsid w:val="F9FA94DA"/>
    <w:rsid w:val="F9FFCD8A"/>
    <w:rsid w:val="F9FFE9E2"/>
    <w:rsid w:val="FA673975"/>
    <w:rsid w:val="FA6F5FA1"/>
    <w:rsid w:val="FA6F7A3B"/>
    <w:rsid w:val="FA9F3B8F"/>
    <w:rsid w:val="FABB1ADF"/>
    <w:rsid w:val="FAFB5879"/>
    <w:rsid w:val="FAFFE8B1"/>
    <w:rsid w:val="FB0FA5A1"/>
    <w:rsid w:val="FB1B2E8B"/>
    <w:rsid w:val="FB5DDB87"/>
    <w:rsid w:val="FB5F2D39"/>
    <w:rsid w:val="FB5F7A41"/>
    <w:rsid w:val="FB6141D0"/>
    <w:rsid w:val="FB737713"/>
    <w:rsid w:val="FB7620CB"/>
    <w:rsid w:val="FBAD924E"/>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D1654"/>
    <w:rsid w:val="FBFF537C"/>
    <w:rsid w:val="FBFF59BB"/>
    <w:rsid w:val="FBFFFF9E"/>
    <w:rsid w:val="FC2F7095"/>
    <w:rsid w:val="FC45570C"/>
    <w:rsid w:val="FC5D01CF"/>
    <w:rsid w:val="FC7390B6"/>
    <w:rsid w:val="FC7D08FF"/>
    <w:rsid w:val="FCBD7C47"/>
    <w:rsid w:val="FCCAE4B4"/>
    <w:rsid w:val="FCEF4AA4"/>
    <w:rsid w:val="FCF3C0FF"/>
    <w:rsid w:val="FCFE3BF1"/>
    <w:rsid w:val="FCFFC7AA"/>
    <w:rsid w:val="FD1F198B"/>
    <w:rsid w:val="FD3D1E0E"/>
    <w:rsid w:val="FD538289"/>
    <w:rsid w:val="FD5A3379"/>
    <w:rsid w:val="FD7F9963"/>
    <w:rsid w:val="FD9F4A15"/>
    <w:rsid w:val="FDAFF0EB"/>
    <w:rsid w:val="FDBE483E"/>
    <w:rsid w:val="FDCBF945"/>
    <w:rsid w:val="FDDF292B"/>
    <w:rsid w:val="FDE47190"/>
    <w:rsid w:val="FDEB5CB7"/>
    <w:rsid w:val="FDEB6716"/>
    <w:rsid w:val="FDEF2A04"/>
    <w:rsid w:val="FDF399A8"/>
    <w:rsid w:val="FDF63A37"/>
    <w:rsid w:val="FDF97ECA"/>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EF0ED8"/>
    <w:rsid w:val="FEF608EA"/>
    <w:rsid w:val="FEF7D53C"/>
    <w:rsid w:val="FEF99CBF"/>
    <w:rsid w:val="FEFC12E3"/>
    <w:rsid w:val="FEFEA587"/>
    <w:rsid w:val="FEFF7BD4"/>
    <w:rsid w:val="FF1E1442"/>
    <w:rsid w:val="FF3D390A"/>
    <w:rsid w:val="FF3E59B5"/>
    <w:rsid w:val="FF4FE9F1"/>
    <w:rsid w:val="FF5B8D7F"/>
    <w:rsid w:val="FF5D1F29"/>
    <w:rsid w:val="FF659D82"/>
    <w:rsid w:val="FF660C39"/>
    <w:rsid w:val="FF6BA83A"/>
    <w:rsid w:val="FF6C3765"/>
    <w:rsid w:val="FF6FB5D7"/>
    <w:rsid w:val="FF738773"/>
    <w:rsid w:val="FF75DB73"/>
    <w:rsid w:val="FF7AEC13"/>
    <w:rsid w:val="FF7B52EA"/>
    <w:rsid w:val="FF7B874E"/>
    <w:rsid w:val="FF7C84EC"/>
    <w:rsid w:val="FF7DC127"/>
    <w:rsid w:val="FF7EEB41"/>
    <w:rsid w:val="FF7F4185"/>
    <w:rsid w:val="FF7F4461"/>
    <w:rsid w:val="FF8F6649"/>
    <w:rsid w:val="FF97B671"/>
    <w:rsid w:val="FF9FA27F"/>
    <w:rsid w:val="FFA6D6F5"/>
    <w:rsid w:val="FFADDE42"/>
    <w:rsid w:val="FFAF5F11"/>
    <w:rsid w:val="FFB2CB99"/>
    <w:rsid w:val="FFB769D4"/>
    <w:rsid w:val="FFBCC349"/>
    <w:rsid w:val="FFBD8E1E"/>
    <w:rsid w:val="FFBEB8C7"/>
    <w:rsid w:val="FFBF0390"/>
    <w:rsid w:val="FFC7C6F9"/>
    <w:rsid w:val="FFCC2759"/>
    <w:rsid w:val="FFCE4F99"/>
    <w:rsid w:val="FFCF23F3"/>
    <w:rsid w:val="FFCF688E"/>
    <w:rsid w:val="FFCF6C60"/>
    <w:rsid w:val="FFD34341"/>
    <w:rsid w:val="FFD51B27"/>
    <w:rsid w:val="FFD55392"/>
    <w:rsid w:val="FFD73722"/>
    <w:rsid w:val="FFD9E784"/>
    <w:rsid w:val="FFDC3BE9"/>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FB73"/>
    <w:rsid w:val="FFFB0977"/>
    <w:rsid w:val="FFFB2B15"/>
    <w:rsid w:val="FFFBAE4E"/>
    <w:rsid w:val="FFFD5F2A"/>
    <w:rsid w:val="FFFD8BDA"/>
    <w:rsid w:val="FFFDC7E6"/>
    <w:rsid w:val="FFFDDB9B"/>
    <w:rsid w:val="FFFE0AE4"/>
    <w:rsid w:val="FFFE5B9E"/>
    <w:rsid w:val="FFFEAABD"/>
    <w:rsid w:val="FFFECC37"/>
    <w:rsid w:val="FFFF058F"/>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4">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qFormat/>
    <w:uiPriority w:val="9"/>
    <w:pPr>
      <w:keepNext/>
      <w:keepLines/>
      <w:spacing w:before="260" w:after="260" w:line="416" w:lineRule="auto"/>
      <w:outlineLvl w:val="2"/>
    </w:pPr>
    <w:rPr>
      <w:bCs/>
      <w:szCs w:val="32"/>
    </w:rPr>
  </w:style>
  <w:style w:type="paragraph" w:styleId="6">
    <w:name w:val="heading 4"/>
    <w:basedOn w:val="1"/>
    <w:next w:val="1"/>
    <w:qFormat/>
    <w:uiPriority w:val="99"/>
    <w:pPr>
      <w:widowControl/>
      <w:spacing w:before="100" w:beforeAutospacing="1" w:after="100" w:afterAutospacing="1"/>
      <w:jc w:val="left"/>
      <w:outlineLvl w:val="3"/>
    </w:pPr>
    <w:rPr>
      <w:rFonts w:ascii="宋体" w:hAnsi="宋体" w:cs="宋体"/>
      <w:b/>
      <w:bCs/>
      <w:kern w:val="0"/>
      <w:sz w:val="24"/>
      <w:szCs w:val="2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annotation text"/>
    <w:basedOn w:val="1"/>
    <w:link w:val="27"/>
    <w:qFormat/>
    <w:uiPriority w:val="0"/>
    <w:pPr>
      <w:jc w:val="left"/>
    </w:pPr>
  </w:style>
  <w:style w:type="paragraph" w:styleId="8">
    <w:name w:val="Body Text Indent"/>
    <w:basedOn w:val="1"/>
    <w:next w:val="1"/>
    <w:qFormat/>
    <w:uiPriority w:val="0"/>
    <w:pPr>
      <w:spacing w:line="480" w:lineRule="exact"/>
      <w:ind w:firstLine="480" w:firstLineChars="200"/>
    </w:pPr>
    <w:rPr>
      <w:rFonts w:ascii="宋体" w:hAnsi="宋体"/>
      <w:color w:val="FF0000"/>
      <w:kern w:val="0"/>
      <w:sz w:val="24"/>
    </w:rPr>
  </w:style>
  <w:style w:type="paragraph" w:styleId="9">
    <w:name w:val="Body Text Indent 2"/>
    <w:basedOn w:val="1"/>
    <w:next w:val="10"/>
    <w:qFormat/>
    <w:uiPriority w:val="0"/>
    <w:pPr>
      <w:spacing w:line="460" w:lineRule="exact"/>
      <w:ind w:firstLine="600" w:firstLineChars="200"/>
    </w:pPr>
    <w:rPr>
      <w:rFonts w:ascii="仿宋_GB2312" w:hAnsi="宋体" w:eastAsia="仿宋_GB2312"/>
      <w:sz w:val="30"/>
      <w:szCs w:val="28"/>
    </w:rPr>
  </w:style>
  <w:style w:type="paragraph" w:styleId="10">
    <w:name w:val="Body Text First Indent 2"/>
    <w:basedOn w:val="8"/>
    <w:next w:val="1"/>
    <w:unhideWhenUsed/>
    <w:qFormat/>
    <w:uiPriority w:val="0"/>
    <w:pPr>
      <w:spacing w:after="120" w:line="240" w:lineRule="auto"/>
      <w:ind w:left="420" w:leftChars="200" w:firstLine="420"/>
    </w:pPr>
  </w:style>
  <w:style w:type="paragraph" w:styleId="11">
    <w:name w:val="Balloon Text"/>
    <w:basedOn w:val="1"/>
    <w:link w:val="29"/>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annotation subject"/>
    <w:basedOn w:val="7"/>
    <w:next w:val="7"/>
    <w:link w:val="28"/>
    <w:qFormat/>
    <w:uiPriority w:val="0"/>
    <w:rPr>
      <w:b/>
      <w:bCs/>
    </w:rPr>
  </w:style>
  <w:style w:type="paragraph" w:styleId="15">
    <w:name w:val="Body Text First Indent"/>
    <w:basedOn w:val="2"/>
    <w:unhideWhenUsed/>
    <w:qFormat/>
    <w:uiPriority w:val="99"/>
    <w:pPr>
      <w:ind w:firstLine="420" w:firstLineChars="100"/>
    </w:pPr>
    <w:rPr>
      <w:szCs w:val="22"/>
    </w:rPr>
  </w:style>
  <w:style w:type="character" w:styleId="18">
    <w:name w:val="page number"/>
    <w:basedOn w:val="17"/>
    <w:qFormat/>
    <w:uiPriority w:val="0"/>
  </w:style>
  <w:style w:type="character" w:styleId="19">
    <w:name w:val="annotation reference"/>
    <w:basedOn w:val="17"/>
    <w:qFormat/>
    <w:uiPriority w:val="0"/>
    <w:rPr>
      <w:sz w:val="21"/>
      <w:szCs w:val="21"/>
    </w:rPr>
  </w:style>
  <w:style w:type="paragraph" w:customStyle="1" w:styleId="20">
    <w:name w:val="样式 标题 2"/>
    <w:basedOn w:val="4"/>
    <w:next w:val="21"/>
    <w:qFormat/>
    <w:uiPriority w:val="0"/>
    <w:pPr>
      <w:spacing w:before="50" w:after="50"/>
    </w:pPr>
    <w:rPr>
      <w:szCs w:val="28"/>
    </w:rPr>
  </w:style>
  <w:style w:type="paragraph" w:customStyle="1" w:styleId="21">
    <w:name w:val="Default1"/>
    <w:basedOn w:val="22"/>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2">
    <w:name w:val="Normal_14_0"/>
    <w:qFormat/>
    <w:uiPriority w:val="0"/>
    <w:pPr>
      <w:spacing w:before="120" w:after="240"/>
      <w:jc w:val="both"/>
    </w:pPr>
    <w:rPr>
      <w:rFonts w:ascii="Calibri" w:hAnsi="Calibri" w:eastAsia="Calibri" w:cs="Times New Roman"/>
      <w:sz w:val="22"/>
      <w:szCs w:val="22"/>
      <w:lang w:val="ru-RU" w:eastAsia="en-US" w:bidi="ar-SA"/>
    </w:rPr>
  </w:style>
  <w:style w:type="paragraph" w:customStyle="1" w:styleId="23">
    <w:name w:val="xl27"/>
    <w:basedOn w:val="1"/>
    <w:next w:val="24"/>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4">
    <w:name w:val="A正文"/>
    <w:basedOn w:val="1"/>
    <w:qFormat/>
    <w:uiPriority w:val="0"/>
    <w:pPr>
      <w:widowControl/>
      <w:overflowPunct w:val="0"/>
      <w:autoSpaceDE w:val="0"/>
      <w:autoSpaceDN w:val="0"/>
      <w:jc w:val="left"/>
      <w:textAlignment w:val="baseline"/>
    </w:pPr>
  </w:style>
  <w:style w:type="paragraph" w:customStyle="1" w:styleId="25">
    <w:name w:val="Default"/>
    <w:basedOn w:val="26"/>
    <w:next w:val="10"/>
    <w:qFormat/>
    <w:uiPriority w:val="0"/>
    <w:pPr>
      <w:autoSpaceDE w:val="0"/>
      <w:autoSpaceDN w:val="0"/>
      <w:adjustRightInd w:val="0"/>
    </w:pPr>
    <w:rPr>
      <w:rFonts w:ascii="仿宋_GB2312" w:eastAsia="仿宋_GB2312" w:cs="仿宋_GB2312"/>
      <w:sz w:val="24"/>
    </w:rPr>
  </w:style>
  <w:style w:type="paragraph" w:customStyle="1" w:styleId="26">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character" w:customStyle="1" w:styleId="27">
    <w:name w:val="批注文字 Char"/>
    <w:basedOn w:val="17"/>
    <w:link w:val="7"/>
    <w:qFormat/>
    <w:uiPriority w:val="0"/>
    <w:rPr>
      <w:kern w:val="2"/>
      <w:sz w:val="21"/>
      <w:szCs w:val="24"/>
    </w:rPr>
  </w:style>
  <w:style w:type="character" w:customStyle="1" w:styleId="28">
    <w:name w:val="批注主题 Char"/>
    <w:basedOn w:val="27"/>
    <w:link w:val="14"/>
    <w:qFormat/>
    <w:uiPriority w:val="0"/>
    <w:rPr>
      <w:b/>
      <w:bCs/>
      <w:kern w:val="2"/>
      <w:sz w:val="21"/>
      <w:szCs w:val="24"/>
    </w:rPr>
  </w:style>
  <w:style w:type="character" w:customStyle="1" w:styleId="29">
    <w:name w:val="批注框文本 Char"/>
    <w:basedOn w:val="17"/>
    <w:link w:val="11"/>
    <w:qFormat/>
    <w:uiPriority w:val="0"/>
    <w:rPr>
      <w:kern w:val="2"/>
      <w:sz w:val="18"/>
      <w:szCs w:val="18"/>
    </w:rPr>
  </w:style>
  <w:style w:type="paragraph" w:customStyle="1" w:styleId="30">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Zxmsoft</Company>
  <Pages>8</Pages>
  <Words>753</Words>
  <Characters>4296</Characters>
  <Lines>35</Lines>
  <Paragraphs>10</Paragraphs>
  <TotalTime>6</TotalTime>
  <ScaleCrop>false</ScaleCrop>
  <LinksUpToDate>false</LinksUpToDate>
  <CharactersWithSpaces>5039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2022-03-05T17:25:00Z</dcterms:created>
  <dc:creator>Administrator</dc:creator>
  <cp:lastModifiedBy>admin123</cp:lastModifiedBy>
  <cp:lastPrinted>2023-02-11T00:25:00Z</cp:lastPrinted>
  <dcterms:modified xsi:type="dcterms:W3CDTF">2023-03-16T16:41:26Z</dcterms:modified>
  <cp:revision>530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FCBE9B4CC0E04C92A70FAB8A4987C073</vt:lpwstr>
  </property>
</Properties>
</file>