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hint="default" w:ascii="仿宋" w:hAnsi="仿宋" w:eastAsia="仿宋_GB2312"/>
          <w:color w:val="FF0000"/>
          <w:w w:val="57"/>
          <w:sz w:val="32"/>
          <w:szCs w:val="32"/>
          <w:lang w:val="en-US" w:eastAsia="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w:t>
      </w:r>
      <w:r>
        <w:rPr>
          <w:rFonts w:hint="default"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11</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520" w:lineRule="exact"/>
        <w:jc w:val="center"/>
        <w:rPr>
          <w:rFonts w:hint="eastAsia" w:ascii="方正小标宋简体" w:hAnsi="宋体" w:eastAsia="方正小标宋简体"/>
          <w:w w:val="100"/>
          <w:sz w:val="44"/>
          <w:szCs w:val="44"/>
          <w:lang w:eastAsia="zh-CN"/>
        </w:rPr>
      </w:pPr>
      <w:r>
        <w:rPr>
          <w:rFonts w:hint="eastAsia" w:ascii="方正小标宋简体" w:hAnsi="方正小标宋简体" w:eastAsia="方正小标宋简体" w:cs="方正小标宋简体"/>
          <w:bCs/>
          <w:color w:val="000000"/>
          <w:w w:val="100"/>
          <w:sz w:val="44"/>
          <w:szCs w:val="44"/>
          <w:lang w:val="en-US" w:eastAsia="zh-CN"/>
        </w:rPr>
        <w:t>关于</w:t>
      </w:r>
      <w:r>
        <w:rPr>
          <w:rFonts w:hint="eastAsia" w:ascii="方正小标宋简体" w:hAnsi="宋体" w:eastAsia="方正小标宋简体"/>
          <w:w w:val="100"/>
          <w:sz w:val="44"/>
          <w:szCs w:val="44"/>
          <w:lang w:eastAsia="zh-CN"/>
        </w:rPr>
        <w:t>江西双云新能源有限公司</w:t>
      </w:r>
    </w:p>
    <w:p>
      <w:pPr>
        <w:spacing w:line="520" w:lineRule="exact"/>
        <w:jc w:val="center"/>
        <w:rPr>
          <w:rFonts w:hint="eastAsia" w:ascii="方正小标宋简体" w:hAnsi="宋体" w:eastAsia="方正小标宋简体"/>
          <w:w w:val="100"/>
          <w:sz w:val="44"/>
          <w:szCs w:val="44"/>
          <w:lang w:eastAsia="zh-CN"/>
        </w:rPr>
      </w:pPr>
      <w:r>
        <w:rPr>
          <w:rFonts w:hint="eastAsia" w:ascii="方正小标宋简体" w:hAnsi="宋体" w:eastAsia="方正小标宋简体"/>
          <w:w w:val="100"/>
          <w:sz w:val="44"/>
          <w:szCs w:val="44"/>
          <w:lang w:eastAsia="zh-CN"/>
        </w:rPr>
        <w:t>年产8000吨新能源树脂胶固化剂项目</w:t>
      </w:r>
    </w:p>
    <w:p>
      <w:pPr>
        <w:spacing w:line="520" w:lineRule="exact"/>
        <w:jc w:val="center"/>
        <w:rPr>
          <w:rFonts w:ascii="方正小标宋简体" w:hAnsi="宋体" w:eastAsia="方正小标宋简体"/>
          <w:w w:val="100"/>
          <w:sz w:val="44"/>
          <w:szCs w:val="44"/>
        </w:rPr>
      </w:pPr>
      <w:r>
        <w:rPr>
          <w:rFonts w:hint="eastAsia" w:ascii="方正小标宋简体" w:hAnsi="宋体" w:eastAsia="方正小标宋简体"/>
          <w:w w:val="100"/>
          <w:sz w:val="44"/>
          <w:szCs w:val="44"/>
        </w:rPr>
        <w:t>环境影响报告书的批复</w:t>
      </w:r>
    </w:p>
    <w:p>
      <w:pPr>
        <w:keepNext w:val="0"/>
        <w:keepLines w:val="0"/>
        <w:pageBreakBefore w:val="0"/>
        <w:widowControl w:val="0"/>
        <w:kinsoku/>
        <w:wordWrap/>
        <w:overflowPunct/>
        <w:topLinePunct w:val="0"/>
        <w:autoSpaceDE w:val="0"/>
        <w:autoSpaceDN/>
        <w:bidi w:val="0"/>
        <w:spacing w:line="600" w:lineRule="exact"/>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40" w:lineRule="exact"/>
        <w:jc w:val="both"/>
        <w:textAlignment w:val="auto"/>
        <w:rPr>
          <w:rFonts w:hint="eastAsia" w:ascii="仿宋_GB2312" w:hAnsi="仿宋" w:eastAsia="仿宋_GB2312" w:cs="仿宋"/>
          <w:sz w:val="32"/>
          <w:szCs w:val="32"/>
          <w:lang w:val="en-US" w:eastAsia="zh-CN"/>
        </w:rPr>
      </w:pPr>
      <w:r>
        <w:rPr>
          <w:rFonts w:hint="eastAsia" w:ascii="仿宋_GB2312" w:hAnsi="仿宋_GB2312" w:eastAsia="仿宋_GB2312" w:cs="仿宋_GB2312"/>
          <w:b w:val="0"/>
          <w:bCs/>
          <w:snapToGrid w:val="0"/>
          <w:color w:val="000000"/>
          <w:sz w:val="32"/>
          <w:szCs w:val="32"/>
          <w:lang w:eastAsia="zh-CN"/>
        </w:rPr>
        <w:t>江西双云新能源有限公司</w:t>
      </w:r>
      <w:r>
        <w:rPr>
          <w:rFonts w:hint="eastAsia" w:ascii="仿宋_GB2312" w:hAnsi="仿宋" w:eastAsia="仿宋_GB2312" w:cs="仿宋"/>
          <w:sz w:val="32"/>
          <w:szCs w:val="32"/>
          <w:lang w:val="en-US" w:eastAsia="zh-CN"/>
        </w:rPr>
        <w:t>：</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你公司</w:t>
      </w:r>
      <w:r>
        <w:rPr>
          <w:rFonts w:hint="eastAsia" w:ascii="仿宋_GB2312" w:hAnsi="仿宋" w:eastAsia="仿宋_GB2312" w:cs="仿宋"/>
          <w:sz w:val="32"/>
          <w:szCs w:val="32"/>
          <w:lang w:eastAsia="zh-CN"/>
        </w:rPr>
        <w:t>《关于请求审批</w:t>
      </w:r>
      <w:r>
        <w:rPr>
          <w:rFonts w:hint="eastAsia" w:ascii="仿宋_GB2312" w:hAnsi="仿宋" w:eastAsia="仿宋_GB2312" w:cs="仿宋"/>
          <w:sz w:val="32"/>
          <w:szCs w:val="32"/>
          <w:lang w:val="en-US" w:eastAsia="zh-CN"/>
        </w:rPr>
        <w:t>〈</w:t>
      </w:r>
      <w:r>
        <w:rPr>
          <w:rFonts w:hint="eastAsia" w:ascii="仿宋_GB2312" w:hAnsi="仿宋_GB2312" w:eastAsia="仿宋_GB2312" w:cs="仿宋_GB2312"/>
          <w:b w:val="0"/>
          <w:bCs/>
          <w:snapToGrid w:val="0"/>
          <w:color w:val="000000"/>
          <w:sz w:val="32"/>
          <w:szCs w:val="32"/>
          <w:lang w:eastAsia="zh-CN"/>
        </w:rPr>
        <w:t>江西双云新能源有限公司年产8000吨新能源树脂胶固化剂项目</w:t>
      </w:r>
      <w:r>
        <w:rPr>
          <w:rFonts w:hint="eastAsia" w:ascii="仿宋_GB2312" w:hAnsi="仿宋_GB2312" w:eastAsia="仿宋_GB2312" w:cs="仿宋_GB2312"/>
          <w:b w:val="0"/>
          <w:bCs/>
          <w:snapToGrid w:val="0"/>
          <w:color w:val="000000"/>
          <w:sz w:val="32"/>
          <w:szCs w:val="32"/>
        </w:rPr>
        <w:t>环境影响报告书</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请示》以及相关资料收悉，经研究，批复如下：</w:t>
      </w:r>
    </w:p>
    <w:p>
      <w:pPr>
        <w:keepNext w:val="0"/>
        <w:keepLines w:val="0"/>
        <w:pageBreakBefore w:val="0"/>
        <w:widowControl w:val="0"/>
        <w:kinsoku/>
        <w:wordWrap/>
        <w:overflowPunct/>
        <w:topLinePunct w:val="0"/>
        <w:autoSpaceDN/>
        <w:bidi w:val="0"/>
        <w:adjustRightInd/>
        <w:snapToGrid/>
        <w:spacing w:line="54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黑体" w:hAnsi="黑体" w:eastAsia="黑体"/>
          <w:kern w:val="0"/>
          <w:sz w:val="32"/>
          <w:szCs w:val="32"/>
        </w:rPr>
        <w:t>一、项目建设内容及批复意见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snapToGrid w:val="0"/>
          <w:color w:val="auto"/>
          <w:sz w:val="32"/>
          <w:szCs w:val="32"/>
          <w:lang w:eastAsia="zh-CN"/>
        </w:rPr>
      </w:pPr>
      <w:r>
        <w:rPr>
          <w:rFonts w:hint="eastAsia" w:ascii="仿宋_GB2312" w:hAnsi="仿宋_GB2312" w:eastAsia="仿宋_GB2312" w:cs="仿宋_GB2312"/>
          <w:b w:val="0"/>
          <w:bCs/>
          <w:snapToGrid w:val="0"/>
          <w:color w:val="auto"/>
          <w:sz w:val="32"/>
          <w:szCs w:val="32"/>
          <w:lang w:eastAsia="zh-CN"/>
        </w:rPr>
        <w:t>江西双云新能源有限公司年产8000吨新能源树脂胶固化剂项目</w:t>
      </w:r>
      <w:r>
        <w:rPr>
          <w:rFonts w:hint="eastAsia" w:ascii="仿宋_GB2312" w:hAnsi="仿宋_GB2312" w:eastAsia="仿宋_GB2312" w:cs="仿宋_GB2312"/>
          <w:b w:val="0"/>
          <w:bCs/>
          <w:snapToGrid w:val="0"/>
          <w:color w:val="auto"/>
          <w:sz w:val="32"/>
          <w:szCs w:val="32"/>
          <w:lang w:val="en-US" w:eastAsia="zh-CN"/>
        </w:rPr>
        <w:t>拟建于</w:t>
      </w:r>
      <w:r>
        <w:rPr>
          <w:rFonts w:hint="eastAsia" w:ascii="仿宋_GB2312" w:hAnsi="仿宋_GB2312" w:eastAsia="仿宋_GB2312" w:cs="仿宋_GB2312"/>
          <w:b w:val="0"/>
          <w:bCs/>
          <w:snapToGrid w:val="0"/>
          <w:color w:val="auto"/>
          <w:sz w:val="32"/>
          <w:szCs w:val="32"/>
        </w:rPr>
        <w:t>袁州</w:t>
      </w:r>
      <w:r>
        <w:rPr>
          <w:rFonts w:hint="eastAsia" w:ascii="仿宋_GB2312" w:hAnsi="仿宋_GB2312" w:eastAsia="仿宋_GB2312" w:cs="仿宋_GB2312"/>
          <w:b w:val="0"/>
          <w:bCs/>
          <w:snapToGrid w:val="0"/>
          <w:color w:val="auto"/>
          <w:sz w:val="32"/>
          <w:szCs w:val="32"/>
          <w:lang w:eastAsia="zh-CN"/>
        </w:rPr>
        <w:t>医药</w:t>
      </w:r>
      <w:r>
        <w:rPr>
          <w:rFonts w:hint="eastAsia" w:ascii="仿宋_GB2312" w:hAnsi="仿宋_GB2312" w:eastAsia="仿宋_GB2312" w:cs="仿宋_GB2312"/>
          <w:b w:val="0"/>
          <w:bCs/>
          <w:snapToGrid w:val="0"/>
          <w:color w:val="auto"/>
          <w:sz w:val="32"/>
          <w:szCs w:val="32"/>
        </w:rPr>
        <w:t>工业园湖东路</w:t>
      </w:r>
      <w:r>
        <w:rPr>
          <w:rFonts w:hint="eastAsia" w:ascii="仿宋_GB2312" w:hAnsi="仿宋_GB2312" w:eastAsia="仿宋_GB2312" w:cs="仿宋_GB2312"/>
          <w:b w:val="0"/>
          <w:bCs/>
          <w:snapToGrid w:val="0"/>
          <w:color w:val="auto"/>
          <w:sz w:val="32"/>
          <w:szCs w:val="32"/>
          <w:lang w:eastAsia="zh-CN"/>
        </w:rPr>
        <w:t>、化工产业区内</w:t>
      </w:r>
      <w:r>
        <w:rPr>
          <w:rFonts w:hint="eastAsia" w:ascii="仿宋_GB2312" w:hAnsi="仿宋_GB2312" w:eastAsia="仿宋_GB2312" w:cs="仿宋_GB2312"/>
          <w:b w:val="0"/>
          <w:bCs/>
          <w:snapToGrid w:val="0"/>
          <w:color w:val="auto"/>
          <w:sz w:val="32"/>
          <w:szCs w:val="32"/>
        </w:rPr>
        <w:t>，</w:t>
      </w:r>
      <w:r>
        <w:rPr>
          <w:rFonts w:hint="eastAsia" w:ascii="仿宋_GB2312" w:hAnsi="仿宋_GB2312" w:eastAsia="仿宋_GB2312" w:cs="仿宋_GB2312"/>
          <w:b w:val="0"/>
          <w:bCs/>
          <w:snapToGrid w:val="0"/>
          <w:color w:val="auto"/>
          <w:sz w:val="32"/>
          <w:szCs w:val="32"/>
          <w:lang w:eastAsia="zh-CN"/>
        </w:rPr>
        <w:t>厂区中心</w:t>
      </w:r>
      <w:r>
        <w:rPr>
          <w:rFonts w:hint="eastAsia" w:ascii="仿宋_GB2312" w:hAnsi="仿宋_GB2312" w:eastAsia="仿宋_GB2312" w:cs="仿宋_GB2312"/>
          <w:b w:val="0"/>
          <w:bCs/>
          <w:snapToGrid w:val="0"/>
          <w:color w:val="auto"/>
          <w:sz w:val="32"/>
          <w:szCs w:val="32"/>
        </w:rPr>
        <w:t>地理坐标为东经114°21′59.156″</w:t>
      </w:r>
      <w:r>
        <w:rPr>
          <w:rFonts w:hint="eastAsia" w:ascii="仿宋_GB2312" w:hAnsi="仿宋_GB2312" w:eastAsia="仿宋_GB2312" w:cs="仿宋_GB2312"/>
          <w:b w:val="0"/>
          <w:bCs/>
          <w:snapToGrid w:val="0"/>
          <w:color w:val="auto"/>
          <w:sz w:val="32"/>
          <w:szCs w:val="32"/>
          <w:lang w:eastAsia="zh-CN"/>
        </w:rPr>
        <w:t>、</w:t>
      </w:r>
      <w:r>
        <w:rPr>
          <w:rFonts w:hint="eastAsia" w:ascii="仿宋_GB2312" w:hAnsi="仿宋_GB2312" w:eastAsia="仿宋_GB2312" w:cs="仿宋_GB2312"/>
          <w:b w:val="0"/>
          <w:bCs/>
          <w:snapToGrid w:val="0"/>
          <w:color w:val="auto"/>
          <w:sz w:val="32"/>
          <w:szCs w:val="32"/>
        </w:rPr>
        <w:t>北纬27°53′47.411″</w:t>
      </w:r>
      <w:r>
        <w:rPr>
          <w:rFonts w:hint="eastAsia" w:ascii="仿宋_GB2312" w:hAnsi="仿宋_GB2312" w:eastAsia="仿宋_GB2312" w:cs="仿宋_GB2312"/>
          <w:b w:val="0"/>
          <w:bCs/>
          <w:snapToGrid w:val="0"/>
          <w:color w:val="auto"/>
          <w:sz w:val="32"/>
          <w:szCs w:val="32"/>
          <w:lang w:eastAsia="zh-CN"/>
        </w:rPr>
        <w:t>，全厂</w:t>
      </w:r>
      <w:r>
        <w:rPr>
          <w:rFonts w:hint="eastAsia" w:ascii="仿宋_GB2312" w:hAnsi="仿宋_GB2312" w:eastAsia="仿宋_GB2312" w:cs="仿宋_GB2312"/>
          <w:b w:val="0"/>
          <w:bCs/>
          <w:snapToGrid w:val="0"/>
          <w:color w:val="auto"/>
          <w:sz w:val="32"/>
          <w:szCs w:val="32"/>
          <w:lang w:val="en-US" w:eastAsia="zh-CN"/>
        </w:rPr>
        <w:t>总</w:t>
      </w:r>
      <w:r>
        <w:rPr>
          <w:rFonts w:hint="eastAsia" w:ascii="仿宋_GB2312" w:hAnsi="仿宋_GB2312" w:eastAsia="仿宋_GB2312" w:cs="仿宋_GB2312"/>
          <w:b w:val="0"/>
          <w:bCs/>
          <w:snapToGrid w:val="0"/>
          <w:color w:val="auto"/>
          <w:sz w:val="32"/>
          <w:szCs w:val="32"/>
          <w:lang w:eastAsia="zh-CN"/>
        </w:rPr>
        <w:t>占地面积</w:t>
      </w:r>
      <w:r>
        <w:rPr>
          <w:rFonts w:hint="eastAsia" w:ascii="仿宋_GB2312" w:hAnsi="仿宋_GB2312" w:eastAsia="仿宋_GB2312" w:cs="仿宋_GB2312"/>
          <w:b w:val="0"/>
          <w:bCs/>
          <w:snapToGrid w:val="0"/>
          <w:color w:val="auto"/>
          <w:sz w:val="32"/>
          <w:szCs w:val="32"/>
          <w:lang w:val="en-US" w:eastAsia="zh-CN"/>
        </w:rPr>
        <w:t>约40.4</w:t>
      </w:r>
      <w:r>
        <w:rPr>
          <w:rFonts w:hint="eastAsia" w:ascii="仿宋_GB2312" w:hAnsi="仿宋_GB2312" w:eastAsia="仿宋_GB2312" w:cs="仿宋_GB2312"/>
          <w:b w:val="0"/>
          <w:bCs/>
          <w:snapToGrid w:val="0"/>
          <w:color w:val="auto"/>
          <w:sz w:val="32"/>
          <w:szCs w:val="32"/>
          <w:lang w:eastAsia="zh-CN"/>
        </w:rPr>
        <w:t>亩。项目厂址西侧为康宁路、康宁路西北侧为宜春湖东科技有限公司，北侧、南侧为工业园规划用地，东侧为荒草地、荒草地以东为焦溪村白竹组村庄。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snapToGrid w:val="0"/>
          <w:color w:val="auto"/>
          <w:sz w:val="32"/>
          <w:szCs w:val="32"/>
          <w:lang w:val="en-US" w:eastAsia="zh-CN"/>
        </w:rPr>
      </w:pPr>
      <w:r>
        <w:rPr>
          <w:rFonts w:hint="eastAsia" w:ascii="仿宋_GB2312" w:hAnsi="仿宋_GB2312" w:eastAsia="仿宋_GB2312" w:cs="仿宋_GB2312"/>
          <w:b w:val="0"/>
          <w:bCs/>
          <w:snapToGrid w:val="0"/>
          <w:color w:val="auto"/>
          <w:sz w:val="32"/>
          <w:szCs w:val="32"/>
          <w:lang w:val="en-US" w:eastAsia="zh-CN"/>
        </w:rPr>
        <w:t>本项目为新建工程，主要以十八烷不饱和脂肪酸二聚物（二聚酸）、有机胺、 环氧树脂、苯甲醇、甲基丙烯酸甲酯、甲基丙烯酸等为原辅料，通过缩合、搅拌、冷却、过滤、灌装等工艺生产锂电池正负极环氧结构胶4000t/a，水性锂电芯胶黏剂4000t/a。</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snapToGrid w:val="0"/>
          <w:color w:val="auto"/>
          <w:sz w:val="32"/>
          <w:szCs w:val="32"/>
          <w:lang w:val="en-US" w:eastAsia="zh-CN"/>
        </w:rPr>
      </w:pPr>
      <w:r>
        <w:rPr>
          <w:rFonts w:hint="eastAsia" w:ascii="仿宋_GB2312" w:hAnsi="仿宋_GB2312" w:eastAsia="仿宋_GB2312" w:cs="仿宋_GB2312"/>
          <w:b w:val="0"/>
          <w:bCs/>
          <w:snapToGrid w:val="0"/>
          <w:color w:val="auto"/>
          <w:sz w:val="32"/>
          <w:szCs w:val="32"/>
          <w:lang w:val="en-US" w:eastAsia="zh-CN"/>
        </w:rPr>
        <w:t>项目总投资30600万元人民币，环保投资478万元，约占总投资的1.56%。</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snapToGrid w:val="0"/>
          <w:color w:val="auto"/>
          <w:sz w:val="32"/>
          <w:szCs w:val="32"/>
          <w:lang w:val="en-US" w:eastAsia="zh-CN"/>
        </w:rPr>
      </w:pPr>
      <w:r>
        <w:rPr>
          <w:rFonts w:hint="eastAsia" w:ascii="仿宋_GB2312" w:hAnsi="仿宋_GB2312" w:eastAsia="仿宋_GB2312" w:cs="仿宋_GB2312"/>
          <w:b w:val="0"/>
          <w:bCs/>
          <w:snapToGrid w:val="0"/>
          <w:color w:val="auto"/>
          <w:sz w:val="32"/>
          <w:szCs w:val="32"/>
          <w:lang w:val="en-US" w:eastAsia="zh-CN"/>
        </w:rPr>
        <w:t>你公司应全面落实《江西双云新能源有限公司年产8000吨新能源树脂胶固化剂项目环境影响报告书》（以下简称《报告书》）、《江西双云新能源有限公司年产8000吨新能源树脂胶固化剂项目环境影响报告书评估意见》（以下简称《评估意见》）提出的各项污染防治措施以及环境风险防范措施和有关承诺要求，缓解和控制不利环境影响。从环境保护角度我局原则同意《报告书》中所列工程性质、地点、规模、生产工艺和环境保护对策措施。</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jc w:val="both"/>
        <w:textAlignment w:val="auto"/>
        <w:rPr>
          <w:rFonts w:hint="eastAsia" w:ascii="方正黑体_GBK" w:hAnsi="方正黑体_GBK" w:eastAsia="方正黑体_GBK" w:cs="方正黑体_GBK"/>
          <w:b w:val="0"/>
          <w:bCs/>
          <w:snapToGrid w:val="0"/>
          <w:color w:val="auto"/>
          <w:sz w:val="32"/>
          <w:szCs w:val="32"/>
          <w:lang w:val="en-US" w:eastAsia="zh-CN"/>
        </w:rPr>
      </w:pPr>
      <w:r>
        <w:rPr>
          <w:rFonts w:hint="eastAsia" w:ascii="方正黑体_GBK" w:hAnsi="方正黑体_GBK" w:eastAsia="方正黑体_GBK" w:cs="方正黑体_GBK"/>
          <w:lang w:val="en-US" w:eastAsia="zh-CN"/>
        </w:rPr>
        <w:t xml:space="preserve"> </w:t>
      </w:r>
      <w:r>
        <w:rPr>
          <w:rFonts w:hint="eastAsia" w:ascii="黑体" w:hAnsi="黑体" w:eastAsia="黑体"/>
          <w:kern w:val="0"/>
          <w:sz w:val="32"/>
          <w:szCs w:val="32"/>
          <w:lang w:val="en-US" w:eastAsia="zh-CN"/>
        </w:rPr>
        <w:t xml:space="preserve"> 二、污染防治措施及要求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snapToGrid w:val="0"/>
          <w:color w:val="auto"/>
          <w:sz w:val="32"/>
          <w:szCs w:val="32"/>
          <w:lang w:val="en-US" w:eastAsia="zh-CN"/>
        </w:rPr>
      </w:pPr>
      <w:r>
        <w:rPr>
          <w:rFonts w:hint="eastAsia" w:ascii="仿宋_GB2312" w:hAnsi="仿宋_GB2312" w:eastAsia="仿宋_GB2312" w:cs="仿宋_GB2312"/>
          <w:b w:val="0"/>
          <w:bCs/>
          <w:snapToGrid w:val="0"/>
          <w:color w:val="auto"/>
          <w:sz w:val="32"/>
          <w:szCs w:val="32"/>
          <w:lang w:val="en-US" w:eastAsia="zh-CN"/>
        </w:rPr>
        <w:t>项目在工程设计、建设和生产过程中必须认真落实《报告书》提出的各项环保要求，重点做好以下几项工作：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Times New Roman"/>
          <w:bCs/>
          <w:color w:val="auto"/>
          <w:sz w:val="32"/>
          <w:szCs w:val="32"/>
          <w:lang w:eastAsia="zh-CN"/>
        </w:rPr>
      </w:pPr>
      <w:r>
        <w:rPr>
          <w:rFonts w:hint="eastAsia" w:ascii="楷体_GB2312" w:hAnsi="楷体_GB2312" w:eastAsia="楷体_GB2312" w:cs="楷体_GB2312"/>
          <w:bCs/>
          <w:color w:val="auto"/>
          <w:sz w:val="32"/>
          <w:szCs w:val="32"/>
          <w:lang w:eastAsia="zh-CN"/>
        </w:rPr>
        <w:t>（一）</w:t>
      </w:r>
      <w:r>
        <w:rPr>
          <w:rFonts w:hint="eastAsia" w:ascii="楷体_GB2312" w:hAnsi="楷体_GB2312" w:eastAsia="楷体_GB2312" w:cs="楷体_GB2312"/>
          <w:b w:val="0"/>
          <w:bCs/>
          <w:snapToGrid w:val="0"/>
          <w:color w:val="auto"/>
          <w:sz w:val="32"/>
          <w:szCs w:val="32"/>
          <w:lang w:val="en-US" w:eastAsia="zh-CN"/>
        </w:rPr>
        <w:t>严格落实水污染防治措施</w:t>
      </w:r>
      <w:r>
        <w:rPr>
          <w:rFonts w:hint="eastAsia" w:ascii="仿宋_GB2312" w:hAnsi="仿宋_GB2312" w:eastAsia="仿宋_GB2312" w:cs="仿宋_GB2312"/>
          <w:b w:val="0"/>
          <w:bCs/>
          <w:snapToGrid w:val="0"/>
          <w:color w:val="auto"/>
          <w:sz w:val="32"/>
          <w:szCs w:val="32"/>
          <w:lang w:val="en-US" w:eastAsia="zh-CN"/>
        </w:rPr>
        <w:t>。按照“清污分流、雨污分流、分质处理、一水多用”原则，合理制定废水收集、处理方案。</w:t>
      </w:r>
      <w:r>
        <w:rPr>
          <w:rFonts w:hint="eastAsia" w:ascii="仿宋_GB2312" w:hAnsi="仿宋_GB2312" w:eastAsia="仿宋_GB2312" w:cs="Times New Roman"/>
          <w:bCs/>
          <w:color w:val="auto"/>
          <w:sz w:val="32"/>
          <w:szCs w:val="32"/>
        </w:rPr>
        <w:t>本项目废水主要为</w:t>
      </w:r>
      <w:r>
        <w:rPr>
          <w:rFonts w:hint="eastAsia" w:ascii="仿宋_GB2312" w:hAnsi="仿宋_GB2312" w:eastAsia="仿宋_GB2312" w:cs="Times New Roman"/>
          <w:bCs/>
          <w:color w:val="auto"/>
          <w:sz w:val="32"/>
          <w:szCs w:val="32"/>
          <w:lang w:eastAsia="zh-CN"/>
        </w:rPr>
        <w:t>生产废水（</w:t>
      </w:r>
      <w:r>
        <w:rPr>
          <w:rFonts w:hint="eastAsia" w:ascii="仿宋_GB2312" w:hAnsi="仿宋_GB2312" w:eastAsia="仿宋_GB2312" w:cs="Times New Roman"/>
          <w:bCs/>
          <w:color w:val="auto"/>
          <w:sz w:val="32"/>
          <w:szCs w:val="32"/>
        </w:rPr>
        <w:t>工艺废水、</w:t>
      </w:r>
      <w:r>
        <w:rPr>
          <w:rFonts w:hint="eastAsia" w:ascii="仿宋_GB2312" w:hAnsi="仿宋_GB2312" w:eastAsia="仿宋_GB2312" w:cs="Times New Roman"/>
          <w:bCs/>
          <w:color w:val="auto"/>
          <w:sz w:val="32"/>
          <w:szCs w:val="32"/>
          <w:lang w:val="en-US" w:eastAsia="zh-CN"/>
        </w:rPr>
        <w:t>真空泵废水、车间地面清洁废水</w:t>
      </w:r>
      <w:r>
        <w:rPr>
          <w:rFonts w:hint="eastAsia" w:ascii="仿宋_GB2312" w:hAnsi="仿宋_GB2312" w:eastAsia="仿宋_GB2312" w:cs="Times New Roman"/>
          <w:bCs/>
          <w:color w:val="auto"/>
          <w:sz w:val="32"/>
          <w:szCs w:val="32"/>
        </w:rPr>
        <w:t>、</w:t>
      </w:r>
      <w:r>
        <w:rPr>
          <w:rFonts w:hint="eastAsia" w:ascii="仿宋_GB2312" w:hAnsi="仿宋_GB2312" w:eastAsia="仿宋_GB2312" w:cs="Times New Roman"/>
          <w:bCs/>
          <w:color w:val="auto"/>
          <w:sz w:val="32"/>
          <w:szCs w:val="32"/>
          <w:lang w:val="en-US" w:eastAsia="zh-CN"/>
        </w:rPr>
        <w:t>设备清洗</w:t>
      </w:r>
      <w:r>
        <w:rPr>
          <w:rFonts w:hint="eastAsia" w:ascii="仿宋_GB2312" w:hAnsi="仿宋_GB2312" w:eastAsia="仿宋_GB2312" w:cs="Times New Roman"/>
          <w:bCs/>
          <w:color w:val="auto"/>
          <w:sz w:val="32"/>
          <w:szCs w:val="32"/>
        </w:rPr>
        <w:t>废水</w:t>
      </w:r>
      <w:r>
        <w:rPr>
          <w:rFonts w:hint="eastAsia" w:ascii="仿宋_GB2312" w:hAnsi="仿宋_GB2312" w:eastAsia="仿宋_GB2312" w:cs="Times New Roman"/>
          <w:bCs/>
          <w:color w:val="auto"/>
          <w:sz w:val="32"/>
          <w:szCs w:val="32"/>
          <w:lang w:eastAsia="zh-CN"/>
        </w:rPr>
        <w:t>、</w:t>
      </w:r>
      <w:r>
        <w:rPr>
          <w:rFonts w:hint="eastAsia" w:ascii="仿宋_GB2312" w:hAnsi="仿宋_GB2312" w:eastAsia="仿宋_GB2312" w:cs="Times New Roman"/>
          <w:bCs/>
          <w:color w:val="auto"/>
          <w:sz w:val="32"/>
          <w:szCs w:val="32"/>
          <w:lang w:val="en-US" w:eastAsia="zh-CN"/>
        </w:rPr>
        <w:t>废气喷淋废水</w:t>
      </w:r>
      <w:r>
        <w:rPr>
          <w:rFonts w:hint="eastAsia" w:ascii="仿宋_GB2312" w:hAnsi="仿宋_GB2312" w:eastAsia="仿宋_GB2312" w:cs="Times New Roman"/>
          <w:bCs/>
          <w:color w:val="auto"/>
          <w:sz w:val="32"/>
          <w:szCs w:val="32"/>
          <w:lang w:eastAsia="zh-CN"/>
        </w:rPr>
        <w:t>）</w:t>
      </w:r>
      <w:r>
        <w:rPr>
          <w:rFonts w:hint="eastAsia" w:ascii="仿宋_GB2312" w:hAnsi="仿宋_GB2312" w:eastAsia="仿宋_GB2312" w:cs="Times New Roman"/>
          <w:bCs/>
          <w:color w:val="auto"/>
          <w:sz w:val="32"/>
          <w:szCs w:val="32"/>
          <w:lang w:val="en-US" w:eastAsia="zh-CN"/>
        </w:rPr>
        <w:t>、生活污水</w:t>
      </w:r>
      <w:r>
        <w:rPr>
          <w:rFonts w:hint="eastAsia" w:ascii="仿宋_GB2312" w:hAnsi="仿宋_GB2312" w:eastAsia="仿宋_GB2312" w:cs="Times New Roman"/>
          <w:bCs/>
          <w:color w:val="auto"/>
          <w:sz w:val="32"/>
          <w:szCs w:val="32"/>
        </w:rPr>
        <w:t>以及初期雨水</w:t>
      </w:r>
      <w:r>
        <w:rPr>
          <w:rFonts w:hint="eastAsia" w:ascii="仿宋_GB2312" w:hAnsi="仿宋_GB2312" w:eastAsia="仿宋_GB2312" w:cs="Times New Roman"/>
          <w:bCs/>
          <w:color w:val="auto"/>
          <w:sz w:val="32"/>
          <w:szCs w:val="32"/>
          <w:lang w:eastAsia="zh-CN"/>
        </w:rPr>
        <w:t>等。</w:t>
      </w:r>
      <w:r>
        <w:rPr>
          <w:rFonts w:hint="eastAsia" w:ascii="仿宋_GB2312" w:hAnsi="仿宋_GB2312" w:eastAsia="仿宋_GB2312" w:cs="Times New Roman"/>
          <w:bCs/>
          <w:color w:val="auto"/>
          <w:sz w:val="32"/>
          <w:szCs w:val="32"/>
        </w:rPr>
        <w:t>生产废水</w:t>
      </w:r>
      <w:r>
        <w:rPr>
          <w:rFonts w:hint="eastAsia" w:ascii="仿宋_GB2312" w:hAnsi="仿宋_GB2312" w:eastAsia="仿宋_GB2312" w:cs="Times New Roman"/>
          <w:bCs/>
          <w:color w:val="auto"/>
          <w:sz w:val="32"/>
          <w:szCs w:val="32"/>
          <w:lang w:eastAsia="zh-CN"/>
        </w:rPr>
        <w:t>经“</w:t>
      </w:r>
      <w:r>
        <w:rPr>
          <w:rFonts w:hint="eastAsia" w:ascii="仿宋_GB2312" w:hAnsi="仿宋_GB2312" w:eastAsia="仿宋_GB2312" w:cs="Times New Roman"/>
          <w:bCs/>
          <w:color w:val="auto"/>
          <w:sz w:val="32"/>
          <w:szCs w:val="32"/>
        </w:rPr>
        <w:t>隔油池+铁碳微电解+芬顿氧化+除氮单元</w:t>
      </w:r>
      <w:r>
        <w:rPr>
          <w:rFonts w:hint="eastAsia" w:ascii="仿宋_GB2312" w:hAnsi="仿宋_GB2312" w:eastAsia="仿宋_GB2312" w:cs="Times New Roman"/>
          <w:bCs/>
          <w:color w:val="auto"/>
          <w:sz w:val="32"/>
          <w:szCs w:val="32"/>
          <w:lang w:eastAsia="zh-CN"/>
        </w:rPr>
        <w:t>”进行</w:t>
      </w:r>
      <w:r>
        <w:rPr>
          <w:rFonts w:hint="eastAsia" w:ascii="仿宋_GB2312" w:hAnsi="仿宋_GB2312" w:eastAsia="仿宋_GB2312" w:cs="Times New Roman"/>
          <w:bCs/>
          <w:color w:val="auto"/>
          <w:sz w:val="32"/>
          <w:szCs w:val="32"/>
        </w:rPr>
        <w:t>预处理；生活</w:t>
      </w:r>
      <w:r>
        <w:rPr>
          <w:rFonts w:hint="eastAsia" w:ascii="仿宋_GB2312" w:hAnsi="仿宋_GB2312" w:eastAsia="仿宋_GB2312" w:cs="Times New Roman"/>
          <w:bCs/>
          <w:color w:val="auto"/>
          <w:sz w:val="32"/>
          <w:szCs w:val="32"/>
          <w:lang w:eastAsia="zh-CN"/>
        </w:rPr>
        <w:t>污</w:t>
      </w:r>
      <w:r>
        <w:rPr>
          <w:rFonts w:hint="eastAsia" w:ascii="仿宋_GB2312" w:hAnsi="仿宋_GB2312" w:eastAsia="仿宋_GB2312" w:cs="Times New Roman"/>
          <w:bCs/>
          <w:color w:val="auto"/>
          <w:sz w:val="32"/>
          <w:szCs w:val="32"/>
        </w:rPr>
        <w:t>水</w:t>
      </w:r>
      <w:r>
        <w:rPr>
          <w:rFonts w:hint="eastAsia" w:ascii="仿宋_GB2312" w:hAnsi="仿宋_GB2312" w:eastAsia="仿宋_GB2312" w:cs="Times New Roman"/>
          <w:bCs/>
          <w:color w:val="auto"/>
          <w:sz w:val="32"/>
          <w:szCs w:val="32"/>
          <w:lang w:eastAsia="zh-CN"/>
        </w:rPr>
        <w:t>经过“</w:t>
      </w:r>
      <w:r>
        <w:rPr>
          <w:rFonts w:hint="eastAsia" w:ascii="仿宋_GB2312" w:hAnsi="仿宋_GB2312" w:eastAsia="仿宋_GB2312" w:cs="Times New Roman"/>
          <w:bCs/>
          <w:color w:val="auto"/>
          <w:sz w:val="32"/>
          <w:szCs w:val="32"/>
        </w:rPr>
        <w:t>隔油池+化粪池</w:t>
      </w:r>
      <w:r>
        <w:rPr>
          <w:rFonts w:hint="eastAsia" w:ascii="仿宋_GB2312" w:hAnsi="仿宋_GB2312" w:eastAsia="仿宋_GB2312" w:cs="Times New Roman"/>
          <w:bCs/>
          <w:color w:val="auto"/>
          <w:sz w:val="32"/>
          <w:szCs w:val="32"/>
          <w:lang w:eastAsia="zh-CN"/>
        </w:rPr>
        <w:t>”</w:t>
      </w:r>
      <w:r>
        <w:rPr>
          <w:rFonts w:hint="eastAsia" w:ascii="仿宋_GB2312" w:hAnsi="仿宋_GB2312" w:eastAsia="仿宋_GB2312" w:cs="Times New Roman"/>
          <w:bCs/>
          <w:color w:val="auto"/>
          <w:sz w:val="32"/>
          <w:szCs w:val="32"/>
        </w:rPr>
        <w:t>预处理；</w:t>
      </w:r>
      <w:r>
        <w:rPr>
          <w:rFonts w:hint="eastAsia" w:ascii="仿宋_GB2312" w:hAnsi="仿宋_GB2312" w:eastAsia="仿宋_GB2312" w:cs="Times New Roman"/>
          <w:bCs/>
          <w:color w:val="auto"/>
          <w:sz w:val="32"/>
          <w:szCs w:val="32"/>
          <w:lang w:eastAsia="zh-CN"/>
        </w:rPr>
        <w:t>初期雨水经收集后进厂区污水处理站处理；以上</w:t>
      </w:r>
      <w:r>
        <w:rPr>
          <w:rFonts w:hint="eastAsia" w:ascii="仿宋_GB2312" w:hAnsi="仿宋_GB2312" w:eastAsia="仿宋_GB2312" w:cs="Times New Roman"/>
          <w:bCs/>
          <w:color w:val="auto"/>
          <w:sz w:val="32"/>
          <w:szCs w:val="32"/>
        </w:rPr>
        <w:t>综合废水</w:t>
      </w:r>
      <w:r>
        <w:rPr>
          <w:rFonts w:hint="eastAsia" w:ascii="仿宋_GB2312" w:hAnsi="仿宋_GB2312" w:eastAsia="仿宋_GB2312" w:cs="Times New Roman"/>
          <w:bCs/>
          <w:color w:val="auto"/>
          <w:sz w:val="32"/>
          <w:szCs w:val="32"/>
          <w:lang w:eastAsia="zh-CN"/>
        </w:rPr>
        <w:t>一起进入厂区污水处理站处理，处理工艺为</w:t>
      </w:r>
      <w:r>
        <w:rPr>
          <w:rFonts w:hint="eastAsia" w:ascii="仿宋_GB2312" w:hAnsi="仿宋_GB2312" w:eastAsia="仿宋_GB2312" w:cs="Times New Roman"/>
          <w:bCs/>
          <w:color w:val="auto"/>
          <w:sz w:val="32"/>
          <w:szCs w:val="32"/>
        </w:rPr>
        <w:t>A/O</w:t>
      </w:r>
      <w:r>
        <w:rPr>
          <w:rFonts w:hint="eastAsia" w:ascii="仿宋_GB2312" w:hAnsi="仿宋_GB2312" w:eastAsia="仿宋_GB2312" w:cs="Times New Roman"/>
          <w:bCs/>
          <w:color w:val="auto"/>
          <w:sz w:val="32"/>
          <w:szCs w:val="32"/>
          <w:lang w:eastAsia="zh-CN"/>
        </w:rPr>
        <w:t>工艺或其他更为成熟先进的工艺，经处理后</w:t>
      </w:r>
      <w:r>
        <w:rPr>
          <w:rFonts w:hint="eastAsia" w:ascii="仿宋_GB2312" w:hAnsi="仿宋_GB2312" w:eastAsia="仿宋_GB2312" w:cs="Times New Roman"/>
          <w:bCs/>
          <w:color w:val="auto"/>
          <w:sz w:val="32"/>
          <w:szCs w:val="32"/>
          <w:lang w:val="en-US" w:eastAsia="zh-CN"/>
        </w:rPr>
        <w:t>主要污染物COD、BOD</w:t>
      </w:r>
      <w:r>
        <w:rPr>
          <w:rFonts w:hint="eastAsia" w:ascii="仿宋_GB2312" w:hAnsi="仿宋_GB2312" w:eastAsia="仿宋_GB2312" w:cs="Times New Roman"/>
          <w:bCs/>
          <w:color w:val="auto"/>
          <w:sz w:val="32"/>
          <w:szCs w:val="32"/>
          <w:vertAlign w:val="subscript"/>
          <w:lang w:val="en-US" w:eastAsia="zh-CN"/>
        </w:rPr>
        <w:t>5</w:t>
      </w:r>
      <w:r>
        <w:rPr>
          <w:rFonts w:hint="eastAsia" w:ascii="仿宋_GB2312" w:hAnsi="仿宋_GB2312" w:eastAsia="仿宋_GB2312" w:cs="Times New Roman"/>
          <w:bCs/>
          <w:color w:val="auto"/>
          <w:sz w:val="32"/>
          <w:szCs w:val="32"/>
          <w:lang w:val="en-US" w:eastAsia="zh-CN"/>
        </w:rPr>
        <w:t>、悬浮物、氨氮、总氮、二甲苯等满足</w:t>
      </w:r>
      <w:r>
        <w:rPr>
          <w:rFonts w:hint="eastAsia" w:ascii="仿宋_GB2312" w:hAnsi="仿宋_GB2312" w:eastAsia="仿宋_GB2312" w:cs="Times New Roman"/>
          <w:bCs/>
          <w:color w:val="auto"/>
          <w:sz w:val="32"/>
          <w:szCs w:val="32"/>
        </w:rPr>
        <w:t>宜春经济技术开发区</w:t>
      </w:r>
      <w:r>
        <w:rPr>
          <w:rFonts w:hint="eastAsia" w:ascii="仿宋_GB2312" w:hAnsi="仿宋_GB2312" w:eastAsia="仿宋_GB2312" w:cs="Times New Roman"/>
          <w:bCs/>
          <w:color w:val="auto"/>
          <w:sz w:val="32"/>
          <w:szCs w:val="32"/>
          <w:lang w:val="en-US" w:eastAsia="zh-CN"/>
        </w:rPr>
        <w:t>污水处理厂接管标准要求，其他指标满足《合成树脂工业污染物排放标准》（GB31572-2015）表 1 中间接排放限值及《污水综合排放标准》（GB8978-1996）中一级标准要求，</w:t>
      </w:r>
      <w:r>
        <w:rPr>
          <w:rFonts w:hint="eastAsia" w:ascii="仿宋_GB2312" w:hAnsi="仿宋_GB2312" w:eastAsia="仿宋_GB2312" w:cs="Times New Roman"/>
          <w:bCs/>
          <w:color w:val="auto"/>
          <w:sz w:val="32"/>
          <w:szCs w:val="32"/>
          <w:lang w:eastAsia="zh-CN"/>
        </w:rPr>
        <w:t>单位产品基准排水量执行《合成树脂工业污染物排放标准》（GB31572-2015）表</w:t>
      </w:r>
      <w:r>
        <w:rPr>
          <w:rFonts w:hint="eastAsia" w:ascii="仿宋_GB2312" w:hAnsi="仿宋_GB2312" w:eastAsia="仿宋_GB2312" w:cs="Times New Roman"/>
          <w:bCs/>
          <w:color w:val="auto"/>
          <w:sz w:val="32"/>
          <w:szCs w:val="32"/>
          <w:lang w:val="en-US" w:eastAsia="zh-CN"/>
        </w:rPr>
        <w:t>3</w:t>
      </w:r>
      <w:r>
        <w:rPr>
          <w:rFonts w:hint="eastAsia" w:ascii="仿宋_GB2312" w:hAnsi="仿宋_GB2312" w:eastAsia="仿宋_GB2312" w:cs="Times New Roman"/>
          <w:bCs/>
          <w:color w:val="auto"/>
          <w:sz w:val="32"/>
          <w:szCs w:val="32"/>
          <w:lang w:eastAsia="zh-CN"/>
        </w:rPr>
        <w:t>中聚酰胺树脂单位产品基准排水量后，经园区污水管网排入</w:t>
      </w:r>
      <w:r>
        <w:rPr>
          <w:rFonts w:hint="eastAsia" w:ascii="仿宋_GB2312" w:hAnsi="仿宋_GB2312" w:eastAsia="仿宋_GB2312" w:cs="Times New Roman"/>
          <w:bCs/>
          <w:color w:val="auto"/>
          <w:sz w:val="32"/>
          <w:szCs w:val="32"/>
        </w:rPr>
        <w:t>宜春经济技术开发区污水处理厂</w:t>
      </w:r>
      <w:r>
        <w:rPr>
          <w:rFonts w:hint="eastAsia" w:ascii="仿宋_GB2312" w:hAnsi="仿宋_GB2312" w:eastAsia="仿宋_GB2312" w:cs="Times New Roman"/>
          <w:bCs/>
          <w:color w:val="auto"/>
          <w:sz w:val="32"/>
          <w:szCs w:val="32"/>
          <w:lang w:eastAsia="zh-CN"/>
        </w:rPr>
        <w:t>进一步处理</w:t>
      </w:r>
      <w:r>
        <w:rPr>
          <w:rFonts w:hint="eastAsia" w:ascii="仿宋_GB2312" w:eastAsia="仿宋_GB2312"/>
          <w:color w:val="auto"/>
          <w:sz w:val="32"/>
          <w:szCs w:val="32"/>
        </w:rPr>
        <w:t>达《城镇污水处理厂污染物排放标准》（GB18918-2002）一级A标准，</w:t>
      </w:r>
      <w:r>
        <w:rPr>
          <w:rFonts w:hint="eastAsia" w:ascii="仿宋_GB2312" w:hAnsi="仿宋_GB2312" w:eastAsia="仿宋_GB2312" w:cs="Times New Roman"/>
          <w:bCs/>
          <w:color w:val="auto"/>
          <w:sz w:val="32"/>
          <w:szCs w:val="32"/>
        </w:rPr>
        <w:t>尾水</w:t>
      </w:r>
      <w:r>
        <w:rPr>
          <w:rFonts w:hint="eastAsia" w:ascii="仿宋_GB2312" w:hAnsi="仿宋_GB2312" w:eastAsia="仿宋_GB2312" w:cs="Times New Roman"/>
          <w:bCs/>
          <w:color w:val="auto"/>
          <w:sz w:val="32"/>
          <w:szCs w:val="32"/>
          <w:lang w:eastAsia="zh-CN"/>
        </w:rPr>
        <w:t>排入渥江再入袁河。</w:t>
      </w:r>
    </w:p>
    <w:p>
      <w:pPr>
        <w:pStyle w:val="2"/>
        <w:keepNext w:val="0"/>
        <w:keepLines w:val="0"/>
        <w:pageBreakBefore w:val="0"/>
        <w:numPr>
          <w:ilvl w:val="0"/>
          <w:numId w:val="0"/>
        </w:numPr>
        <w:kinsoku/>
        <w:wordWrap/>
        <w:overflowPunct/>
        <w:topLinePunct w:val="0"/>
        <w:bidi w:val="0"/>
        <w:spacing w:after="0" w:line="540" w:lineRule="exact"/>
        <w:jc w:val="both"/>
        <w:textAlignment w:val="auto"/>
        <w:rPr>
          <w:rFonts w:hint="default"/>
          <w:lang w:val="en-US" w:eastAsia="zh-CN"/>
        </w:rPr>
      </w:pPr>
      <w:r>
        <w:rPr>
          <w:rFonts w:hint="eastAsia"/>
          <w:lang w:val="en-US" w:eastAsia="zh-CN"/>
        </w:rPr>
        <w:t xml:space="preserve">      </w:t>
      </w:r>
      <w:r>
        <w:rPr>
          <w:rFonts w:hint="eastAsia" w:ascii="仿宋_GB2312" w:hAnsi="仿宋_GB2312" w:eastAsia="仿宋_GB2312" w:cs="Times New Roman"/>
          <w:bCs/>
          <w:color w:val="auto"/>
          <w:kern w:val="2"/>
          <w:sz w:val="32"/>
          <w:szCs w:val="32"/>
          <w:lang w:val="en-US" w:eastAsia="zh-CN" w:bidi="ar-SA"/>
        </w:rPr>
        <w:t>本项目厂区污水总排放口排放量为</w:t>
      </w:r>
      <w:r>
        <w:rPr>
          <w:rFonts w:hint="eastAsia" w:ascii="仿宋_GB2312" w:hAnsi="仿宋_GB2312" w:eastAsia="仿宋_GB2312" w:cs="Times New Roman"/>
          <w:bCs/>
          <w:color w:val="auto"/>
          <w:sz w:val="32"/>
          <w:szCs w:val="32"/>
        </w:rPr>
        <w:t>COD</w:t>
      </w:r>
      <w:r>
        <w:rPr>
          <w:rFonts w:hint="eastAsia" w:ascii="仿宋_GB2312" w:hAnsi="仿宋_GB2312" w:eastAsia="仿宋_GB2312" w:cs="Times New Roman"/>
          <w:bCs/>
          <w:color w:val="auto"/>
          <w:sz w:val="32"/>
          <w:szCs w:val="32"/>
          <w:lang w:val="en-US" w:eastAsia="zh-CN"/>
        </w:rPr>
        <w:t xml:space="preserve"> </w:t>
      </w:r>
      <w:r>
        <w:rPr>
          <w:rFonts w:hint="eastAsia" w:ascii="东文宋体" w:hAnsi="东文宋体" w:eastAsia="东文宋体" w:cs="东文宋体"/>
          <w:bCs/>
          <w:color w:val="auto"/>
          <w:sz w:val="32"/>
          <w:szCs w:val="32"/>
          <w:lang w:val="en-US" w:eastAsia="zh-CN"/>
        </w:rPr>
        <w:t>≤</w:t>
      </w:r>
      <w:r>
        <w:rPr>
          <w:rFonts w:hint="eastAsia" w:ascii="仿宋_GB2312" w:hAnsi="仿宋_GB2312" w:eastAsia="仿宋_GB2312" w:cs="Times New Roman"/>
          <w:bCs/>
          <w:color w:val="auto"/>
          <w:sz w:val="32"/>
          <w:szCs w:val="32"/>
          <w:lang w:val="en-US" w:eastAsia="zh-CN"/>
        </w:rPr>
        <w:t>1.732</w:t>
      </w:r>
      <w:r>
        <w:rPr>
          <w:rFonts w:hint="eastAsia" w:ascii="仿宋_GB2312" w:hAnsi="仿宋_GB2312" w:eastAsia="仿宋_GB2312" w:cs="Times New Roman"/>
          <w:bCs/>
          <w:color w:val="auto"/>
          <w:sz w:val="32"/>
          <w:szCs w:val="32"/>
        </w:rPr>
        <w:t>t/a、</w:t>
      </w:r>
      <w:r>
        <w:rPr>
          <w:rFonts w:hint="eastAsia" w:ascii="仿宋_GB2312" w:hAnsi="仿宋_GB2312" w:eastAsia="仿宋_GB2312" w:cs="仿宋_GB2312"/>
          <w:bCs/>
          <w:snapToGrid w:val="0"/>
          <w:color w:val="auto"/>
          <w:sz w:val="32"/>
          <w:szCs w:val="32"/>
        </w:rPr>
        <w:t>NH</w:t>
      </w:r>
      <w:r>
        <w:rPr>
          <w:rFonts w:hint="eastAsia" w:ascii="仿宋_GB2312" w:hAnsi="仿宋_GB2312" w:eastAsia="仿宋_GB2312" w:cs="仿宋_GB2312"/>
          <w:bCs/>
          <w:snapToGrid w:val="0"/>
          <w:color w:val="auto"/>
          <w:sz w:val="32"/>
          <w:szCs w:val="32"/>
          <w:vertAlign w:val="subscript"/>
        </w:rPr>
        <w:t>3</w:t>
      </w:r>
      <w:r>
        <w:rPr>
          <w:rFonts w:hint="eastAsia" w:ascii="仿宋_GB2312" w:hAnsi="仿宋_GB2312" w:eastAsia="仿宋_GB2312" w:cs="仿宋_GB2312"/>
          <w:bCs/>
          <w:snapToGrid w:val="0"/>
          <w:color w:val="auto"/>
          <w:sz w:val="32"/>
          <w:szCs w:val="32"/>
        </w:rPr>
        <w:t>-N</w:t>
      </w:r>
      <w:r>
        <w:rPr>
          <w:rFonts w:hint="eastAsia" w:ascii="仿宋_GB2312" w:hAnsi="仿宋_GB2312" w:eastAsia="仿宋_GB2312" w:cs="仿宋_GB2312"/>
          <w:bCs/>
          <w:snapToGrid w:val="0"/>
          <w:color w:val="auto"/>
          <w:sz w:val="32"/>
          <w:szCs w:val="32"/>
          <w:lang w:val="en-US" w:eastAsia="zh-CN"/>
        </w:rPr>
        <w:t xml:space="preserve"> </w:t>
      </w:r>
      <w:r>
        <w:rPr>
          <w:rFonts w:hint="eastAsia" w:ascii="东文宋体" w:hAnsi="东文宋体" w:eastAsia="东文宋体" w:cs="东文宋体"/>
          <w:bCs/>
          <w:color w:val="auto"/>
          <w:sz w:val="32"/>
          <w:szCs w:val="32"/>
          <w:lang w:val="en-US" w:eastAsia="zh-CN"/>
        </w:rPr>
        <w:t>≤</w:t>
      </w:r>
      <w:r>
        <w:rPr>
          <w:rFonts w:hint="eastAsia" w:ascii="仿宋_GB2312" w:hAnsi="仿宋_GB2312" w:eastAsia="仿宋_GB2312" w:cs="Times New Roman"/>
          <w:bCs/>
          <w:color w:val="auto"/>
          <w:sz w:val="32"/>
          <w:szCs w:val="32"/>
          <w:lang w:val="en-US" w:eastAsia="zh-CN"/>
        </w:rPr>
        <w:t>0.113</w:t>
      </w:r>
      <w:r>
        <w:rPr>
          <w:rFonts w:hint="eastAsia" w:ascii="仿宋_GB2312" w:hAnsi="仿宋_GB2312" w:eastAsia="仿宋_GB2312" w:cs="Times New Roman"/>
          <w:bCs/>
          <w:color w:val="auto"/>
          <w:sz w:val="32"/>
          <w:szCs w:val="32"/>
        </w:rPr>
        <w:t>t/a</w:t>
      </w:r>
      <w:r>
        <w:rPr>
          <w:rFonts w:hint="eastAsia" w:ascii="仿宋_GB2312" w:hAnsi="仿宋_GB2312" w:eastAsia="仿宋_GB2312" w:cs="Times New Roman"/>
          <w:bCs/>
          <w:color w:val="auto"/>
          <w:sz w:val="32"/>
          <w:szCs w:val="32"/>
          <w:lang w:eastAsia="zh-CN"/>
        </w:rPr>
        <w:t>，经</w:t>
      </w:r>
      <w:r>
        <w:rPr>
          <w:rFonts w:hint="eastAsia" w:ascii="仿宋_GB2312" w:hAnsi="仿宋_GB2312" w:eastAsia="仿宋_GB2312" w:cs="Times New Roman"/>
          <w:bCs/>
          <w:color w:val="auto"/>
          <w:sz w:val="32"/>
          <w:szCs w:val="32"/>
        </w:rPr>
        <w:t>宜春经济技术开发区污水处理厂</w:t>
      </w:r>
      <w:r>
        <w:rPr>
          <w:rFonts w:hint="eastAsia" w:ascii="仿宋_GB2312" w:hAnsi="仿宋_GB2312" w:eastAsia="仿宋_GB2312" w:cs="仿宋_GB2312"/>
          <w:bCs/>
          <w:snapToGrid w:val="0"/>
          <w:color w:val="auto"/>
          <w:sz w:val="32"/>
          <w:szCs w:val="32"/>
        </w:rPr>
        <w:t>处理达标后尾水中污染物排放量分别为：COD</w:t>
      </w:r>
      <w:r>
        <w:rPr>
          <w:rFonts w:hint="eastAsia" w:ascii="仿宋_GB2312" w:hAnsi="仿宋_GB2312" w:eastAsia="仿宋_GB2312" w:cs="仿宋_GB2312"/>
          <w:bCs/>
          <w:snapToGrid w:val="0"/>
          <w:color w:val="auto"/>
          <w:sz w:val="32"/>
          <w:szCs w:val="32"/>
          <w:lang w:val="en-US" w:eastAsia="zh-CN"/>
        </w:rPr>
        <w:t xml:space="preserve"> </w:t>
      </w:r>
      <w:r>
        <w:rPr>
          <w:rFonts w:hint="eastAsia" w:ascii="东文宋体" w:hAnsi="东文宋体" w:eastAsia="东文宋体" w:cs="东文宋体"/>
          <w:bCs/>
          <w:color w:val="auto"/>
          <w:sz w:val="32"/>
          <w:szCs w:val="32"/>
          <w:lang w:val="en-US" w:eastAsia="zh-CN"/>
        </w:rPr>
        <w:t>≤</w:t>
      </w:r>
      <w:r>
        <w:rPr>
          <w:rFonts w:hint="eastAsia" w:ascii="仿宋_GB2312" w:hAnsi="仿宋_GB2312" w:eastAsia="仿宋_GB2312" w:cs="Times New Roman"/>
          <w:bCs/>
          <w:color w:val="auto"/>
          <w:sz w:val="32"/>
          <w:szCs w:val="32"/>
          <w:lang w:val="en-US" w:eastAsia="zh-CN"/>
        </w:rPr>
        <w:t>0.448</w:t>
      </w:r>
      <w:r>
        <w:rPr>
          <w:rFonts w:hint="eastAsia" w:ascii="仿宋_GB2312" w:hAnsi="仿宋_GB2312" w:eastAsia="仿宋_GB2312" w:cs="Times New Roman"/>
          <w:bCs/>
          <w:color w:val="auto"/>
          <w:sz w:val="32"/>
          <w:szCs w:val="32"/>
        </w:rPr>
        <w:t>t/a、</w:t>
      </w:r>
      <w:r>
        <w:rPr>
          <w:rFonts w:hint="eastAsia" w:ascii="仿宋_GB2312" w:hAnsi="仿宋_GB2312" w:eastAsia="仿宋_GB2312" w:cs="仿宋_GB2312"/>
          <w:bCs/>
          <w:snapToGrid w:val="0"/>
          <w:color w:val="auto"/>
          <w:sz w:val="32"/>
          <w:szCs w:val="32"/>
        </w:rPr>
        <w:t>NH</w:t>
      </w:r>
      <w:r>
        <w:rPr>
          <w:rFonts w:hint="eastAsia" w:ascii="仿宋_GB2312" w:hAnsi="仿宋_GB2312" w:eastAsia="仿宋_GB2312" w:cs="仿宋_GB2312"/>
          <w:bCs/>
          <w:snapToGrid w:val="0"/>
          <w:color w:val="auto"/>
          <w:sz w:val="32"/>
          <w:szCs w:val="32"/>
          <w:vertAlign w:val="subscript"/>
        </w:rPr>
        <w:t>3</w:t>
      </w:r>
      <w:r>
        <w:rPr>
          <w:rFonts w:hint="eastAsia" w:ascii="仿宋_GB2312" w:hAnsi="仿宋_GB2312" w:eastAsia="仿宋_GB2312" w:cs="仿宋_GB2312"/>
          <w:bCs/>
          <w:snapToGrid w:val="0"/>
          <w:color w:val="auto"/>
          <w:sz w:val="32"/>
          <w:szCs w:val="32"/>
        </w:rPr>
        <w:t>-N</w:t>
      </w:r>
      <w:r>
        <w:rPr>
          <w:rFonts w:hint="eastAsia" w:ascii="东文宋体" w:hAnsi="东文宋体" w:eastAsia="东文宋体" w:cs="东文宋体"/>
          <w:bCs/>
          <w:color w:val="auto"/>
          <w:sz w:val="32"/>
          <w:szCs w:val="32"/>
          <w:lang w:val="en-US" w:eastAsia="zh-CN"/>
        </w:rPr>
        <w:t>≤</w:t>
      </w:r>
      <w:r>
        <w:rPr>
          <w:rFonts w:hint="eastAsia" w:ascii="仿宋_GB2312" w:hAnsi="仿宋_GB2312" w:eastAsia="仿宋_GB2312" w:cs="Times New Roman"/>
          <w:bCs/>
          <w:color w:val="auto"/>
          <w:sz w:val="32"/>
          <w:szCs w:val="32"/>
          <w:lang w:val="en-US" w:eastAsia="zh-CN"/>
        </w:rPr>
        <w:t>0.045</w:t>
      </w:r>
      <w:r>
        <w:rPr>
          <w:rFonts w:hint="eastAsia" w:ascii="仿宋_GB2312" w:hAnsi="仿宋_GB2312" w:eastAsia="仿宋_GB2312" w:cs="Times New Roman"/>
          <w:bCs/>
          <w:color w:val="auto"/>
          <w:sz w:val="32"/>
          <w:szCs w:val="32"/>
        </w:rPr>
        <w:t>t/a</w:t>
      </w:r>
      <w:r>
        <w:rPr>
          <w:rFonts w:hint="eastAsia" w:ascii="仿宋_GB2312" w:hAnsi="仿宋_GB2312" w:eastAsia="仿宋_GB2312" w:cs="仿宋_GB2312"/>
          <w:bCs/>
          <w:snapToGrid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Times New Roman"/>
          <w:bCs/>
          <w:color w:val="auto"/>
          <w:sz w:val="32"/>
          <w:szCs w:val="32"/>
        </w:rPr>
      </w:pPr>
      <w:r>
        <w:rPr>
          <w:rFonts w:hint="eastAsia" w:ascii="仿宋_GB2312" w:hAnsi="仿宋_GB2312" w:eastAsia="仿宋_GB2312" w:cs="Times New Roman"/>
          <w:bCs/>
          <w:color w:val="auto"/>
          <w:sz w:val="32"/>
          <w:szCs w:val="32"/>
          <w:lang w:eastAsia="zh-CN"/>
        </w:rPr>
        <w:t>（二）</w:t>
      </w:r>
      <w:r>
        <w:rPr>
          <w:rFonts w:hint="eastAsia" w:ascii="楷体_GB2312" w:hAnsi="楷体_GB2312" w:eastAsia="楷体_GB2312" w:cs="楷体_GB2312"/>
          <w:b w:val="0"/>
          <w:bCs/>
          <w:snapToGrid w:val="0"/>
          <w:color w:val="auto"/>
          <w:sz w:val="32"/>
          <w:szCs w:val="32"/>
          <w:lang w:val="en-US" w:eastAsia="zh-CN"/>
        </w:rPr>
        <w:t>严格落实大气污染防治措施。</w:t>
      </w:r>
      <w:r>
        <w:rPr>
          <w:rFonts w:hint="eastAsia" w:ascii="仿宋_GB2312" w:hAnsi="仿宋_GB2312" w:eastAsia="仿宋_GB2312" w:cs="Times New Roman"/>
          <w:bCs/>
          <w:color w:val="auto"/>
          <w:sz w:val="32"/>
          <w:szCs w:val="32"/>
          <w:lang w:val="en-US" w:eastAsia="zh-CN"/>
        </w:rPr>
        <w:t>根据废气中污染物的类别和性质，采用成熟可靠工艺处理，确保废气污染物长期稳定达标排放。</w:t>
      </w:r>
      <w:r>
        <w:rPr>
          <w:rFonts w:hint="eastAsia" w:ascii="仿宋_GB2312" w:hAnsi="仿宋_GB2312" w:eastAsia="仿宋_GB2312" w:cs="Times New Roman"/>
          <w:bCs/>
          <w:color w:val="auto"/>
          <w:sz w:val="32"/>
          <w:szCs w:val="32"/>
          <w:lang w:eastAsia="zh-CN"/>
        </w:rPr>
        <w:t>项目有组织废气主要包括</w:t>
      </w:r>
      <w:r>
        <w:rPr>
          <w:rFonts w:hint="eastAsia" w:ascii="仿宋_GB2312" w:hAnsi="仿宋_GB2312" w:eastAsia="仿宋_GB2312" w:cs="Times New Roman"/>
          <w:bCs/>
          <w:color w:val="auto"/>
          <w:sz w:val="32"/>
          <w:szCs w:val="32"/>
          <w:lang w:val="en-US" w:eastAsia="zh-CN"/>
        </w:rPr>
        <w:t>生产工艺废气</w:t>
      </w:r>
      <w:r>
        <w:rPr>
          <w:rFonts w:hint="eastAsia" w:ascii="仿宋_GB2312" w:hAnsi="仿宋_GB2312" w:eastAsia="仿宋_GB2312" w:cs="Times New Roman"/>
          <w:bCs/>
          <w:color w:val="auto"/>
          <w:sz w:val="32"/>
          <w:szCs w:val="32"/>
          <w:lang w:eastAsia="zh-CN"/>
        </w:rPr>
        <w:t>（</w:t>
      </w:r>
      <w:r>
        <w:rPr>
          <w:rFonts w:hint="eastAsia" w:ascii="仿宋_GB2312" w:hAnsi="仿宋_GB2312" w:eastAsia="仿宋_GB2312" w:cs="Times New Roman"/>
          <w:bCs/>
          <w:color w:val="auto"/>
          <w:sz w:val="32"/>
          <w:szCs w:val="32"/>
          <w:lang w:val="en-US" w:eastAsia="zh-CN"/>
        </w:rPr>
        <w:t>投料废气、缩合反应不凝气、搅拌废气、灌装废气</w:t>
      </w:r>
      <w:r>
        <w:rPr>
          <w:rFonts w:hint="eastAsia" w:ascii="仿宋_GB2312" w:hAnsi="仿宋_GB2312" w:eastAsia="仿宋_GB2312" w:cs="Times New Roman"/>
          <w:bCs/>
          <w:color w:val="auto"/>
          <w:sz w:val="32"/>
          <w:szCs w:val="32"/>
          <w:lang w:eastAsia="zh-CN"/>
        </w:rPr>
        <w:t>等）</w:t>
      </w:r>
      <w:r>
        <w:rPr>
          <w:rFonts w:hint="eastAsia" w:ascii="仿宋_GB2312" w:hAnsi="仿宋_GB2312" w:eastAsia="仿宋_GB2312" w:cs="Times New Roman"/>
          <w:bCs/>
          <w:color w:val="auto"/>
          <w:sz w:val="32"/>
          <w:szCs w:val="32"/>
        </w:rPr>
        <w:t>、设备动静密封点泄漏废气、</w:t>
      </w:r>
      <w:r>
        <w:rPr>
          <w:rFonts w:hint="eastAsia" w:ascii="仿宋_GB2312" w:hAnsi="仿宋_GB2312" w:eastAsia="仿宋_GB2312" w:cs="Times New Roman"/>
          <w:bCs/>
          <w:color w:val="auto"/>
          <w:sz w:val="32"/>
          <w:szCs w:val="32"/>
          <w:lang w:eastAsia="zh-CN"/>
        </w:rPr>
        <w:t>天然气锅炉废气、物料储存废气</w:t>
      </w:r>
      <w:r>
        <w:rPr>
          <w:rFonts w:hint="eastAsia" w:ascii="仿宋_GB2312" w:hAnsi="仿宋_GB2312" w:eastAsia="仿宋_GB2312" w:cs="Times New Roman"/>
          <w:bCs/>
          <w:color w:val="auto"/>
          <w:sz w:val="32"/>
          <w:szCs w:val="32"/>
        </w:rPr>
        <w:t>和危废暂存间废气</w:t>
      </w:r>
      <w:r>
        <w:rPr>
          <w:rFonts w:hint="eastAsia" w:ascii="仿宋_GB2312" w:hAnsi="仿宋_GB2312" w:eastAsia="仿宋_GB2312" w:cs="Times New Roman"/>
          <w:bCs/>
          <w:color w:val="auto"/>
          <w:sz w:val="32"/>
          <w:szCs w:val="32"/>
          <w:lang w:eastAsia="zh-CN"/>
        </w:rPr>
        <w:t>等；</w:t>
      </w:r>
      <w:r>
        <w:rPr>
          <w:rFonts w:hint="eastAsia" w:ascii="仿宋_GB2312" w:hAnsi="仿宋_GB2312" w:eastAsia="仿宋_GB2312" w:cs="Times New Roman"/>
          <w:bCs/>
          <w:color w:val="auto"/>
          <w:sz w:val="32"/>
          <w:szCs w:val="32"/>
        </w:rPr>
        <w:t>项目无组织废气主要</w:t>
      </w:r>
      <w:r>
        <w:rPr>
          <w:rFonts w:hint="eastAsia" w:ascii="仿宋_GB2312" w:hAnsi="仿宋_GB2312" w:eastAsia="仿宋_GB2312" w:cs="Times New Roman"/>
          <w:bCs/>
          <w:color w:val="auto"/>
          <w:sz w:val="32"/>
          <w:szCs w:val="32"/>
          <w:lang w:eastAsia="zh-CN"/>
        </w:rPr>
        <w:t>包括</w:t>
      </w:r>
      <w:r>
        <w:rPr>
          <w:rFonts w:hint="eastAsia" w:ascii="仿宋_GB2312" w:hAnsi="仿宋_GB2312" w:eastAsia="仿宋_GB2312" w:cs="Times New Roman"/>
          <w:bCs/>
          <w:color w:val="auto"/>
          <w:sz w:val="32"/>
          <w:szCs w:val="32"/>
        </w:rPr>
        <w:t>车间内未</w:t>
      </w:r>
      <w:r>
        <w:rPr>
          <w:rFonts w:hint="eastAsia" w:ascii="仿宋_GB2312" w:hAnsi="仿宋_GB2312" w:eastAsia="仿宋_GB2312" w:cs="Times New Roman"/>
          <w:bCs/>
          <w:color w:val="auto"/>
          <w:sz w:val="32"/>
          <w:szCs w:val="32"/>
          <w:lang w:eastAsia="zh-CN"/>
        </w:rPr>
        <w:t>捕集</w:t>
      </w:r>
      <w:r>
        <w:rPr>
          <w:rFonts w:hint="eastAsia" w:ascii="仿宋_GB2312" w:hAnsi="仿宋_GB2312" w:eastAsia="仿宋_GB2312" w:cs="Times New Roman"/>
          <w:bCs/>
          <w:color w:val="auto"/>
          <w:sz w:val="32"/>
          <w:szCs w:val="32"/>
        </w:rPr>
        <w:t>的气体、</w:t>
      </w:r>
      <w:r>
        <w:rPr>
          <w:rFonts w:hint="eastAsia" w:ascii="仿宋_GB2312" w:hAnsi="仿宋_GB2312" w:eastAsia="仿宋_GB2312" w:cs="Times New Roman"/>
          <w:bCs/>
          <w:color w:val="auto"/>
          <w:sz w:val="32"/>
          <w:szCs w:val="32"/>
          <w:lang w:eastAsia="zh-CN"/>
        </w:rPr>
        <w:t>物料储存区</w:t>
      </w:r>
      <w:r>
        <w:rPr>
          <w:rFonts w:hint="eastAsia" w:ascii="仿宋_GB2312" w:hAnsi="仿宋_GB2312" w:eastAsia="仿宋_GB2312" w:cs="Times New Roman"/>
          <w:bCs/>
          <w:color w:val="auto"/>
          <w:sz w:val="32"/>
          <w:szCs w:val="32"/>
        </w:rPr>
        <w:t>和危废暂存间</w:t>
      </w:r>
      <w:r>
        <w:rPr>
          <w:rFonts w:hint="eastAsia" w:ascii="仿宋_GB2312" w:hAnsi="仿宋_GB2312" w:eastAsia="仿宋_GB2312" w:cs="Times New Roman"/>
          <w:bCs/>
          <w:color w:val="auto"/>
          <w:sz w:val="32"/>
          <w:szCs w:val="32"/>
          <w:lang w:val="en-US" w:eastAsia="zh-CN"/>
        </w:rPr>
        <w:t>未</w:t>
      </w:r>
      <w:r>
        <w:rPr>
          <w:rFonts w:hint="eastAsia" w:ascii="仿宋_GB2312" w:hAnsi="仿宋_GB2312" w:eastAsia="仿宋_GB2312" w:cs="Times New Roman"/>
          <w:bCs/>
          <w:color w:val="auto"/>
          <w:sz w:val="32"/>
          <w:szCs w:val="32"/>
          <w:lang w:eastAsia="zh-CN"/>
        </w:rPr>
        <w:t>捕集</w:t>
      </w:r>
      <w:r>
        <w:rPr>
          <w:rFonts w:hint="eastAsia" w:ascii="仿宋_GB2312" w:hAnsi="仿宋_GB2312" w:eastAsia="仿宋_GB2312" w:cs="Times New Roman"/>
          <w:bCs/>
          <w:color w:val="auto"/>
          <w:sz w:val="32"/>
          <w:szCs w:val="32"/>
          <w:lang w:val="en-US" w:eastAsia="zh-CN"/>
        </w:rPr>
        <w:t>的气体、原料储罐区大小呼吸气</w:t>
      </w:r>
      <w:r>
        <w:rPr>
          <w:rFonts w:hint="eastAsia" w:ascii="仿宋_GB2312" w:hAnsi="仿宋_GB2312" w:eastAsia="仿宋_GB2312" w:cs="Times New Roman"/>
          <w:bCs/>
          <w:color w:val="auto"/>
          <w:sz w:val="32"/>
          <w:szCs w:val="32"/>
        </w:rPr>
        <w:t>以及污水处理站恶臭等。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Times New Roman"/>
          <w:bCs/>
          <w:color w:val="auto"/>
          <w:sz w:val="32"/>
          <w:szCs w:val="32"/>
          <w:lang w:val="en-US" w:eastAsia="zh-CN"/>
        </w:rPr>
      </w:pPr>
      <w:r>
        <w:rPr>
          <w:rFonts w:hint="eastAsia" w:ascii="仿宋_GB2312" w:hAnsi="仿宋_GB2312" w:eastAsia="仿宋_GB2312" w:cs="Times New Roman"/>
          <w:bCs/>
          <w:color w:val="auto"/>
          <w:sz w:val="32"/>
          <w:szCs w:val="32"/>
          <w:lang w:val="en-US" w:eastAsia="zh-CN"/>
        </w:rPr>
        <w:t>项目生产工艺废气中缩合反应废气、冷凝不凝气、搅拌废气、灌装废气等和设备动静密封点泄漏废气经“深冷冷凝+水喷淋+两级活性炭吸附装置”或其他更成熟工艺处理后，主要污染物VOCS、非甲烷总烃、二甲苯满足《挥发性有机物排放标准 第2部分：有机化工》(DB36/1101.2-2019)表1中的有组织排放限值要求，氨满足《合成树脂工业污染物排放标准》（</w:t>
      </w:r>
      <w:r>
        <w:rPr>
          <w:rFonts w:hint="default" w:ascii="仿宋_GB2312" w:hAnsi="仿宋_GB2312" w:eastAsia="仿宋_GB2312" w:cs="Times New Roman"/>
          <w:bCs/>
          <w:color w:val="auto"/>
          <w:sz w:val="32"/>
          <w:szCs w:val="32"/>
          <w:lang w:val="en-US" w:eastAsia="zh-CN"/>
        </w:rPr>
        <w:t>GB31572-2015</w:t>
      </w:r>
      <w:r>
        <w:rPr>
          <w:rFonts w:hint="eastAsia" w:ascii="仿宋_GB2312" w:hAnsi="仿宋_GB2312" w:eastAsia="仿宋_GB2312" w:cs="Times New Roman"/>
          <w:bCs/>
          <w:color w:val="auto"/>
          <w:sz w:val="32"/>
          <w:szCs w:val="32"/>
          <w:lang w:val="en-US" w:eastAsia="zh-CN"/>
        </w:rPr>
        <w:t>）表4中大气污染物排放限值要求后，经15米高排气筒排放。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Times New Roman"/>
          <w:bCs/>
          <w:color w:val="auto"/>
          <w:sz w:val="32"/>
          <w:szCs w:val="32"/>
          <w:lang w:val="en-US" w:eastAsia="zh-CN"/>
        </w:rPr>
      </w:pPr>
      <w:r>
        <w:rPr>
          <w:rFonts w:hint="eastAsia" w:ascii="仿宋_GB2312" w:hAnsi="仿宋_GB2312" w:eastAsia="仿宋_GB2312" w:cs="Times New Roman"/>
          <w:bCs/>
          <w:color w:val="auto"/>
          <w:sz w:val="32"/>
          <w:szCs w:val="32"/>
          <w:lang w:val="en-US" w:eastAsia="zh-CN"/>
        </w:rPr>
        <w:t>项目生产工艺废气中生产投料粉尘经袋式除尘器处理后，主要污染物颗粒物满足《涂料、油墨及胶黏剂工业大气污染物排放标准》（GB37824-2019）表1大气污染物排放限值要求后，与其他工艺废气经同一根15米高排气筒排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Times New Roman"/>
          <w:bCs/>
          <w:color w:val="auto"/>
          <w:sz w:val="32"/>
          <w:szCs w:val="32"/>
          <w:lang w:val="en-US" w:eastAsia="zh-CN"/>
        </w:rPr>
      </w:pPr>
      <w:r>
        <w:rPr>
          <w:rFonts w:hint="eastAsia" w:ascii="仿宋_GB2312" w:hAnsi="仿宋_GB2312" w:eastAsia="仿宋_GB2312" w:cs="Times New Roman"/>
          <w:bCs/>
          <w:color w:val="auto"/>
          <w:sz w:val="32"/>
          <w:szCs w:val="32"/>
          <w:lang w:val="en-US" w:eastAsia="zh-CN"/>
        </w:rPr>
        <w:t>天燃气锅炉废气</w:t>
      </w:r>
      <w:r>
        <w:rPr>
          <w:rFonts w:hint="default" w:ascii="仿宋_GB2312" w:hAnsi="仿宋_GB2312" w:eastAsia="仿宋_GB2312" w:cs="Times New Roman"/>
          <w:bCs/>
          <w:color w:val="auto"/>
          <w:sz w:val="32"/>
          <w:szCs w:val="32"/>
          <w:lang w:val="en-US" w:eastAsia="zh-CN"/>
        </w:rPr>
        <w:t>满足《锅炉大气污染物排放标准》（GB13271-2014）中新建燃气锅炉排放标准</w:t>
      </w:r>
      <w:r>
        <w:rPr>
          <w:rFonts w:hint="eastAsia" w:ascii="仿宋_GB2312" w:hAnsi="仿宋_GB2312" w:eastAsia="仿宋_GB2312" w:cs="Times New Roman"/>
          <w:bCs/>
          <w:color w:val="auto"/>
          <w:sz w:val="32"/>
          <w:szCs w:val="32"/>
          <w:lang w:val="en-US" w:eastAsia="zh-CN"/>
        </w:rPr>
        <w:t>后，经8米高排气筒排放。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Times New Roman"/>
          <w:bCs/>
          <w:color w:val="auto"/>
          <w:sz w:val="32"/>
          <w:szCs w:val="32"/>
          <w:lang w:val="en-US" w:eastAsia="zh-CN"/>
        </w:rPr>
      </w:pPr>
      <w:r>
        <w:rPr>
          <w:rFonts w:hint="eastAsia" w:ascii="仿宋_GB2312" w:hAnsi="仿宋_GB2312" w:eastAsia="仿宋_GB2312" w:cs="Times New Roman"/>
          <w:bCs/>
          <w:color w:val="auto"/>
          <w:sz w:val="32"/>
          <w:szCs w:val="32"/>
          <w:lang w:val="en-US" w:eastAsia="zh-CN"/>
        </w:rPr>
        <w:t>物料储存废气和危废暂存间废气经二级活性炭吸附处理后经处理后主要污染物VOC</w:t>
      </w:r>
      <w:r>
        <w:rPr>
          <w:rFonts w:hint="eastAsia" w:ascii="仿宋_GB2312" w:hAnsi="仿宋_GB2312" w:eastAsia="仿宋_GB2312" w:cs="Times New Roman"/>
          <w:bCs/>
          <w:color w:val="auto"/>
          <w:sz w:val="32"/>
          <w:szCs w:val="32"/>
          <w:vertAlign w:val="subscript"/>
          <w:lang w:val="en-US" w:eastAsia="zh-CN"/>
        </w:rPr>
        <w:t>S</w:t>
      </w:r>
      <w:r>
        <w:rPr>
          <w:rFonts w:hint="eastAsia" w:ascii="仿宋_GB2312" w:hAnsi="仿宋_GB2312" w:eastAsia="仿宋_GB2312" w:cs="Times New Roman"/>
          <w:bCs/>
          <w:color w:val="auto"/>
          <w:sz w:val="32"/>
          <w:szCs w:val="32"/>
          <w:lang w:val="en-US" w:eastAsia="zh-CN"/>
        </w:rPr>
        <w:t>满足《挥发性有机物排放标准 第2部分：有机化工》(DB36/1101.2-2019)表1中的有组织排放限值要求后，再经一根15米高排气筒排放。</w:t>
      </w:r>
    </w:p>
    <w:p>
      <w:pPr>
        <w:pStyle w:val="2"/>
        <w:keepNext w:val="0"/>
        <w:keepLines w:val="0"/>
        <w:pageBreakBefore w:val="0"/>
        <w:kinsoku/>
        <w:wordWrap/>
        <w:overflowPunct/>
        <w:topLinePunct w:val="0"/>
        <w:bidi w:val="0"/>
        <w:spacing w:after="0" w:line="540" w:lineRule="exact"/>
        <w:jc w:val="both"/>
        <w:textAlignment w:val="auto"/>
        <w:rPr>
          <w:rFonts w:hint="default"/>
          <w:lang w:val="en-US" w:eastAsia="zh-CN"/>
        </w:rPr>
      </w:pPr>
      <w:r>
        <w:rPr>
          <w:rFonts w:hint="eastAsia" w:ascii="仿宋_GB2312" w:hAnsi="仿宋_GB2312" w:eastAsia="仿宋_GB2312" w:cs="Times New Roman"/>
          <w:bCs/>
          <w:color w:val="auto"/>
          <w:sz w:val="32"/>
          <w:szCs w:val="32"/>
          <w:lang w:val="en-US" w:eastAsia="zh-CN"/>
        </w:rPr>
        <w:t xml:space="preserve">    食堂油烟经油烟净化器处理后，满足《饮食业油烟排放标准》（GB18483-2001）中小型标准后经专用烟道排放。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Times New Roman"/>
          <w:bCs/>
          <w:color w:val="auto"/>
          <w:sz w:val="32"/>
          <w:szCs w:val="32"/>
          <w:lang w:val="en-US" w:eastAsia="zh-CN"/>
        </w:rPr>
      </w:pPr>
      <w:r>
        <w:rPr>
          <w:rFonts w:hint="eastAsia" w:ascii="仿宋_GB2312" w:hAnsi="仿宋_GB2312" w:eastAsia="仿宋_GB2312" w:cs="Times New Roman"/>
          <w:bCs/>
          <w:color w:val="auto"/>
          <w:sz w:val="32"/>
          <w:szCs w:val="32"/>
          <w:lang w:val="en-US" w:eastAsia="zh-CN"/>
        </w:rPr>
        <w:t>厂界</w:t>
      </w:r>
      <w:r>
        <w:rPr>
          <w:rFonts w:hint="default" w:ascii="仿宋_GB2312" w:hAnsi="仿宋_GB2312" w:eastAsia="仿宋_GB2312" w:cs="Times New Roman"/>
          <w:bCs/>
          <w:color w:val="auto"/>
          <w:sz w:val="32"/>
          <w:szCs w:val="32"/>
          <w:lang w:val="en-US" w:eastAsia="zh-CN"/>
        </w:rPr>
        <w:t>无组织</w:t>
      </w:r>
      <w:r>
        <w:rPr>
          <w:rFonts w:hint="eastAsia" w:ascii="仿宋_GB2312" w:hAnsi="仿宋_GB2312" w:eastAsia="仿宋_GB2312" w:cs="Times New Roman"/>
          <w:bCs/>
          <w:color w:val="auto"/>
          <w:sz w:val="32"/>
          <w:szCs w:val="32"/>
          <w:lang w:val="en-US" w:eastAsia="zh-CN"/>
        </w:rPr>
        <w:t>废气VOC</w:t>
      </w:r>
      <w:r>
        <w:rPr>
          <w:rFonts w:hint="eastAsia" w:ascii="仿宋_GB2312" w:hAnsi="仿宋_GB2312" w:eastAsia="仿宋_GB2312" w:cs="Times New Roman"/>
          <w:bCs/>
          <w:color w:val="auto"/>
          <w:sz w:val="32"/>
          <w:szCs w:val="32"/>
          <w:vertAlign w:val="subscript"/>
          <w:lang w:val="en-US" w:eastAsia="zh-CN"/>
        </w:rPr>
        <w:t>S</w:t>
      </w:r>
      <w:r>
        <w:rPr>
          <w:rFonts w:hint="eastAsia" w:ascii="仿宋_GB2312" w:hAnsi="仿宋_GB2312" w:eastAsia="仿宋_GB2312" w:cs="Times New Roman"/>
          <w:bCs/>
          <w:color w:val="auto"/>
          <w:sz w:val="32"/>
          <w:szCs w:val="32"/>
          <w:lang w:val="en-US" w:eastAsia="zh-CN"/>
        </w:rPr>
        <w:t>、非甲烷总烃、二甲苯应达到</w:t>
      </w:r>
      <w:r>
        <w:rPr>
          <w:rFonts w:hint="default" w:ascii="仿宋_GB2312" w:hAnsi="仿宋_GB2312" w:eastAsia="仿宋_GB2312" w:cs="Times New Roman"/>
          <w:bCs/>
          <w:color w:val="auto"/>
          <w:sz w:val="32"/>
          <w:szCs w:val="32"/>
          <w:lang w:val="en-US" w:eastAsia="zh-CN"/>
        </w:rPr>
        <w:t>《挥发性有机物排放标准 第2部分：有机化工》(DB36/1101.2-2019)无组织排放监控浓度限值</w:t>
      </w:r>
      <w:r>
        <w:rPr>
          <w:rFonts w:hint="eastAsia" w:ascii="仿宋_GB2312" w:hAnsi="仿宋_GB2312" w:eastAsia="仿宋_GB2312" w:cs="Times New Roman"/>
          <w:bCs/>
          <w:color w:val="auto"/>
          <w:sz w:val="32"/>
          <w:szCs w:val="32"/>
          <w:lang w:val="en-US" w:eastAsia="zh-CN"/>
        </w:rPr>
        <w:t>，颗粒物能达到《合成树脂工业污染物排放标准》（</w:t>
      </w:r>
      <w:r>
        <w:rPr>
          <w:rFonts w:hint="default" w:ascii="仿宋_GB2312" w:hAnsi="仿宋_GB2312" w:eastAsia="仿宋_GB2312" w:cs="Times New Roman"/>
          <w:bCs/>
          <w:color w:val="auto"/>
          <w:sz w:val="32"/>
          <w:szCs w:val="32"/>
          <w:lang w:val="en-US" w:eastAsia="zh-CN"/>
        </w:rPr>
        <w:t>GB31572-2015</w:t>
      </w:r>
      <w:r>
        <w:rPr>
          <w:rFonts w:hint="eastAsia" w:ascii="仿宋_GB2312" w:hAnsi="仿宋_GB2312" w:eastAsia="仿宋_GB2312" w:cs="Times New Roman"/>
          <w:bCs/>
          <w:color w:val="auto"/>
          <w:sz w:val="32"/>
          <w:szCs w:val="32"/>
          <w:lang w:val="en-US" w:eastAsia="zh-CN"/>
        </w:rPr>
        <w:t>）表9中无组织排放浓度监控限值</w:t>
      </w:r>
      <w:r>
        <w:rPr>
          <w:rFonts w:hint="default" w:ascii="仿宋_GB2312" w:hAnsi="仿宋_GB2312" w:eastAsia="仿宋_GB2312" w:cs="Times New Roman"/>
          <w:bCs/>
          <w:color w:val="auto"/>
          <w:sz w:val="32"/>
          <w:szCs w:val="32"/>
          <w:lang w:val="en-US" w:eastAsia="zh-CN"/>
        </w:rPr>
        <w:t>要求</w:t>
      </w:r>
      <w:r>
        <w:rPr>
          <w:rFonts w:hint="eastAsia" w:ascii="仿宋_GB2312" w:hAnsi="仿宋_GB2312" w:eastAsia="仿宋_GB2312" w:cs="Times New Roman"/>
          <w:bCs/>
          <w:color w:val="auto"/>
          <w:sz w:val="32"/>
          <w:szCs w:val="32"/>
          <w:lang w:val="en-US" w:eastAsia="zh-CN"/>
        </w:rPr>
        <w:t>，氨、硫化氢和臭气浓度应达到《恶臭污染物排放标准》（GB14554-93）无组织排放监控浓度限值</w:t>
      </w:r>
      <w:r>
        <w:rPr>
          <w:rFonts w:hint="default" w:ascii="仿宋_GB2312" w:hAnsi="仿宋_GB2312" w:eastAsia="仿宋_GB2312" w:cs="Times New Roman"/>
          <w:bCs/>
          <w:color w:val="auto"/>
          <w:sz w:val="32"/>
          <w:szCs w:val="32"/>
          <w:lang w:val="en-US" w:eastAsia="zh-CN"/>
        </w:rPr>
        <w:t>。</w:t>
      </w:r>
      <w:r>
        <w:rPr>
          <w:rFonts w:hint="eastAsia" w:ascii="仿宋_GB2312" w:hAnsi="仿宋_GB2312" w:eastAsia="仿宋_GB2312" w:cs="Times New Roman"/>
          <w:bCs/>
          <w:color w:val="auto"/>
          <w:sz w:val="32"/>
          <w:szCs w:val="32"/>
          <w:lang w:val="en-US" w:eastAsia="zh-CN"/>
        </w:rPr>
        <w:t>应通过进出料采用管道输送，生产时在密闭反应釜中进行，各类计量罐等均密闭，加强生产设备和集气管道管理，杜绝跑冒滴漏现象发生等措施，减少无组织废气排放。</w:t>
      </w:r>
    </w:p>
    <w:p>
      <w:pPr>
        <w:pStyle w:val="2"/>
        <w:keepNext w:val="0"/>
        <w:keepLines w:val="0"/>
        <w:pageBreakBefore w:val="0"/>
        <w:kinsoku/>
        <w:wordWrap/>
        <w:overflowPunct/>
        <w:topLinePunct w:val="0"/>
        <w:bidi w:val="0"/>
        <w:spacing w:after="0" w:line="540" w:lineRule="exact"/>
        <w:jc w:val="both"/>
        <w:textAlignment w:val="auto"/>
        <w:rPr>
          <w:rFonts w:hint="default"/>
          <w:lang w:val="en-US" w:eastAsia="zh-CN"/>
        </w:rPr>
      </w:pPr>
      <w:r>
        <w:rPr>
          <w:rFonts w:hint="eastAsia" w:ascii="仿宋_GB2312" w:hAnsi="仿宋_GB2312" w:eastAsia="仿宋_GB2312" w:cs="Times New Roman"/>
          <w:bCs/>
          <w:color w:val="auto"/>
          <w:sz w:val="32"/>
          <w:szCs w:val="32"/>
          <w:lang w:val="en-US" w:eastAsia="zh-CN"/>
        </w:rPr>
        <w:t xml:space="preserve">    本项目厂区废气排放量为VOCs</w:t>
      </w:r>
      <w:r>
        <w:rPr>
          <w:rFonts w:hint="eastAsia" w:ascii="东文宋体" w:hAnsi="东文宋体" w:eastAsia="东文宋体" w:cs="东文宋体"/>
          <w:bCs/>
          <w:color w:val="auto"/>
          <w:sz w:val="32"/>
          <w:szCs w:val="32"/>
          <w:lang w:val="en-US" w:eastAsia="zh-CN"/>
        </w:rPr>
        <w:t>≤</w:t>
      </w:r>
      <w:r>
        <w:rPr>
          <w:rFonts w:hint="eastAsia" w:ascii="仿宋_GB2312" w:hAnsi="仿宋_GB2312" w:eastAsia="仿宋_GB2312" w:cs="Times New Roman"/>
          <w:bCs/>
          <w:color w:val="auto"/>
          <w:sz w:val="32"/>
          <w:szCs w:val="32"/>
          <w:lang w:val="en-US" w:eastAsia="zh-CN"/>
        </w:rPr>
        <w:t>2.965t/a，NO</w:t>
      </w:r>
      <w:r>
        <w:rPr>
          <w:rFonts w:hint="eastAsia" w:ascii="仿宋_GB2312" w:hAnsi="仿宋_GB2312" w:eastAsia="仿宋_GB2312" w:cs="Times New Roman"/>
          <w:bCs/>
          <w:color w:val="auto"/>
          <w:sz w:val="32"/>
          <w:szCs w:val="32"/>
          <w:vertAlign w:val="subscript"/>
          <w:lang w:val="en-US" w:eastAsia="zh-CN"/>
        </w:rPr>
        <w:t>X</w:t>
      </w:r>
      <w:r>
        <w:rPr>
          <w:rFonts w:hint="eastAsia" w:ascii="东文宋体" w:hAnsi="东文宋体" w:eastAsia="东文宋体" w:cs="东文宋体"/>
          <w:bCs/>
          <w:color w:val="auto"/>
          <w:sz w:val="32"/>
          <w:szCs w:val="32"/>
          <w:lang w:val="en-US" w:eastAsia="zh-CN"/>
        </w:rPr>
        <w:t>≤</w:t>
      </w:r>
      <w:r>
        <w:rPr>
          <w:rFonts w:hint="eastAsia" w:ascii="仿宋_GB2312" w:hAnsi="仿宋_GB2312" w:eastAsia="仿宋_GB2312" w:cs="Times New Roman"/>
          <w:bCs/>
          <w:color w:val="auto"/>
          <w:sz w:val="32"/>
          <w:szCs w:val="32"/>
          <w:lang w:val="en-US" w:eastAsia="zh-CN"/>
        </w:rPr>
        <w:t>0.281t/a。</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Autospacing="0" w:line="540" w:lineRule="exact"/>
        <w:ind w:right="0" w:firstLine="640" w:firstLineChars="200"/>
        <w:jc w:val="both"/>
        <w:textAlignment w:val="auto"/>
        <w:rPr>
          <w:rFonts w:hint="eastAsia" w:ascii="仿宋_GB2312" w:hAnsi="仿宋_GB2312" w:eastAsia="仿宋_GB2312" w:cs="Times New Roman"/>
          <w:bCs/>
          <w:color w:val="auto"/>
          <w:kern w:val="2"/>
          <w:sz w:val="32"/>
          <w:szCs w:val="32"/>
          <w:lang w:val="en-US" w:eastAsia="zh-CN" w:bidi="ar-SA"/>
        </w:rPr>
      </w:pPr>
      <w:r>
        <w:rPr>
          <w:rFonts w:hint="eastAsia" w:ascii="楷体_GB2312" w:hAnsi="楷体_GB2312" w:eastAsia="楷体_GB2312" w:cs="楷体_GB2312"/>
          <w:b w:val="0"/>
          <w:bCs w:val="0"/>
          <w:i w:val="0"/>
          <w:iCs w:val="0"/>
          <w:caps w:val="0"/>
          <w:color w:val="auto"/>
          <w:spacing w:val="0"/>
          <w:sz w:val="32"/>
          <w:szCs w:val="32"/>
          <w:u w:val="none"/>
        </w:rPr>
        <w:t>（</w:t>
      </w:r>
      <w:r>
        <w:rPr>
          <w:rFonts w:hint="eastAsia" w:ascii="楷体_GB2312" w:hAnsi="楷体_GB2312" w:eastAsia="楷体_GB2312" w:cs="楷体_GB2312"/>
          <w:b w:val="0"/>
          <w:bCs w:val="0"/>
          <w:i w:val="0"/>
          <w:iCs w:val="0"/>
          <w:caps w:val="0"/>
          <w:color w:val="auto"/>
          <w:spacing w:val="0"/>
          <w:sz w:val="32"/>
          <w:szCs w:val="32"/>
          <w:u w:val="none"/>
          <w:lang w:eastAsia="zh-CN"/>
        </w:rPr>
        <w:t>三</w:t>
      </w:r>
      <w:r>
        <w:rPr>
          <w:rFonts w:hint="eastAsia" w:ascii="楷体_GB2312" w:hAnsi="楷体_GB2312" w:eastAsia="楷体_GB2312" w:cs="楷体_GB2312"/>
          <w:b w:val="0"/>
          <w:bCs w:val="0"/>
          <w:i w:val="0"/>
          <w:iCs w:val="0"/>
          <w:caps w:val="0"/>
          <w:color w:val="auto"/>
          <w:spacing w:val="0"/>
          <w:sz w:val="32"/>
          <w:szCs w:val="32"/>
          <w:u w:val="none"/>
        </w:rPr>
        <w:t>）严格落实土壤和地下水污染防治措施。</w:t>
      </w:r>
      <w:r>
        <w:rPr>
          <w:rFonts w:hint="eastAsia" w:ascii="仿宋_GB2312" w:hAnsi="仿宋_GB2312" w:eastAsia="仿宋_GB2312" w:cs="Times New Roman"/>
          <w:bCs/>
          <w:color w:val="auto"/>
          <w:kern w:val="2"/>
          <w:sz w:val="32"/>
          <w:szCs w:val="32"/>
          <w:lang w:val="en-US" w:eastAsia="zh-CN" w:bidi="ar-SA"/>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40" w:lineRule="exact"/>
        <w:ind w:right="0" w:firstLine="640" w:firstLineChars="200"/>
        <w:jc w:val="both"/>
        <w:textAlignment w:val="auto"/>
        <w:rPr>
          <w:rFonts w:hint="eastAsia" w:ascii="仿宋_GB2312" w:hAnsi="仿宋_GB2312" w:eastAsia="仿宋_GB2312" w:cs="Times New Roman"/>
          <w:bCs/>
          <w:color w:val="auto"/>
          <w:kern w:val="2"/>
          <w:sz w:val="32"/>
          <w:szCs w:val="32"/>
          <w:lang w:val="en-US" w:eastAsia="zh-CN" w:bidi="ar-SA"/>
        </w:rPr>
      </w:pPr>
      <w:r>
        <w:rPr>
          <w:rFonts w:hint="eastAsia" w:ascii="楷体_GB2312" w:hAnsi="楷体_GB2312" w:eastAsia="楷体_GB2312" w:cs="楷体_GB2312"/>
          <w:b w:val="0"/>
          <w:bCs w:val="0"/>
          <w:i w:val="0"/>
          <w:iCs w:val="0"/>
          <w:caps w:val="0"/>
          <w:color w:val="auto"/>
          <w:spacing w:val="0"/>
          <w:kern w:val="0"/>
          <w:sz w:val="32"/>
          <w:szCs w:val="32"/>
          <w:u w:val="none"/>
          <w:lang w:val="en-US" w:eastAsia="zh-CN" w:bidi="ar-SA"/>
        </w:rPr>
        <w:t xml:space="preserve"> （四）严格落实固体废物分类处置和综合利用措施。</w:t>
      </w:r>
      <w:r>
        <w:rPr>
          <w:rFonts w:hint="eastAsia" w:ascii="仿宋_GB2312" w:hAnsi="仿宋_GB2312" w:eastAsia="仿宋_GB2312" w:cs="Times New Roman"/>
          <w:bCs/>
          <w:color w:val="auto"/>
          <w:kern w:val="2"/>
          <w:sz w:val="32"/>
          <w:szCs w:val="32"/>
          <w:lang w:val="en-US" w:eastAsia="zh-CN" w:bidi="ar-SA"/>
        </w:rPr>
        <w:t>应按“资源化、减量化、无害化”处置原则，认真落实固废分类收集、处置和综合利用措施。危险废物应及时委托有资质单位进行综合利用或处置，转移应办理相关环保手续。应在厂区内设置足够容积的一般工业固体废物暂存库和危险废物暂存库。暂存库的设计、建设和运行必须满足《一般工业固体废物贮存和填埋污染控制标准》（GB18599-2020）和《危险废物贮存污染控制标准》(GB18597-2001)及修改单要求。</w:t>
      </w:r>
    </w:p>
    <w:p>
      <w:pPr>
        <w:keepNext w:val="0"/>
        <w:keepLines w:val="0"/>
        <w:pageBreakBefore w:val="0"/>
        <w:kinsoku/>
        <w:wordWrap/>
        <w:overflowPunct/>
        <w:topLinePunct w:val="0"/>
        <w:bidi w:val="0"/>
        <w:snapToGrid/>
        <w:spacing w:beforeAutospacing="0" w:afterAutospacing="0" w:line="540" w:lineRule="exact"/>
        <w:ind w:firstLine="640" w:firstLineChars="200"/>
        <w:jc w:val="both"/>
        <w:textAlignment w:val="auto"/>
        <w:rPr>
          <w:rFonts w:hint="eastAsia" w:ascii="仿宋_GB2312" w:hAnsi="仿宋_GB2312" w:eastAsia="仿宋_GB2312" w:cs="Times New Roman"/>
          <w:bCs/>
          <w:color w:val="auto"/>
          <w:kern w:val="2"/>
          <w:sz w:val="32"/>
          <w:szCs w:val="32"/>
          <w:lang w:val="en-US" w:eastAsia="zh-CN" w:bidi="ar-SA"/>
        </w:rPr>
      </w:pPr>
      <w:r>
        <w:rPr>
          <w:rFonts w:hint="eastAsia" w:ascii="楷体_GB2312" w:hAnsi="楷体_GB2312" w:eastAsia="楷体_GB2312" w:cs="楷体_GB2312"/>
          <w:b w:val="0"/>
          <w:bCs w:val="0"/>
          <w:i w:val="0"/>
          <w:iCs w:val="0"/>
          <w:caps w:val="0"/>
          <w:color w:val="auto"/>
          <w:spacing w:val="0"/>
          <w:kern w:val="0"/>
          <w:sz w:val="32"/>
          <w:szCs w:val="32"/>
          <w:u w:val="none"/>
          <w:lang w:val="en-US" w:eastAsia="zh-CN" w:bidi="ar-SA"/>
        </w:rPr>
        <w:t>（五）严格落实噪声污染防治措施。</w:t>
      </w:r>
      <w:r>
        <w:rPr>
          <w:rFonts w:hint="eastAsia" w:ascii="仿宋_GB2312" w:hAnsi="仿宋_GB2312" w:eastAsia="仿宋_GB2312" w:cs="Times New Roman"/>
          <w:bCs/>
          <w:color w:val="auto"/>
          <w:kern w:val="2"/>
          <w:sz w:val="32"/>
          <w:szCs w:val="32"/>
          <w:lang w:val="en-US" w:eastAsia="zh-CN" w:bidi="ar-SA"/>
        </w:rPr>
        <w:t>优先选用低噪声设备，优化高噪声设备布局，采取消声、隔声、减振等降噪措施，确保厂界噪声执行《工业企业厂界环境噪声排放标准》（GB12348-2008）3类标准要求。</w:t>
      </w:r>
    </w:p>
    <w:p>
      <w:pPr>
        <w:pStyle w:val="37"/>
        <w:keepNext w:val="0"/>
        <w:keepLines w:val="0"/>
        <w:pageBreakBefore w:val="0"/>
        <w:numPr>
          <w:ilvl w:val="0"/>
          <w:numId w:val="0"/>
        </w:numPr>
        <w:kinsoku/>
        <w:wordWrap/>
        <w:overflowPunct/>
        <w:topLinePunct w:val="0"/>
        <w:bidi w:val="0"/>
        <w:snapToGrid/>
        <w:spacing w:beforeAutospacing="0" w:afterAutospacing="0" w:line="540" w:lineRule="exact"/>
        <w:ind w:firstLine="640" w:firstLineChars="200"/>
        <w:jc w:val="both"/>
        <w:textAlignment w:val="auto"/>
        <w:rPr>
          <w:rFonts w:hint="eastAsia" w:ascii="仿宋_GB2312" w:hAnsi="仿宋_GB2312" w:eastAsia="仿宋_GB2312" w:cs="Times New Roman"/>
          <w:bCs/>
          <w:color w:val="auto"/>
          <w:kern w:val="2"/>
          <w:sz w:val="32"/>
          <w:szCs w:val="32"/>
          <w:lang w:val="en-US" w:eastAsia="zh-CN" w:bidi="ar-SA"/>
        </w:rPr>
      </w:pPr>
      <w:r>
        <w:rPr>
          <w:rFonts w:hint="eastAsia" w:ascii="楷体_GB2312" w:hAnsi="楷体_GB2312" w:eastAsia="楷体_GB2312" w:cs="楷体_GB2312"/>
          <w:b w:val="0"/>
          <w:bCs w:val="0"/>
          <w:i w:val="0"/>
          <w:iCs w:val="0"/>
          <w:caps w:val="0"/>
          <w:color w:val="auto"/>
          <w:spacing w:val="0"/>
          <w:kern w:val="0"/>
          <w:sz w:val="32"/>
          <w:szCs w:val="32"/>
          <w:u w:val="none"/>
          <w:lang w:val="en-US" w:eastAsia="zh-CN" w:bidi="ar-SA"/>
        </w:rPr>
        <w:t>（六）严格落实环境风险防范措施。</w:t>
      </w:r>
      <w:r>
        <w:rPr>
          <w:rFonts w:hint="eastAsia" w:ascii="仿宋_GB2312" w:hAnsi="仿宋_GB2312" w:eastAsia="仿宋_GB2312" w:cs="Times New Roman"/>
          <w:bCs/>
          <w:color w:val="auto"/>
          <w:kern w:val="2"/>
          <w:sz w:val="32"/>
          <w:szCs w:val="32"/>
          <w:lang w:val="en-US" w:eastAsia="zh-CN" w:bidi="ar-SA"/>
        </w:rPr>
        <w:t>严格落实《报告书》和《评估意见》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keepNext w:val="0"/>
        <w:keepLines w:val="0"/>
        <w:pageBreakBefore w:val="0"/>
        <w:widowControl w:val="0"/>
        <w:kinsoku/>
        <w:wordWrap/>
        <w:overflowPunct/>
        <w:topLinePunct w:val="0"/>
        <w:autoSpaceDE w:val="0"/>
        <w:autoSpaceDN/>
        <w:bidi w:val="0"/>
        <w:spacing w:line="540" w:lineRule="exact"/>
        <w:ind w:firstLine="420" w:firstLineChars="200"/>
        <w:jc w:val="both"/>
        <w:textAlignment w:val="auto"/>
        <w:rPr>
          <w:rFonts w:ascii="仿宋_GB2312" w:hAnsi="宋体" w:eastAsia="仿宋_GB2312" w:cs="宋体"/>
          <w:kern w:val="0"/>
          <w:sz w:val="32"/>
          <w:szCs w:val="32"/>
          <w:highlight w:val="none"/>
          <w:lang w:val="en-US" w:eastAsia="zh-CN" w:bidi="ar-SA"/>
        </w:rPr>
      </w:pPr>
      <w:r>
        <w:rPr>
          <w:rFonts w:hint="eastAsia"/>
          <w:highlight w:val="none"/>
          <w:lang w:val="en-US" w:eastAsia="zh-CN"/>
        </w:rPr>
        <w:t xml:space="preserve">  </w:t>
      </w:r>
      <w:r>
        <w:rPr>
          <w:rFonts w:hint="eastAsia" w:ascii="楷体" w:hAnsi="楷体" w:eastAsia="楷体" w:cs="楷体"/>
          <w:color w:val="000000"/>
          <w:sz w:val="32"/>
          <w:szCs w:val="32"/>
          <w:highlight w:val="none"/>
          <w:lang w:val="en-US" w:eastAsia="zh-CN"/>
        </w:rPr>
        <w:t>（七）落实规范排污口和环境监测要求。</w:t>
      </w:r>
      <w:r>
        <w:rPr>
          <w:rFonts w:hint="eastAsia" w:ascii="仿宋_GB2312" w:hAnsi="宋体" w:eastAsia="仿宋_GB2312" w:cs="宋体"/>
          <w:kern w:val="0"/>
          <w:sz w:val="32"/>
          <w:szCs w:val="32"/>
          <w:highlight w:val="none"/>
          <w:lang w:val="en-US" w:eastAsia="zh-CN" w:bidi="ar-SA"/>
        </w:rPr>
        <w:t>按国家和省、市排污口规范化要求设置各类排污口和标识并建档。你公司应按要求在厂区内安装废水、废气在线监控设施，落实各项日常监测要求。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4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28"/>
          <w:szCs w:val="28"/>
          <w:u w:val="none"/>
        </w:rPr>
      </w:pPr>
      <w:r>
        <w:rPr>
          <w:rFonts w:hint="eastAsia" w:ascii="楷体" w:hAnsi="楷体" w:eastAsia="楷体" w:cs="楷体"/>
          <w:color w:val="000000"/>
          <w:sz w:val="32"/>
          <w:szCs w:val="32"/>
          <w:highlight w:val="none"/>
          <w:lang w:val="en-US" w:eastAsia="zh-CN"/>
        </w:rPr>
        <w:t>（八）项目周围规划控制要求。</w:t>
      </w:r>
      <w:r>
        <w:rPr>
          <w:rFonts w:hint="eastAsia" w:ascii="仿宋_GB2312" w:hAnsi="宋体" w:eastAsia="仿宋_GB2312" w:cs="宋体"/>
          <w:kern w:val="0"/>
          <w:sz w:val="32"/>
          <w:szCs w:val="32"/>
          <w:highlight w:val="none"/>
          <w:lang w:val="en-US" w:eastAsia="zh-CN" w:bidi="ar-SA"/>
        </w:rPr>
        <w:t>根据《报告书》和《评估意见》结论，根据报告书测算结果，确定本项目101车间、103车间、106车间等生产车间各设置50m卫生防护距离，污水处理站设置50m卫生防护距离，204仓库（含危废仓库）设置50m卫生防护距离，501储罐区设置50m卫生防护距离。你公司应配合规划部门，严格控制好本项目周边规划，项目卫生防护距离范围内不得新建居民住宅、学校及医院等环境敏感建筑。</w:t>
      </w:r>
    </w:p>
    <w:p>
      <w:pPr>
        <w:keepNext w:val="0"/>
        <w:keepLines w:val="0"/>
        <w:pageBreakBefore w:val="0"/>
        <w:widowControl w:val="0"/>
        <w:kinsoku/>
        <w:wordWrap/>
        <w:overflowPunct/>
        <w:topLinePunct w:val="0"/>
        <w:autoSpaceDN/>
        <w:bidi w:val="0"/>
        <w:adjustRightInd w:val="0"/>
        <w:snapToGrid w:val="0"/>
        <w:spacing w:line="540" w:lineRule="exact"/>
        <w:ind w:firstLine="640" w:firstLineChars="200"/>
        <w:jc w:val="both"/>
        <w:textAlignment w:val="auto"/>
        <w:rPr>
          <w:rFonts w:ascii="仿宋_GB2312" w:hAnsi="仿宋" w:eastAsia="仿宋_GB2312" w:cs="仿宋"/>
          <w:sz w:val="32"/>
          <w:szCs w:val="32"/>
          <w:highlight w:val="none"/>
        </w:rPr>
      </w:pPr>
      <w:r>
        <w:rPr>
          <w:rFonts w:hint="eastAsia" w:ascii="楷体" w:hAnsi="楷体" w:eastAsia="楷体" w:cs="楷体"/>
          <w:color w:val="000000"/>
          <w:sz w:val="32"/>
          <w:szCs w:val="32"/>
          <w:highlight w:val="none"/>
          <w:lang w:eastAsia="zh-CN"/>
        </w:rPr>
        <w:t>（</w:t>
      </w:r>
      <w:r>
        <w:rPr>
          <w:rFonts w:hint="eastAsia" w:ascii="楷体" w:hAnsi="楷体" w:eastAsia="楷体" w:cs="楷体"/>
          <w:color w:val="000000"/>
          <w:sz w:val="32"/>
          <w:szCs w:val="32"/>
          <w:highlight w:val="none"/>
          <w:lang w:val="en-US" w:eastAsia="zh-CN"/>
        </w:rPr>
        <w:t>九</w:t>
      </w:r>
      <w:r>
        <w:rPr>
          <w:rFonts w:hint="eastAsia" w:ascii="楷体" w:hAnsi="楷体" w:eastAsia="楷体" w:cs="楷体"/>
          <w:color w:val="000000"/>
          <w:sz w:val="32"/>
          <w:szCs w:val="32"/>
          <w:highlight w:val="none"/>
          <w:lang w:eastAsia="zh-CN"/>
        </w:rPr>
        <w:t>）信息公开要求。</w:t>
      </w:r>
      <w:r>
        <w:rPr>
          <w:rFonts w:hint="eastAsia" w:ascii="仿宋_GB2312" w:hAnsi="仿宋" w:eastAsia="仿宋_GB2312" w:cs="仿宋"/>
          <w:sz w:val="32"/>
          <w:szCs w:val="32"/>
          <w:highlight w:val="none"/>
        </w:rPr>
        <w:t>你公司应依法实施信息公开，接</w:t>
      </w:r>
      <w:r>
        <w:rPr>
          <w:rFonts w:hint="eastAsia" w:ascii="仿宋_GB2312" w:hAnsi="仿宋" w:eastAsia="仿宋_GB2312" w:cs="仿宋"/>
          <w:sz w:val="32"/>
          <w:szCs w:val="32"/>
          <w:highlight w:val="none"/>
          <w:lang w:eastAsia="zh-CN"/>
        </w:rPr>
        <w:t>受</w:t>
      </w:r>
      <w:r>
        <w:rPr>
          <w:rFonts w:hint="eastAsia" w:ascii="仿宋_GB2312" w:hAnsi="仿宋" w:eastAsia="仿宋_GB2312" w:cs="仿宋"/>
          <w:sz w:val="32"/>
          <w:szCs w:val="32"/>
          <w:highlight w:val="none"/>
        </w:rPr>
        <w:t>社会监督。项目</w:t>
      </w:r>
      <w:r>
        <w:rPr>
          <w:rFonts w:hint="eastAsia" w:ascii="仿宋_GB2312" w:hAnsi="仿宋" w:eastAsia="仿宋_GB2312" w:cs="仿宋"/>
          <w:sz w:val="32"/>
          <w:szCs w:val="32"/>
          <w:highlight w:val="none"/>
          <w:lang w:eastAsia="zh-CN"/>
        </w:rPr>
        <w:t>投产后</w:t>
      </w:r>
      <w:r>
        <w:rPr>
          <w:rFonts w:hint="eastAsia" w:ascii="仿宋_GB2312" w:hAnsi="仿宋" w:eastAsia="仿宋_GB2312" w:cs="仿宋"/>
          <w:sz w:val="32"/>
          <w:szCs w:val="32"/>
          <w:highlight w:val="none"/>
        </w:rPr>
        <w:t>应定期公示企业环境报告，公布污染物排放和环境管理情况。</w:t>
      </w:r>
    </w:p>
    <w:p>
      <w:pPr>
        <w:keepNext w:val="0"/>
        <w:keepLines w:val="0"/>
        <w:pageBreakBefore w:val="0"/>
        <w:widowControl w:val="0"/>
        <w:kinsoku/>
        <w:wordWrap/>
        <w:overflowPunct/>
        <w:topLinePunct w:val="0"/>
        <w:autoSpaceDN/>
        <w:bidi w:val="0"/>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三、项目运行和竣工验收的环保要求</w:t>
      </w:r>
    </w:p>
    <w:p>
      <w:pPr>
        <w:keepNext w:val="0"/>
        <w:keepLines w:val="0"/>
        <w:pageBreakBefore w:val="0"/>
        <w:widowControl w:val="0"/>
        <w:kinsoku/>
        <w:wordWrap/>
        <w:overflowPunct/>
        <w:topLinePunct w:val="0"/>
        <w:autoSpaceDE w:val="0"/>
        <w:autoSpaceDN/>
        <w:bidi w:val="0"/>
        <w:spacing w:line="54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spacing w:line="540" w:lineRule="exact"/>
        <w:ind w:firstLine="640" w:firstLineChars="200"/>
        <w:jc w:val="both"/>
        <w:textAlignment w:val="auto"/>
        <w:outlineLvl w:val="0"/>
        <w:rPr>
          <w:rFonts w:ascii="黑体" w:hAnsi="黑体" w:eastAsia="黑体"/>
          <w:sz w:val="32"/>
          <w:szCs w:val="32"/>
        </w:rPr>
      </w:pPr>
      <w:r>
        <w:rPr>
          <w:rFonts w:hint="eastAsia" w:ascii="黑体" w:hAnsi="黑体" w:eastAsia="黑体"/>
          <w:sz w:val="32"/>
          <w:szCs w:val="32"/>
        </w:rPr>
        <w:t>四、其他环保要求</w:t>
      </w:r>
    </w:p>
    <w:p>
      <w:pPr>
        <w:keepNext w:val="0"/>
        <w:keepLines w:val="0"/>
        <w:pageBreakBefore w:val="0"/>
        <w:widowControl w:val="0"/>
        <w:kinsoku/>
        <w:wordWrap/>
        <w:overflowPunct/>
        <w:topLinePunct w:val="0"/>
        <w:autoSpaceDE w:val="0"/>
        <w:autoSpaceDN/>
        <w:bidi w:val="0"/>
        <w:adjustRightInd w:val="0"/>
        <w:snapToGrid w:val="0"/>
        <w:spacing w:line="540" w:lineRule="exact"/>
        <w:ind w:firstLine="640" w:firstLineChars="200"/>
        <w:jc w:val="both"/>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540" w:lineRule="exact"/>
        <w:ind w:firstLine="640" w:firstLineChars="200"/>
        <w:jc w:val="both"/>
        <w:textAlignment w:val="auto"/>
        <w:rPr>
          <w:rFonts w:hint="eastAsia" w:ascii="仿宋_GB2312" w:eastAsia="仿宋_GB2312"/>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三</w:t>
      </w:r>
      <w:r>
        <w:rPr>
          <w:rFonts w:hint="eastAsia" w:ascii="楷体" w:hAnsi="楷体" w:eastAsia="楷体" w:cs="楷体"/>
          <w:color w:val="000000"/>
          <w:sz w:val="32"/>
          <w:szCs w:val="32"/>
        </w:rPr>
        <w:t>）日常环保监管。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eastAsia="zh-CN"/>
        </w:rPr>
        <w:t>袁州</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送至宜春市</w:t>
      </w:r>
      <w:r>
        <w:rPr>
          <w:rFonts w:hint="eastAsia" w:ascii="仿宋_GB2312" w:eastAsia="仿宋_GB2312"/>
          <w:color w:val="000000"/>
          <w:sz w:val="32"/>
          <w:szCs w:val="32"/>
          <w:lang w:eastAsia="zh-CN"/>
        </w:rPr>
        <w:t>袁州</w:t>
      </w:r>
      <w:r>
        <w:rPr>
          <w:rFonts w:hint="eastAsia" w:ascii="仿宋_GB2312" w:eastAsia="仿宋_GB2312"/>
          <w:color w:val="000000"/>
          <w:sz w:val="32"/>
          <w:szCs w:val="32"/>
        </w:rPr>
        <w:t>生态环境局并按规定接受各级生态环境主管部门的监督检查。</w:t>
      </w:r>
    </w:p>
    <w:p>
      <w:pPr>
        <w:pageBreakBefore w:val="0"/>
        <w:widowControl w:val="0"/>
        <w:kinsoku/>
        <w:wordWrap/>
        <w:overflowPunct/>
        <w:topLinePunct w:val="0"/>
        <w:autoSpaceDN/>
        <w:bidi w:val="0"/>
        <w:spacing w:line="520" w:lineRule="exact"/>
        <w:ind w:right="1077"/>
        <w:jc w:val="right"/>
        <w:textAlignment w:val="auto"/>
        <w:rPr>
          <w:rFonts w:hint="eastAsia" w:ascii="仿宋_GB2312" w:hAnsi="华文仿宋" w:eastAsia="仿宋_GB2312"/>
          <w:sz w:val="32"/>
          <w:szCs w:val="32"/>
        </w:rPr>
      </w:pPr>
    </w:p>
    <w:p>
      <w:pPr>
        <w:pageBreakBefore w:val="0"/>
        <w:widowControl w:val="0"/>
        <w:kinsoku/>
        <w:wordWrap/>
        <w:overflowPunct/>
        <w:topLinePunct w:val="0"/>
        <w:autoSpaceDN/>
        <w:bidi w:val="0"/>
        <w:spacing w:line="520" w:lineRule="exact"/>
        <w:ind w:right="1077"/>
        <w:jc w:val="both"/>
        <w:textAlignment w:val="auto"/>
        <w:rPr>
          <w:rFonts w:hint="eastAsia" w:ascii="仿宋_GB2312" w:hAnsi="华文仿宋" w:eastAsia="仿宋_GB2312"/>
          <w:sz w:val="32"/>
          <w:szCs w:val="32"/>
        </w:rPr>
      </w:pPr>
    </w:p>
    <w:p>
      <w:pPr>
        <w:pStyle w:val="2"/>
        <w:rPr>
          <w:rFonts w:hint="eastAsia"/>
        </w:rPr>
      </w:pPr>
    </w:p>
    <w:p>
      <w:pPr>
        <w:pageBreakBefore w:val="0"/>
        <w:widowControl w:val="0"/>
        <w:kinsoku/>
        <w:wordWrap/>
        <w:overflowPunct/>
        <w:topLinePunct w:val="0"/>
        <w:autoSpaceDN/>
        <w:bidi w:val="0"/>
        <w:spacing w:line="520" w:lineRule="exact"/>
        <w:ind w:right="1077"/>
        <w:jc w:val="right"/>
        <w:textAlignment w:val="auto"/>
        <w:rPr>
          <w:rFonts w:ascii="仿宋_GB2312" w:hAnsi="华文仿宋" w:eastAsia="仿宋_GB2312"/>
          <w:sz w:val="32"/>
          <w:szCs w:val="32"/>
        </w:rPr>
      </w:pPr>
      <w:r>
        <w:rPr>
          <w:rFonts w:hint="eastAsia" w:ascii="仿宋_GB2312" w:hAnsi="华文仿宋" w:eastAsia="仿宋_GB2312"/>
          <w:sz w:val="32"/>
          <w:szCs w:val="32"/>
        </w:rPr>
        <w:t>宜春市生态环境局</w:t>
      </w:r>
    </w:p>
    <w:p>
      <w:pPr>
        <w:keepNext w:val="0"/>
        <w:keepLines w:val="0"/>
        <w:pageBreakBefore w:val="0"/>
        <w:widowControl w:val="0"/>
        <w:tabs>
          <w:tab w:val="left" w:pos="7655"/>
          <w:tab w:val="left" w:pos="7797"/>
        </w:tabs>
        <w:kinsoku/>
        <w:wordWrap/>
        <w:overflowPunct/>
        <w:topLinePunct w:val="0"/>
        <w:autoSpaceDE/>
        <w:autoSpaceDN/>
        <w:bidi w:val="0"/>
        <w:adjustRightInd/>
        <w:snapToGrid/>
        <w:spacing w:line="520" w:lineRule="exact"/>
        <w:ind w:firstLine="80" w:firstLineChars="25"/>
        <w:textAlignment w:val="auto"/>
        <w:rPr>
          <w:rFonts w:hint="eastAsia" w:ascii="仿宋_GB2312" w:hAnsi="华文仿宋"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color w:val="FF0000"/>
          <w:sz w:val="32"/>
          <w:szCs w:val="32"/>
        </w:rPr>
        <w:t xml:space="preserve"> </w:t>
      </w:r>
      <w:r>
        <w:rPr>
          <w:rFonts w:hint="eastAsia" w:ascii="仿宋_GB2312" w:hAnsi="华文仿宋" w:eastAsia="仿宋_GB2312"/>
          <w:sz w:val="32"/>
          <w:szCs w:val="32"/>
        </w:rPr>
        <w:t>202</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年</w:t>
      </w:r>
      <w:r>
        <w:rPr>
          <w:rFonts w:hint="eastAsia" w:ascii="仿宋_GB2312" w:hAnsi="华文仿宋" w:eastAsia="仿宋_GB2312"/>
          <w:sz w:val="32"/>
          <w:szCs w:val="32"/>
          <w:lang w:val="en-US" w:eastAsia="zh-CN"/>
        </w:rPr>
        <w:t>2</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2</w:t>
      </w:r>
      <w:r>
        <w:rPr>
          <w:rFonts w:hint="eastAsia" w:ascii="仿宋_GB2312" w:hAnsi="华文仿宋" w:eastAsia="仿宋_GB2312"/>
          <w:sz w:val="32"/>
          <w:szCs w:val="32"/>
        </w:rPr>
        <w:t>日</w:t>
      </w:r>
    </w:p>
    <w:p>
      <w:pPr>
        <w:pStyle w:val="12"/>
        <w:rPr>
          <w:rFonts w:hint="eastAsia"/>
        </w:rPr>
      </w:pPr>
    </w:p>
    <w:p>
      <w:pPr>
        <w:pStyle w:val="18"/>
        <w:widowControl/>
        <w:spacing w:line="560" w:lineRule="exact"/>
        <w:ind w:right="840" w:rightChars="400" w:firstLine="640" w:firstLineChars="200"/>
        <w:rPr>
          <w:rFonts w:hint="eastAsia" w:ascii="仿宋_GB2312" w:hAnsi="仿宋" w:eastAsia="仿宋_GB2312" w:cs="仿宋"/>
          <w:color w:val="000000"/>
          <w:sz w:val="30"/>
          <w:szCs w:val="30"/>
          <w:u w:val="single"/>
        </w:rPr>
      </w:pPr>
      <w:r>
        <w:rPr>
          <w:rFonts w:hint="eastAsia" w:ascii="仿宋_GB2312" w:hAnsi="仿宋" w:eastAsia="仿宋_GB2312"/>
          <w:sz w:val="32"/>
        </w:rPr>
        <w:t>（此件</w:t>
      </w:r>
      <w:r>
        <w:rPr>
          <w:rFonts w:hint="eastAsia" w:ascii="仿宋_GB2312" w:hAnsi="仿宋" w:eastAsia="仿宋_GB2312"/>
          <w:sz w:val="32"/>
          <w:lang w:eastAsia="zh-CN"/>
        </w:rPr>
        <w:t>主动</w:t>
      </w:r>
      <w:r>
        <w:rPr>
          <w:rFonts w:hint="eastAsia" w:ascii="仿宋_GB2312" w:hAnsi="仿宋" w:eastAsia="仿宋_GB2312"/>
          <w:sz w:val="32"/>
        </w:rPr>
        <w:t>公开）</w:t>
      </w: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spacing w:line="460" w:lineRule="exact"/>
        <w:ind w:left="910" w:leftChars="100" w:right="210" w:rightChars="100" w:hanging="700" w:hangingChars="250"/>
        <w:rPr>
          <w:rFonts w:hint="eastAsia" w:ascii="仿宋_GB2312" w:eastAsia="仿宋_GB2312"/>
          <w:spacing w:val="-6"/>
          <w:sz w:val="28"/>
          <w:szCs w:val="28"/>
        </w:rPr>
      </w:pPr>
      <w:r>
        <w:rPr>
          <w:rFonts w:hint="eastAsia" w:ascii="仿宋_GB2312" w:hAnsi="宋体" w:eastAsia="仿宋_GB2312"/>
          <w:sz w:val="28"/>
          <w:szCs w:val="28"/>
        </w:rPr>
        <w:t>抄送:</w:t>
      </w:r>
      <w:r>
        <w:rPr>
          <w:rFonts w:hint="eastAsia" w:ascii="仿宋_GB2312" w:hAnsi="宋体" w:eastAsia="仿宋_GB2312"/>
          <w:sz w:val="28"/>
          <w:szCs w:val="28"/>
          <w:lang w:eastAsia="zh-CN"/>
        </w:rPr>
        <w:t>袁州区</w:t>
      </w:r>
      <w:r>
        <w:rPr>
          <w:rFonts w:hint="eastAsia" w:ascii="仿宋_GB2312" w:hAnsi="宋体" w:eastAsia="仿宋_GB2312"/>
          <w:sz w:val="28"/>
          <w:szCs w:val="28"/>
          <w:lang w:val="en-US" w:eastAsia="zh-CN"/>
        </w:rPr>
        <w:t>人民政府</w:t>
      </w:r>
      <w:r>
        <w:rPr>
          <w:rFonts w:hint="eastAsia" w:ascii="仿宋_GB2312" w:hAnsi="宋体" w:eastAsia="仿宋_GB2312"/>
          <w:sz w:val="28"/>
          <w:szCs w:val="28"/>
          <w:lang w:eastAsia="zh-CN"/>
        </w:rPr>
        <w:t>、</w:t>
      </w:r>
      <w:r>
        <w:rPr>
          <w:rFonts w:hint="eastAsia" w:ascii="仿宋_GB2312" w:hAnsi="华文仿宋" w:eastAsia="仿宋_GB2312"/>
          <w:spacing w:val="-6"/>
          <w:sz w:val="28"/>
          <w:szCs w:val="32"/>
        </w:rPr>
        <w:t>宜春市</w:t>
      </w:r>
      <w:r>
        <w:rPr>
          <w:rFonts w:hint="eastAsia" w:ascii="仿宋_GB2312" w:hAnsi="华文仿宋" w:eastAsia="仿宋_GB2312"/>
          <w:spacing w:val="-6"/>
          <w:sz w:val="28"/>
          <w:szCs w:val="32"/>
          <w:lang w:eastAsia="zh-CN"/>
        </w:rPr>
        <w:t>袁州</w:t>
      </w:r>
      <w:r>
        <w:rPr>
          <w:rFonts w:hint="eastAsia" w:ascii="仿宋_GB2312" w:hAnsi="华文仿宋" w:eastAsia="仿宋_GB2312"/>
          <w:spacing w:val="-6"/>
          <w:sz w:val="28"/>
          <w:szCs w:val="32"/>
        </w:rPr>
        <w:t>生态</w:t>
      </w:r>
      <w:r>
        <w:rPr>
          <w:rFonts w:hint="eastAsia" w:ascii="仿宋_GB2312" w:eastAsia="仿宋_GB2312"/>
          <w:sz w:val="28"/>
          <w:szCs w:val="32"/>
        </w:rPr>
        <w:t>环境局，局相关科室，局直属相关单位，</w:t>
      </w:r>
      <w:r>
        <w:rPr>
          <w:rFonts w:hint="eastAsia" w:ascii="仿宋_GB2312" w:eastAsia="仿宋_GB2312"/>
          <w:sz w:val="28"/>
          <w:szCs w:val="32"/>
          <w:lang w:eastAsia="zh-CN"/>
        </w:rPr>
        <w:t>宜春市益鑫环保科技</w:t>
      </w:r>
      <w:r>
        <w:rPr>
          <w:rFonts w:hint="eastAsia" w:ascii="仿宋_GB2312" w:eastAsia="仿宋_GB2312"/>
          <w:sz w:val="28"/>
          <w:szCs w:val="32"/>
        </w:rPr>
        <w:t>有限公司</w:t>
      </w:r>
      <w:r>
        <w:rPr>
          <w:rFonts w:hint="eastAsia" w:ascii="仿宋_GB2312" w:eastAsia="仿宋_GB2312"/>
          <w:spacing w:val="-6"/>
          <w:sz w:val="28"/>
          <w:szCs w:val="28"/>
        </w:rPr>
        <w:t>。</w:t>
      </w:r>
    </w:p>
    <w:p>
      <w:pPr>
        <w:spacing w:line="140" w:lineRule="exact"/>
        <w:rPr>
          <w:rFonts w:hint="default" w:ascii="仿宋_GB2312" w:eastAsia="仿宋_GB2312"/>
          <w:sz w:val="32"/>
          <w:szCs w:val="32"/>
          <w:lang w:val="en-US" w:eastAsia="zh-CN"/>
        </w:rPr>
      </w:pP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w:t>
      </w:r>
      <w:r>
        <w:rPr>
          <w:rFonts w:hint="eastAsia" w:ascii="仿宋_GB2312" w:hAnsi="宋体" w:eastAsia="仿宋_GB2312"/>
          <w:bCs/>
          <w:color w:val="000000" w:themeColor="text1"/>
          <w:sz w:val="28"/>
          <w:szCs w:val="32"/>
          <w:lang w:val="en-US" w:eastAsia="zh-CN"/>
          <w14:textFill>
            <w14:solidFill>
              <w14:schemeClr w14:val="tx1"/>
            </w14:solidFill>
          </w14:textFill>
        </w:rPr>
        <w:t>023年2月2日印发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auto"/>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Arial Unicode MS">
    <w:altName w:val="Nimbus Roman No9 L"/>
    <w:panose1 w:val="020B0604020202020204"/>
    <w:charset w:val="00"/>
    <w:family w:val="auto"/>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楷体">
    <w:altName w:val="方正楷体_GBK"/>
    <w:panose1 w:val="02010609060101010101"/>
    <w:charset w:val="86"/>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8B783"/>
    <w:multiLevelType w:val="multilevel"/>
    <w:tmpl w:val="54B8B783"/>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pStyle w:val="8"/>
      <w:lvlText w:val="%1.%2.%3.%4."/>
      <w:lvlJc w:val="left"/>
      <w:pPr>
        <w:tabs>
          <w:tab w:val="left" w:pos="850"/>
        </w:tabs>
        <w:ind w:left="850" w:hanging="850"/>
      </w:pPr>
      <w:rPr>
        <w:rFonts w:hint="default" w:ascii="宋体" w:hAnsi="宋体" w:eastAsia="宋体" w:cs="宋体"/>
      </w:rPr>
    </w:lvl>
    <w:lvl w:ilvl="4" w:tentative="0">
      <w:start w:val="1"/>
      <w:numFmt w:val="decimal"/>
      <w:lvlText w:val="%1.%2.%3.%4.%5."/>
      <w:lvlJc w:val="left"/>
      <w:pPr>
        <w:tabs>
          <w:tab w:val="left" w:pos="991"/>
        </w:tabs>
        <w:ind w:left="991" w:hanging="991"/>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ascii="宋体" w:hAnsi="宋体" w:eastAsia="宋体" w:cs="宋体"/>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ZDQ3ZjU1ZDUxYjA3YmNjMjY4ZDVhOWQwODk2Yjc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E0D44"/>
    <w:rsid w:val="0FB96372"/>
    <w:rsid w:val="0FC37304"/>
    <w:rsid w:val="0FCE6CA6"/>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5F8C384"/>
    <w:rsid w:val="169D6C0C"/>
    <w:rsid w:val="16A060B1"/>
    <w:rsid w:val="16BD7BFC"/>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BD4F55"/>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DF722E9"/>
    <w:rsid w:val="1E7E4D78"/>
    <w:rsid w:val="1E7ED145"/>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A2644A"/>
    <w:rsid w:val="26BF2702"/>
    <w:rsid w:val="26D72A9C"/>
    <w:rsid w:val="26D9450D"/>
    <w:rsid w:val="270B55FD"/>
    <w:rsid w:val="2718473C"/>
    <w:rsid w:val="275405E2"/>
    <w:rsid w:val="276F60D3"/>
    <w:rsid w:val="277E2115"/>
    <w:rsid w:val="278A6AED"/>
    <w:rsid w:val="27B330D3"/>
    <w:rsid w:val="27D73FB5"/>
    <w:rsid w:val="27DD1AC9"/>
    <w:rsid w:val="280E4DA9"/>
    <w:rsid w:val="2821102E"/>
    <w:rsid w:val="28360750"/>
    <w:rsid w:val="284B1866"/>
    <w:rsid w:val="28966573"/>
    <w:rsid w:val="289E7F40"/>
    <w:rsid w:val="28EE20F0"/>
    <w:rsid w:val="28F79117"/>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821"/>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97C55F"/>
    <w:rsid w:val="2FA3D559"/>
    <w:rsid w:val="2FA73A76"/>
    <w:rsid w:val="2FAD5A25"/>
    <w:rsid w:val="2FB11E53"/>
    <w:rsid w:val="2FBB31C8"/>
    <w:rsid w:val="2FBE0BB7"/>
    <w:rsid w:val="2FDED22B"/>
    <w:rsid w:val="2FE322E4"/>
    <w:rsid w:val="2FE6569A"/>
    <w:rsid w:val="2FE703D3"/>
    <w:rsid w:val="2FF9C26C"/>
    <w:rsid w:val="2FFB0BE2"/>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6F9A83"/>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ED0573"/>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B7C61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729DE"/>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BFD9DF"/>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292D3A"/>
    <w:rsid w:val="4D663CA8"/>
    <w:rsid w:val="4D7D6118"/>
    <w:rsid w:val="4D968124"/>
    <w:rsid w:val="4D9C370C"/>
    <w:rsid w:val="4DA91C91"/>
    <w:rsid w:val="4DB9F78C"/>
    <w:rsid w:val="4DCA17BE"/>
    <w:rsid w:val="4DE52F92"/>
    <w:rsid w:val="4DE777E6"/>
    <w:rsid w:val="4DED67BF"/>
    <w:rsid w:val="4E6DB298"/>
    <w:rsid w:val="4E7816D4"/>
    <w:rsid w:val="4EAFD821"/>
    <w:rsid w:val="4EBC0FDC"/>
    <w:rsid w:val="4EBE67B2"/>
    <w:rsid w:val="4F260F14"/>
    <w:rsid w:val="4F3374B4"/>
    <w:rsid w:val="4F3DFD49"/>
    <w:rsid w:val="4F4F65BB"/>
    <w:rsid w:val="4F6036C3"/>
    <w:rsid w:val="4F77A3DB"/>
    <w:rsid w:val="4F7B626C"/>
    <w:rsid w:val="4FB60EB6"/>
    <w:rsid w:val="4FC9436C"/>
    <w:rsid w:val="4FD72B41"/>
    <w:rsid w:val="4FF36A56"/>
    <w:rsid w:val="4FF41F1D"/>
    <w:rsid w:val="4FFE1847"/>
    <w:rsid w:val="4FFF086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4BEB7BD"/>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9D5BC"/>
    <w:rsid w:val="57DD7529"/>
    <w:rsid w:val="57DE385A"/>
    <w:rsid w:val="57DF2C92"/>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EE2622"/>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51100"/>
    <w:rsid w:val="5EBD085D"/>
    <w:rsid w:val="5EBFC788"/>
    <w:rsid w:val="5EC50CAA"/>
    <w:rsid w:val="5ECA649A"/>
    <w:rsid w:val="5ECFC980"/>
    <w:rsid w:val="5EDB06B5"/>
    <w:rsid w:val="5EE70D55"/>
    <w:rsid w:val="5EF09A9F"/>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BFE689"/>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904125"/>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53B605"/>
    <w:rsid w:val="6763731F"/>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3C71"/>
    <w:rsid w:val="69F6F957"/>
    <w:rsid w:val="6A1F4150"/>
    <w:rsid w:val="6A2D1CCF"/>
    <w:rsid w:val="6A7E092E"/>
    <w:rsid w:val="6A904237"/>
    <w:rsid w:val="6AB5277B"/>
    <w:rsid w:val="6AEBD79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EFC8D0"/>
    <w:rsid w:val="6BF77E74"/>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4EDF"/>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DF893A"/>
    <w:rsid w:val="6FE70858"/>
    <w:rsid w:val="6FE71825"/>
    <w:rsid w:val="6FEB3409"/>
    <w:rsid w:val="6FF2EFD2"/>
    <w:rsid w:val="6FF55067"/>
    <w:rsid w:val="6FF70C7C"/>
    <w:rsid w:val="6FF736B6"/>
    <w:rsid w:val="6FF9061E"/>
    <w:rsid w:val="6FFE666F"/>
    <w:rsid w:val="6FFEE4E9"/>
    <w:rsid w:val="704A5458"/>
    <w:rsid w:val="705F6570"/>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3F77A"/>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D76BDA"/>
    <w:rsid w:val="76E9CBF5"/>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7F475B"/>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EA7643"/>
    <w:rsid w:val="77FB1360"/>
    <w:rsid w:val="77FBF545"/>
    <w:rsid w:val="77FC65BD"/>
    <w:rsid w:val="77FD2258"/>
    <w:rsid w:val="77FDAFC9"/>
    <w:rsid w:val="77FDD67D"/>
    <w:rsid w:val="77FFAA62"/>
    <w:rsid w:val="78267840"/>
    <w:rsid w:val="7884684B"/>
    <w:rsid w:val="788F6003"/>
    <w:rsid w:val="78A6232C"/>
    <w:rsid w:val="78BE02B4"/>
    <w:rsid w:val="78BF6301"/>
    <w:rsid w:val="78FD9EBC"/>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7FA5E"/>
    <w:rsid w:val="7BF84618"/>
    <w:rsid w:val="7BF98F73"/>
    <w:rsid w:val="7BFBE961"/>
    <w:rsid w:val="7BFCCF9A"/>
    <w:rsid w:val="7BFD23BE"/>
    <w:rsid w:val="7BFF1252"/>
    <w:rsid w:val="7BFF4CBB"/>
    <w:rsid w:val="7BFF804B"/>
    <w:rsid w:val="7BFFBEF3"/>
    <w:rsid w:val="7BFFFB61"/>
    <w:rsid w:val="7C199E8E"/>
    <w:rsid w:val="7C1E4662"/>
    <w:rsid w:val="7C51667B"/>
    <w:rsid w:val="7C6FAC73"/>
    <w:rsid w:val="7C805BDF"/>
    <w:rsid w:val="7C960D11"/>
    <w:rsid w:val="7C9D15C7"/>
    <w:rsid w:val="7CBE8518"/>
    <w:rsid w:val="7CD09542"/>
    <w:rsid w:val="7CD51442"/>
    <w:rsid w:val="7CEC546D"/>
    <w:rsid w:val="7CF11320"/>
    <w:rsid w:val="7CF81A8E"/>
    <w:rsid w:val="7CFE4646"/>
    <w:rsid w:val="7D4877F9"/>
    <w:rsid w:val="7D5F766F"/>
    <w:rsid w:val="7D772C0B"/>
    <w:rsid w:val="7D7F3FD0"/>
    <w:rsid w:val="7D804B82"/>
    <w:rsid w:val="7D841571"/>
    <w:rsid w:val="7D9E4DCD"/>
    <w:rsid w:val="7DAE0760"/>
    <w:rsid w:val="7DB44617"/>
    <w:rsid w:val="7DB912C6"/>
    <w:rsid w:val="7DCDEB79"/>
    <w:rsid w:val="7DCFA9AF"/>
    <w:rsid w:val="7DEFDD4D"/>
    <w:rsid w:val="7DF55D84"/>
    <w:rsid w:val="7DF5E540"/>
    <w:rsid w:val="7DF7585B"/>
    <w:rsid w:val="7DFFD3A2"/>
    <w:rsid w:val="7E15D1C6"/>
    <w:rsid w:val="7E1861B4"/>
    <w:rsid w:val="7E1E6385"/>
    <w:rsid w:val="7E1FF0C7"/>
    <w:rsid w:val="7E3D5B49"/>
    <w:rsid w:val="7E3D6278"/>
    <w:rsid w:val="7E47238B"/>
    <w:rsid w:val="7E4F8CD2"/>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5995"/>
    <w:rsid w:val="7EFFCA79"/>
    <w:rsid w:val="7F0B523C"/>
    <w:rsid w:val="7F1A2ADD"/>
    <w:rsid w:val="7F1FE4C4"/>
    <w:rsid w:val="7F2E9941"/>
    <w:rsid w:val="7F3AC36D"/>
    <w:rsid w:val="7F3F0374"/>
    <w:rsid w:val="7F3F48D2"/>
    <w:rsid w:val="7F3F8307"/>
    <w:rsid w:val="7F3FBEE0"/>
    <w:rsid w:val="7F3FDAEB"/>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9F"/>
    <w:rsid w:val="7FBD0DDC"/>
    <w:rsid w:val="7FBD3C31"/>
    <w:rsid w:val="7FBD6887"/>
    <w:rsid w:val="7FBF10A2"/>
    <w:rsid w:val="7FBF4759"/>
    <w:rsid w:val="7FC7B7AE"/>
    <w:rsid w:val="7FCB0E86"/>
    <w:rsid w:val="7FCDBC4D"/>
    <w:rsid w:val="7FCFE3A1"/>
    <w:rsid w:val="7FD7B55D"/>
    <w:rsid w:val="7FDA4A78"/>
    <w:rsid w:val="7FDBD71A"/>
    <w:rsid w:val="7FDE6D84"/>
    <w:rsid w:val="7FDF0F57"/>
    <w:rsid w:val="7FDF8A26"/>
    <w:rsid w:val="7FDF9583"/>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DA9F"/>
    <w:rsid w:val="7FFFEDA8"/>
    <w:rsid w:val="7FFFFFF5"/>
    <w:rsid w:val="80FFD23B"/>
    <w:rsid w:val="87647AF8"/>
    <w:rsid w:val="87FBEAE8"/>
    <w:rsid w:val="8BAD3C64"/>
    <w:rsid w:val="8DFFD1AA"/>
    <w:rsid w:val="8EEFB323"/>
    <w:rsid w:val="8F3E3382"/>
    <w:rsid w:val="8F7302B9"/>
    <w:rsid w:val="8FBB9A55"/>
    <w:rsid w:val="91DFE8F5"/>
    <w:rsid w:val="93DB74AF"/>
    <w:rsid w:val="97D71DFE"/>
    <w:rsid w:val="99ED0C9D"/>
    <w:rsid w:val="99FEE736"/>
    <w:rsid w:val="9A1E0A07"/>
    <w:rsid w:val="9B1F6BC4"/>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DFF670"/>
    <w:rsid w:val="9FF6BE78"/>
    <w:rsid w:val="9FFFBA19"/>
    <w:rsid w:val="9FFFF6C8"/>
    <w:rsid w:val="A4F29759"/>
    <w:rsid w:val="A56A5B4C"/>
    <w:rsid w:val="A5FD887E"/>
    <w:rsid w:val="A69E7D90"/>
    <w:rsid w:val="A798F561"/>
    <w:rsid w:val="A7CF7B0F"/>
    <w:rsid w:val="A7F5298F"/>
    <w:rsid w:val="A9FBD03D"/>
    <w:rsid w:val="ABF7DC2D"/>
    <w:rsid w:val="ABFDE009"/>
    <w:rsid w:val="ABFFE5E5"/>
    <w:rsid w:val="AD6D9B49"/>
    <w:rsid w:val="ADFA5E98"/>
    <w:rsid w:val="AEAF57D7"/>
    <w:rsid w:val="AEBFBB0B"/>
    <w:rsid w:val="AEF841E1"/>
    <w:rsid w:val="AF3EBA8C"/>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743D77"/>
    <w:rsid w:val="B6F78BBC"/>
    <w:rsid w:val="B6FF2A8E"/>
    <w:rsid w:val="B6FF60FB"/>
    <w:rsid w:val="B73B3728"/>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3E3D98"/>
    <w:rsid w:val="BB5D82F3"/>
    <w:rsid w:val="BB6D2A73"/>
    <w:rsid w:val="BB77A2D1"/>
    <w:rsid w:val="BB7916AC"/>
    <w:rsid w:val="BBB26A87"/>
    <w:rsid w:val="BBCF4FBF"/>
    <w:rsid w:val="BBDD7A8B"/>
    <w:rsid w:val="BBDEB2DA"/>
    <w:rsid w:val="BBDF3B74"/>
    <w:rsid w:val="BBDFEAAB"/>
    <w:rsid w:val="BBFE9003"/>
    <w:rsid w:val="BC35AEB4"/>
    <w:rsid w:val="BCCD3A25"/>
    <w:rsid w:val="BD6A2F93"/>
    <w:rsid w:val="BD7FB6AF"/>
    <w:rsid w:val="BD9FB11C"/>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EFFF11B"/>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7CE16"/>
    <w:rsid w:val="BFEDD8B4"/>
    <w:rsid w:val="BFEEB6FB"/>
    <w:rsid w:val="BFEF8AF5"/>
    <w:rsid w:val="BFF5BC68"/>
    <w:rsid w:val="BFF7C788"/>
    <w:rsid w:val="BFF8B842"/>
    <w:rsid w:val="BFFC6D96"/>
    <w:rsid w:val="BFFF0B13"/>
    <w:rsid w:val="BFFFF591"/>
    <w:rsid w:val="C57B30B2"/>
    <w:rsid w:val="C5923726"/>
    <w:rsid w:val="C5BF2169"/>
    <w:rsid w:val="C5DF0AA3"/>
    <w:rsid w:val="C7470024"/>
    <w:rsid w:val="CB339C4C"/>
    <w:rsid w:val="CB5FE9A0"/>
    <w:rsid w:val="CBBD9BF9"/>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BDE6DD"/>
    <w:rsid w:val="D3F707AB"/>
    <w:rsid w:val="D3F7AEF2"/>
    <w:rsid w:val="D3FA2600"/>
    <w:rsid w:val="D3FF6AE8"/>
    <w:rsid w:val="D45FBA60"/>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719662"/>
    <w:rsid w:val="D9BD42E9"/>
    <w:rsid w:val="D9BE4408"/>
    <w:rsid w:val="DABFB485"/>
    <w:rsid w:val="DB1FC230"/>
    <w:rsid w:val="DB2E96B1"/>
    <w:rsid w:val="DB99523A"/>
    <w:rsid w:val="DBBFC65C"/>
    <w:rsid w:val="DBCB3E80"/>
    <w:rsid w:val="DBD5E18D"/>
    <w:rsid w:val="DBDD1800"/>
    <w:rsid w:val="DBEA5FD9"/>
    <w:rsid w:val="DBF5FCE0"/>
    <w:rsid w:val="DBF6C713"/>
    <w:rsid w:val="DBFAB6E2"/>
    <w:rsid w:val="DBFDE20D"/>
    <w:rsid w:val="DBFF2B01"/>
    <w:rsid w:val="DBFFB739"/>
    <w:rsid w:val="DC7FF3D4"/>
    <w:rsid w:val="DCBDD353"/>
    <w:rsid w:val="DCE9A5E8"/>
    <w:rsid w:val="DCEBD107"/>
    <w:rsid w:val="DCEFE6D6"/>
    <w:rsid w:val="DCF18845"/>
    <w:rsid w:val="DCFE0F4D"/>
    <w:rsid w:val="DD722B29"/>
    <w:rsid w:val="DDAB0F76"/>
    <w:rsid w:val="DDDCC728"/>
    <w:rsid w:val="DDFE9AAD"/>
    <w:rsid w:val="DE7F7618"/>
    <w:rsid w:val="DEAC06F5"/>
    <w:rsid w:val="DEAF3FB5"/>
    <w:rsid w:val="DEBE04B8"/>
    <w:rsid w:val="DEBFF87C"/>
    <w:rsid w:val="DECD45E5"/>
    <w:rsid w:val="DED7F2B4"/>
    <w:rsid w:val="DEDFDF58"/>
    <w:rsid w:val="DEE54E08"/>
    <w:rsid w:val="DEE670BC"/>
    <w:rsid w:val="DEFDB41D"/>
    <w:rsid w:val="DF37A205"/>
    <w:rsid w:val="DF3F1911"/>
    <w:rsid w:val="DF6DD13C"/>
    <w:rsid w:val="DF763325"/>
    <w:rsid w:val="DF78CB1A"/>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67B28"/>
    <w:rsid w:val="DFD9E5D0"/>
    <w:rsid w:val="DFDFAC6F"/>
    <w:rsid w:val="DFE73EF5"/>
    <w:rsid w:val="DFEC7A3A"/>
    <w:rsid w:val="DFEFA24D"/>
    <w:rsid w:val="DFEFFE04"/>
    <w:rsid w:val="DFF0F891"/>
    <w:rsid w:val="DFF1EC04"/>
    <w:rsid w:val="DFF30972"/>
    <w:rsid w:val="DFF72CF6"/>
    <w:rsid w:val="DFFB4111"/>
    <w:rsid w:val="DFFBC7E1"/>
    <w:rsid w:val="DFFCACE0"/>
    <w:rsid w:val="DFFF2B5D"/>
    <w:rsid w:val="DFFF3928"/>
    <w:rsid w:val="DFFFB827"/>
    <w:rsid w:val="E0FBC29F"/>
    <w:rsid w:val="E17F3390"/>
    <w:rsid w:val="E1BDB81F"/>
    <w:rsid w:val="E1EF2A08"/>
    <w:rsid w:val="E2CDAC7E"/>
    <w:rsid w:val="E2ED36E5"/>
    <w:rsid w:val="E5BFBD14"/>
    <w:rsid w:val="E5FD79EC"/>
    <w:rsid w:val="E69DB6F6"/>
    <w:rsid w:val="E6EEE5E3"/>
    <w:rsid w:val="E6FA0EAF"/>
    <w:rsid w:val="E6FF671B"/>
    <w:rsid w:val="E7BECC07"/>
    <w:rsid w:val="E7DD1255"/>
    <w:rsid w:val="E7E8552A"/>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5A0704"/>
    <w:rsid w:val="EB7E0D37"/>
    <w:rsid w:val="EBAD28DF"/>
    <w:rsid w:val="EBB6D35F"/>
    <w:rsid w:val="EBBF4A2E"/>
    <w:rsid w:val="EBBFAF58"/>
    <w:rsid w:val="EBD957CC"/>
    <w:rsid w:val="EBDFCE57"/>
    <w:rsid w:val="EBFBA9D6"/>
    <w:rsid w:val="EBFD03CE"/>
    <w:rsid w:val="EBFFD39E"/>
    <w:rsid w:val="EC75EFAF"/>
    <w:rsid w:val="EC7FA350"/>
    <w:rsid w:val="ECF1EE47"/>
    <w:rsid w:val="ECF3EF46"/>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AEAA7"/>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3F20A1"/>
    <w:rsid w:val="F2899859"/>
    <w:rsid w:val="F2BF5C01"/>
    <w:rsid w:val="F2CD36F5"/>
    <w:rsid w:val="F2DCE203"/>
    <w:rsid w:val="F2FBA260"/>
    <w:rsid w:val="F32FE83B"/>
    <w:rsid w:val="F3723DB1"/>
    <w:rsid w:val="F3D7D169"/>
    <w:rsid w:val="F3EA0697"/>
    <w:rsid w:val="F3EF2933"/>
    <w:rsid w:val="F3F2F550"/>
    <w:rsid w:val="F3F5BEE9"/>
    <w:rsid w:val="F3F8EE6C"/>
    <w:rsid w:val="F3FB14F0"/>
    <w:rsid w:val="F3FF05B4"/>
    <w:rsid w:val="F3FFD2DD"/>
    <w:rsid w:val="F4571BDB"/>
    <w:rsid w:val="F4BF339E"/>
    <w:rsid w:val="F4CF00A8"/>
    <w:rsid w:val="F56D78F0"/>
    <w:rsid w:val="F57EA373"/>
    <w:rsid w:val="F5AB4465"/>
    <w:rsid w:val="F5AF1AAC"/>
    <w:rsid w:val="F5BF2197"/>
    <w:rsid w:val="F5D6D416"/>
    <w:rsid w:val="F5EF5BA1"/>
    <w:rsid w:val="F5FFA048"/>
    <w:rsid w:val="F66E6811"/>
    <w:rsid w:val="F6F676D6"/>
    <w:rsid w:val="F6F715DC"/>
    <w:rsid w:val="F6FC548F"/>
    <w:rsid w:val="F6FF0645"/>
    <w:rsid w:val="F6FFF807"/>
    <w:rsid w:val="F70F4387"/>
    <w:rsid w:val="F737D671"/>
    <w:rsid w:val="F74CB9BB"/>
    <w:rsid w:val="F75DEE87"/>
    <w:rsid w:val="F76FC34E"/>
    <w:rsid w:val="F77EAFBC"/>
    <w:rsid w:val="F79BF327"/>
    <w:rsid w:val="F7B72CE9"/>
    <w:rsid w:val="F7BB0BC8"/>
    <w:rsid w:val="F7BB5C28"/>
    <w:rsid w:val="F7BB7DA5"/>
    <w:rsid w:val="F7BF4B69"/>
    <w:rsid w:val="F7BFDD02"/>
    <w:rsid w:val="F7C640FC"/>
    <w:rsid w:val="F7CB3D4A"/>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99C915"/>
    <w:rsid w:val="F9FA94DA"/>
    <w:rsid w:val="F9FFCD8A"/>
    <w:rsid w:val="F9FFE9E2"/>
    <w:rsid w:val="FA673975"/>
    <w:rsid w:val="FA6F5FA1"/>
    <w:rsid w:val="FA6F7A3B"/>
    <w:rsid w:val="FA9F3B8F"/>
    <w:rsid w:val="FABB1ADF"/>
    <w:rsid w:val="FAFB5879"/>
    <w:rsid w:val="FAFFE8B1"/>
    <w:rsid w:val="FB0FA5A1"/>
    <w:rsid w:val="FB1B2E8B"/>
    <w:rsid w:val="FB3F993E"/>
    <w:rsid w:val="FB5DDB87"/>
    <w:rsid w:val="FB5F7A41"/>
    <w:rsid w:val="FB6141D0"/>
    <w:rsid w:val="FB6DADAC"/>
    <w:rsid w:val="FB737713"/>
    <w:rsid w:val="FB7620CB"/>
    <w:rsid w:val="FBAD924E"/>
    <w:rsid w:val="FBB3B80B"/>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DD3D"/>
    <w:rsid w:val="FBFFFF9E"/>
    <w:rsid w:val="FC2F7095"/>
    <w:rsid w:val="FC45570C"/>
    <w:rsid w:val="FC5D01CF"/>
    <w:rsid w:val="FC7390B6"/>
    <w:rsid w:val="FC7D08FF"/>
    <w:rsid w:val="FCBD7C47"/>
    <w:rsid w:val="FCCAE4B4"/>
    <w:rsid w:val="FCDF586A"/>
    <w:rsid w:val="FCEF4AA4"/>
    <w:rsid w:val="FCF3C0FF"/>
    <w:rsid w:val="FCFE3BF1"/>
    <w:rsid w:val="FCFFC7AA"/>
    <w:rsid w:val="FD1F198B"/>
    <w:rsid w:val="FD3D1E0E"/>
    <w:rsid w:val="FD5A3379"/>
    <w:rsid w:val="FD7F9963"/>
    <w:rsid w:val="FD8F501F"/>
    <w:rsid w:val="FD9F4A15"/>
    <w:rsid w:val="FDAFF0EB"/>
    <w:rsid w:val="FDBE483E"/>
    <w:rsid w:val="FDCBF945"/>
    <w:rsid w:val="FDDF292B"/>
    <w:rsid w:val="FDE47190"/>
    <w:rsid w:val="FDEB5CB7"/>
    <w:rsid w:val="FDEB6716"/>
    <w:rsid w:val="FDEF2A04"/>
    <w:rsid w:val="FDF399A8"/>
    <w:rsid w:val="FDF97ECA"/>
    <w:rsid w:val="FDFD1D0F"/>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DFB70C"/>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F0E8D"/>
    <w:rsid w:val="FF6FB5D7"/>
    <w:rsid w:val="FF738773"/>
    <w:rsid w:val="FF75DB73"/>
    <w:rsid w:val="FF76FAD4"/>
    <w:rsid w:val="FF7AEC13"/>
    <w:rsid w:val="FF7B056A"/>
    <w:rsid w:val="FF7B52EA"/>
    <w:rsid w:val="FF7B874E"/>
    <w:rsid w:val="FF7C84EC"/>
    <w:rsid w:val="FF7DC127"/>
    <w:rsid w:val="FF7EEB41"/>
    <w:rsid w:val="FF7F4185"/>
    <w:rsid w:val="FF7F4461"/>
    <w:rsid w:val="FF8F6649"/>
    <w:rsid w:val="FF97B671"/>
    <w:rsid w:val="FF9FA02E"/>
    <w:rsid w:val="FF9FA27F"/>
    <w:rsid w:val="FFA6D6F5"/>
    <w:rsid w:val="FFADDE42"/>
    <w:rsid w:val="FFAF5F11"/>
    <w:rsid w:val="FFAFD1D1"/>
    <w:rsid w:val="FFB2CB99"/>
    <w:rsid w:val="FFB769D4"/>
    <w:rsid w:val="FFB9A9CC"/>
    <w:rsid w:val="FFBCC349"/>
    <w:rsid w:val="FFBD8E1E"/>
    <w:rsid w:val="FFBEB8C7"/>
    <w:rsid w:val="FFBEC378"/>
    <w:rsid w:val="FFBF0390"/>
    <w:rsid w:val="FFC7C6F9"/>
    <w:rsid w:val="FFCC2759"/>
    <w:rsid w:val="FFCE4F99"/>
    <w:rsid w:val="FFCF23F3"/>
    <w:rsid w:val="FFCF688E"/>
    <w:rsid w:val="FFCF6C60"/>
    <w:rsid w:val="FFD1C576"/>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AC08"/>
    <w:rsid w:val="FFFAFB73"/>
    <w:rsid w:val="FFFAFE94"/>
    <w:rsid w:val="FFFB0977"/>
    <w:rsid w:val="FFFB2B15"/>
    <w:rsid w:val="FFFBAE4E"/>
    <w:rsid w:val="FFFD5F2A"/>
    <w:rsid w:val="FFFD8BDA"/>
    <w:rsid w:val="FFFDC7E6"/>
    <w:rsid w:val="FFFDDB9B"/>
    <w:rsid w:val="FFFE0AE4"/>
    <w:rsid w:val="FFFE5B9E"/>
    <w:rsid w:val="FFFEAABD"/>
    <w:rsid w:val="FFFEAF29"/>
    <w:rsid w:val="FFFECC37"/>
    <w:rsid w:val="FFFF509D"/>
    <w:rsid w:val="FFFF56D4"/>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6">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7">
    <w:name w:val="heading 3"/>
    <w:basedOn w:val="1"/>
    <w:next w:val="1"/>
    <w:qFormat/>
    <w:uiPriority w:val="9"/>
    <w:pPr>
      <w:keepNext/>
      <w:keepLines/>
      <w:spacing w:before="260" w:after="260" w:line="416" w:lineRule="auto"/>
      <w:outlineLvl w:val="2"/>
    </w:pPr>
    <w:rPr>
      <w:bCs/>
      <w:szCs w:val="32"/>
    </w:rPr>
  </w:style>
  <w:style w:type="paragraph" w:styleId="8">
    <w:name w:val="heading 4"/>
    <w:basedOn w:val="1"/>
    <w:next w:val="1"/>
    <w:qFormat/>
    <w:uiPriority w:val="0"/>
    <w:pPr>
      <w:keepNext/>
      <w:keepLines/>
      <w:numPr>
        <w:ilvl w:val="3"/>
        <w:numId w:val="1"/>
      </w:numPr>
      <w:tabs>
        <w:tab w:val="left" w:pos="1726"/>
        <w:tab w:val="clear" w:pos="850"/>
      </w:tabs>
      <w:ind w:firstLineChars="0"/>
      <w:jc w:val="left"/>
      <w:outlineLvl w:val="3"/>
    </w:pPr>
    <w:rPr>
      <w:rFonts w:hAnsi="Arial"/>
      <w:bCs/>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next w:val="4"/>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4">
    <w:name w:val="A正文"/>
    <w:basedOn w:val="1"/>
    <w:qFormat/>
    <w:uiPriority w:val="0"/>
    <w:pPr>
      <w:widowControl/>
      <w:overflowPunct w:val="0"/>
      <w:autoSpaceDE w:val="0"/>
      <w:autoSpaceDN w:val="0"/>
      <w:jc w:val="left"/>
      <w:textAlignment w:val="baseline"/>
    </w:pPr>
  </w:style>
  <w:style w:type="paragraph" w:styleId="9">
    <w:name w:val="annotation text"/>
    <w:basedOn w:val="1"/>
    <w:link w:val="29"/>
    <w:qFormat/>
    <w:uiPriority w:val="0"/>
    <w:pPr>
      <w:jc w:val="left"/>
    </w:pPr>
  </w:style>
  <w:style w:type="paragraph" w:styleId="10">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11">
    <w:name w:val="Plain Text"/>
    <w:basedOn w:val="1"/>
    <w:unhideWhenUsed/>
    <w:qFormat/>
    <w:uiPriority w:val="99"/>
    <w:rPr>
      <w:rFonts w:ascii="宋体" w:hAnsi="Courier New" w:cs="Courier New"/>
    </w:rPr>
  </w:style>
  <w:style w:type="paragraph" w:styleId="12">
    <w:name w:val="Body Text Indent 2"/>
    <w:basedOn w:val="1"/>
    <w:next w:val="13"/>
    <w:qFormat/>
    <w:uiPriority w:val="0"/>
    <w:pPr>
      <w:spacing w:line="460" w:lineRule="exact"/>
      <w:ind w:firstLine="600" w:firstLineChars="200"/>
    </w:pPr>
    <w:rPr>
      <w:rFonts w:ascii="仿宋_GB2312" w:hAnsi="宋体" w:eastAsia="仿宋_GB2312"/>
      <w:sz w:val="30"/>
      <w:szCs w:val="28"/>
    </w:rPr>
  </w:style>
  <w:style w:type="paragraph" w:styleId="13">
    <w:name w:val="Body Text First Indent 2"/>
    <w:basedOn w:val="1"/>
    <w:next w:val="1"/>
    <w:unhideWhenUsed/>
    <w:qFormat/>
    <w:uiPriority w:val="0"/>
    <w:pPr>
      <w:spacing w:after="120" w:line="240" w:lineRule="auto"/>
      <w:ind w:left="420" w:leftChars="200" w:firstLine="420"/>
    </w:pPr>
  </w:style>
  <w:style w:type="paragraph" w:styleId="14">
    <w:name w:val="Balloon Text"/>
    <w:basedOn w:val="1"/>
    <w:link w:val="31"/>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jc w:val="left"/>
    </w:pPr>
    <w:rPr>
      <w:rFonts w:cs="Times New Roman"/>
      <w:kern w:val="0"/>
      <w:sz w:val="24"/>
    </w:rPr>
  </w:style>
  <w:style w:type="paragraph" w:styleId="19">
    <w:name w:val="annotation subject"/>
    <w:basedOn w:val="9"/>
    <w:next w:val="9"/>
    <w:link w:val="30"/>
    <w:qFormat/>
    <w:uiPriority w:val="0"/>
    <w:rPr>
      <w:b/>
      <w:bCs/>
    </w:rPr>
  </w:style>
  <w:style w:type="paragraph" w:styleId="20">
    <w:name w:val="Body Text First Indent"/>
    <w:basedOn w:val="2"/>
    <w:unhideWhenUsed/>
    <w:qFormat/>
    <w:uiPriority w:val="99"/>
    <w:pPr>
      <w:spacing w:after="120"/>
      <w:ind w:firstLine="420" w:firstLineChars="100"/>
    </w:pPr>
    <w:rPr>
      <w:rFonts w:ascii="Calibri" w:hAnsi="Calibri" w:eastAsia="宋体" w:cs="Times New Roman"/>
      <w:szCs w:val="22"/>
    </w:rPr>
  </w:style>
  <w:style w:type="table" w:styleId="22">
    <w:name w:val="Table Grid"/>
    <w:basedOn w:val="21"/>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annotation reference"/>
    <w:basedOn w:val="23"/>
    <w:qFormat/>
    <w:uiPriority w:val="0"/>
    <w:rPr>
      <w:sz w:val="21"/>
      <w:szCs w:val="21"/>
    </w:rPr>
  </w:style>
  <w:style w:type="paragraph" w:customStyle="1" w:styleId="25">
    <w:name w:val="Default"/>
    <w:basedOn w:val="26"/>
    <w:next w:val="13"/>
    <w:qFormat/>
    <w:uiPriority w:val="0"/>
    <w:pPr>
      <w:autoSpaceDE w:val="0"/>
      <w:autoSpaceDN w:val="0"/>
      <w:adjustRightInd w:val="0"/>
    </w:pPr>
    <w:rPr>
      <w:rFonts w:ascii="仿宋_GB2312" w:eastAsia="仿宋_GB2312" w:cs="仿宋_GB2312"/>
      <w:sz w:val="24"/>
    </w:rPr>
  </w:style>
  <w:style w:type="paragraph" w:customStyle="1" w:styleId="26">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7">
    <w:name w:val="Default1"/>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8">
    <w:name w:val="样式 标题 2"/>
    <w:basedOn w:val="6"/>
    <w:next w:val="27"/>
    <w:qFormat/>
    <w:uiPriority w:val="0"/>
    <w:pPr>
      <w:spacing w:before="50" w:after="50"/>
    </w:pPr>
    <w:rPr>
      <w:szCs w:val="28"/>
    </w:rPr>
  </w:style>
  <w:style w:type="character" w:customStyle="1" w:styleId="29">
    <w:name w:val="批注文字 Char"/>
    <w:basedOn w:val="23"/>
    <w:link w:val="9"/>
    <w:qFormat/>
    <w:uiPriority w:val="0"/>
    <w:rPr>
      <w:kern w:val="2"/>
      <w:sz w:val="21"/>
      <w:szCs w:val="24"/>
    </w:rPr>
  </w:style>
  <w:style w:type="character" w:customStyle="1" w:styleId="30">
    <w:name w:val="批注主题 Char"/>
    <w:basedOn w:val="29"/>
    <w:link w:val="19"/>
    <w:qFormat/>
    <w:uiPriority w:val="0"/>
    <w:rPr>
      <w:b/>
      <w:bCs/>
      <w:kern w:val="2"/>
      <w:sz w:val="21"/>
      <w:szCs w:val="24"/>
    </w:rPr>
  </w:style>
  <w:style w:type="character" w:customStyle="1" w:styleId="31">
    <w:name w:val="批注框文本 Char"/>
    <w:basedOn w:val="23"/>
    <w:link w:val="14"/>
    <w:qFormat/>
    <w:uiPriority w:val="0"/>
    <w:rPr>
      <w:kern w:val="2"/>
      <w:sz w:val="18"/>
      <w:szCs w:val="18"/>
    </w:rPr>
  </w:style>
  <w:style w:type="paragraph" w:customStyle="1" w:styleId="32">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3">
    <w:name w:val="List Paragraph"/>
    <w:basedOn w:val="1"/>
    <w:unhideWhenUsed/>
    <w:qFormat/>
    <w:uiPriority w:val="99"/>
    <w:pPr>
      <w:ind w:firstLine="420" w:firstLineChars="200"/>
    </w:pPr>
  </w:style>
  <w:style w:type="paragraph" w:customStyle="1" w:styleId="34">
    <w:name w:val="A0正文"/>
    <w:basedOn w:val="1"/>
    <w:qFormat/>
    <w:uiPriority w:val="0"/>
    <w:pPr>
      <w:spacing w:line="560" w:lineRule="exact"/>
      <w:ind w:firstLine="200" w:firstLineChars="200"/>
    </w:pPr>
    <w:rPr>
      <w:sz w:val="24"/>
      <w:szCs w:val="20"/>
      <w:lang w:val="zh-CN"/>
    </w:rPr>
  </w:style>
  <w:style w:type="paragraph" w:customStyle="1" w:styleId="35">
    <w:name w:val="小四+首行缩进"/>
    <w:basedOn w:val="1"/>
    <w:qFormat/>
    <w:uiPriority w:val="0"/>
    <w:pPr>
      <w:spacing w:line="360" w:lineRule="auto"/>
      <w:ind w:firstLine="482"/>
    </w:pPr>
    <w:rPr>
      <w:rFonts w:ascii="宋体" w:hAnsi="宋体"/>
      <w:kern w:val="0"/>
      <w:sz w:val="24"/>
    </w:rPr>
  </w:style>
  <w:style w:type="paragraph" w:customStyle="1" w:styleId="36">
    <w:name w:val="D正文"/>
    <w:basedOn w:val="1"/>
    <w:qFormat/>
    <w:uiPriority w:val="0"/>
    <w:pPr>
      <w:spacing w:line="360" w:lineRule="auto"/>
      <w:ind w:firstLine="480" w:firstLineChars="200"/>
    </w:pPr>
    <w:rPr>
      <w:sz w:val="24"/>
    </w:rPr>
  </w:style>
  <w:style w:type="paragraph" w:customStyle="1" w:styleId="37">
    <w:name w:val="报告书"/>
    <w:basedOn w:val="1"/>
    <w:qFormat/>
    <w:uiPriority w:val="0"/>
    <w:pPr>
      <w:autoSpaceDE w:val="0"/>
      <w:autoSpaceDN w:val="0"/>
      <w:adjustRightInd w:val="0"/>
      <w:spacing w:line="520" w:lineRule="exact"/>
      <w:ind w:firstLine="480" w:firstLineChars="200"/>
      <w:jc w:val="left"/>
    </w:pPr>
    <w:rPr>
      <w:rFonts w:ascii="宋体" w:hAnsi="宋体" w:eastAsia="宋体" w:cs="宋体"/>
      <w:color w:val="0000FF"/>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10</Pages>
  <Words>4695</Words>
  <Characters>5262</Characters>
  <Lines>26</Lines>
  <Paragraphs>7</Paragraphs>
  <TotalTime>32</TotalTime>
  <ScaleCrop>false</ScaleCrop>
  <LinksUpToDate>false</LinksUpToDate>
  <CharactersWithSpaces>5496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2022-03-16T01:25:00Z</dcterms:created>
  <dc:creator>Administrator</dc:creator>
  <cp:lastModifiedBy>admin123</cp:lastModifiedBy>
  <cp:lastPrinted>2023-02-02T11:15:16Z</cp:lastPrinted>
  <dcterms:modified xsi:type="dcterms:W3CDTF">2023-02-02T11:15:18Z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