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98</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hint="default" w:ascii="方正小标宋简体" w:hAnsi="宋体" w:eastAsia="方正小标宋简体"/>
          <w:w w:val="95"/>
          <w:sz w:val="44"/>
          <w:szCs w:val="44"/>
        </w:rPr>
      </w:pPr>
      <w:r>
        <w:rPr>
          <w:rFonts w:hint="eastAsia" w:ascii="方正小标宋简体" w:hAnsi="方正小标宋简体" w:eastAsia="方正小标宋简体" w:cs="方正小标宋简体"/>
          <w:bCs/>
          <w:color w:val="000000"/>
          <w:sz w:val="44"/>
          <w:szCs w:val="44"/>
          <w:lang w:val="en-US" w:eastAsia="zh-CN"/>
        </w:rPr>
        <w:t>关</w:t>
      </w:r>
      <w:r>
        <w:rPr>
          <w:rFonts w:hint="eastAsia" w:ascii="方正小标宋简体" w:hAnsi="宋体" w:eastAsia="方正小标宋简体"/>
          <w:w w:val="95"/>
          <w:sz w:val="44"/>
          <w:szCs w:val="44"/>
          <w:lang w:val="en-US" w:eastAsia="zh-CN"/>
        </w:rPr>
        <w:t>于</w:t>
      </w:r>
      <w:r>
        <w:rPr>
          <w:rFonts w:hint="default" w:ascii="方正小标宋简体" w:hAnsi="宋体" w:eastAsia="方正小标宋简体"/>
          <w:w w:val="95"/>
          <w:sz w:val="44"/>
          <w:szCs w:val="44"/>
        </w:rPr>
        <w:t>宜春市恒荣矿业有限公司年处理20万吨</w:t>
      </w:r>
    </w:p>
    <w:p>
      <w:pPr>
        <w:spacing w:line="520" w:lineRule="exact"/>
        <w:jc w:val="center"/>
        <w:rPr>
          <w:rFonts w:ascii="方正小标宋简体" w:hAnsi="宋体" w:eastAsia="方正小标宋简体"/>
          <w:w w:val="95"/>
          <w:sz w:val="44"/>
          <w:szCs w:val="44"/>
        </w:rPr>
      </w:pPr>
      <w:r>
        <w:rPr>
          <w:rFonts w:hint="default" w:ascii="方正小标宋简体" w:hAnsi="宋体" w:eastAsia="方正小标宋简体"/>
          <w:w w:val="95"/>
          <w:sz w:val="44"/>
          <w:szCs w:val="44"/>
        </w:rPr>
        <w:t>锂长石综合利用项目</w:t>
      </w:r>
      <w:r>
        <w:rPr>
          <w:rFonts w:hint="eastAsia" w:ascii="方正小标宋简体" w:hAnsi="宋体" w:eastAsia="方正小标宋简体"/>
          <w:w w:val="95"/>
          <w:sz w:val="44"/>
          <w:szCs w:val="44"/>
        </w:rPr>
        <w:t>环境影响报告书的批复</w:t>
      </w:r>
    </w:p>
    <w:p>
      <w:pPr>
        <w:keepNext w:val="0"/>
        <w:keepLines w:val="0"/>
        <w:pageBreakBefore w:val="0"/>
        <w:widowControl w:val="0"/>
        <w:kinsoku/>
        <w:wordWrap/>
        <w:overflowPunct/>
        <w:topLinePunct w:val="0"/>
        <w:autoSpaceDE w:val="0"/>
        <w:autoSpaceDN/>
        <w:bidi w:val="0"/>
        <w:spacing w:line="600" w:lineRule="exact"/>
        <w:jc w:val="lef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rPr>
        <w:t>宜春市恒荣矿业有限公司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_GB2312" w:eastAsia="仿宋_GB2312" w:cs="仿宋_GB2312"/>
          <w:bCs/>
          <w:color w:val="auto"/>
          <w:kern w:val="0"/>
          <w:sz w:val="32"/>
          <w:szCs w:val="32"/>
        </w:rPr>
        <w:t>宜春市恒荣矿业有限公司年处理20万吨锂长石综合利用项目</w:t>
      </w:r>
      <w:r>
        <w:rPr>
          <w:rFonts w:hint="eastAsia" w:ascii="仿宋_GB2312" w:hAnsi="仿宋_GB2312" w:eastAsia="仿宋_GB2312" w:cs="仿宋_GB2312"/>
          <w:sz w:val="32"/>
          <w:szCs w:val="32"/>
        </w:rPr>
        <w:t>环境影响报告书〉的请示》以及相关资料收悉，经研究，批复如下：</w:t>
      </w:r>
    </w:p>
    <w:p>
      <w:pPr>
        <w:keepNext w:val="0"/>
        <w:keepLines w:val="0"/>
        <w:pageBreakBefore w:val="0"/>
        <w:kinsoku/>
        <w:wordWrap/>
        <w:overflowPunct/>
        <w:topLinePunct w:val="0"/>
        <w:autoSpaceDN/>
        <w:bidi w:val="0"/>
        <w:spacing w:line="56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一、项目建设内容及批复意见</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宜春市恒荣矿业有限公司年处理20万吨锂长石综合利用项目</w:t>
      </w:r>
      <w:r>
        <w:rPr>
          <w:rFonts w:hint="eastAsia" w:ascii="仿宋_GB2312" w:hAnsi="仿宋_GB2312" w:eastAsia="仿宋_GB2312" w:cs="仿宋_GB2312"/>
          <w:bCs/>
          <w:color w:val="auto"/>
          <w:sz w:val="32"/>
          <w:szCs w:val="32"/>
        </w:rPr>
        <w:t>位于</w:t>
      </w:r>
      <w:r>
        <w:rPr>
          <w:rFonts w:hint="eastAsia" w:ascii="仿宋_GB2312" w:hAnsi="仿宋_GB2312" w:eastAsia="仿宋_GB2312" w:cs="仿宋_GB2312"/>
          <w:color w:val="auto"/>
          <w:kern w:val="0"/>
          <w:sz w:val="32"/>
          <w:szCs w:val="32"/>
          <w:lang w:eastAsia="zh-CN"/>
        </w:rPr>
        <w:t>江西省宜春市袁州区西村镇西村村</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厂址中心坐标为东经11</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lang w:val="en-US" w:eastAsia="zh-CN"/>
        </w:rPr>
        <w:t>18.953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北纬</w:t>
      </w: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44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56.299</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highlight w:val="none"/>
          <w:lang w:eastAsia="zh-CN"/>
        </w:rPr>
        <w:t>项目东面为宜春市盛源水泥有限公司；南面为林地；西面为变电站；北面为农田</w:t>
      </w:r>
      <w:r>
        <w:rPr>
          <w:rFonts w:hint="eastAsia" w:ascii="仿宋_GB2312" w:hAnsi="仿宋_GB2312" w:eastAsia="仿宋_GB2312" w:cs="仿宋_GB2312"/>
          <w:bCs/>
          <w:color w:val="auto"/>
          <w:sz w:val="32"/>
          <w:szCs w:val="32"/>
          <w:lang w:eastAsia="zh-CN"/>
        </w:rPr>
        <w:t>。项目占地面积</w:t>
      </w:r>
      <w:r>
        <w:rPr>
          <w:rFonts w:hint="eastAsia" w:ascii="仿宋_GB2312" w:hAnsi="仿宋_GB2312" w:eastAsia="仿宋_GB2312" w:cs="仿宋_GB2312"/>
          <w:bCs/>
          <w:color w:val="auto"/>
          <w:sz w:val="32"/>
          <w:szCs w:val="32"/>
          <w:lang w:val="en-US" w:eastAsia="zh-CN"/>
        </w:rPr>
        <w:t>32.145</w:t>
      </w:r>
      <w:r>
        <w:rPr>
          <w:rFonts w:hint="eastAsia" w:ascii="仿宋_GB2312" w:hAnsi="仿宋_GB2312" w:eastAsia="仿宋_GB2312" w:cs="仿宋_GB2312"/>
          <w:bCs/>
          <w:color w:val="auto"/>
          <w:sz w:val="32"/>
          <w:szCs w:val="32"/>
          <w:lang w:eastAsia="zh-CN"/>
        </w:rPr>
        <w:t>亩</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项目为</w:t>
      </w:r>
      <w:r>
        <w:rPr>
          <w:rFonts w:hint="eastAsia" w:ascii="仿宋_GB2312" w:hAnsi="仿宋_GB2312" w:eastAsia="仿宋_GB2312" w:cs="仿宋_GB2312"/>
          <w:bCs/>
          <w:color w:val="auto"/>
          <w:sz w:val="32"/>
          <w:szCs w:val="32"/>
          <w:lang w:val="en-US" w:eastAsia="zh-CN"/>
        </w:rPr>
        <w:t>新建</w:t>
      </w:r>
      <w:r>
        <w:rPr>
          <w:rFonts w:hint="eastAsia" w:ascii="仿宋_GB2312" w:hAnsi="仿宋_GB2312" w:eastAsia="仿宋_GB2312" w:cs="仿宋_GB2312"/>
          <w:bCs/>
          <w:color w:val="auto"/>
          <w:sz w:val="32"/>
          <w:szCs w:val="32"/>
        </w:rPr>
        <w:t>工程。主要以锂长石、浮选剂、水为原料，经破碎筛分、球磨、磁选、</w:t>
      </w:r>
      <w:r>
        <w:rPr>
          <w:rFonts w:hint="eastAsia" w:ascii="仿宋_GB2312" w:hAnsi="仿宋_GB2312" w:eastAsia="仿宋_GB2312" w:cs="仿宋_GB2312"/>
          <w:bCs/>
          <w:color w:val="auto"/>
          <w:sz w:val="32"/>
          <w:szCs w:val="32"/>
          <w:lang w:eastAsia="zh-CN"/>
        </w:rPr>
        <w:t>旋流</w:t>
      </w:r>
      <w:r>
        <w:rPr>
          <w:rFonts w:hint="eastAsia" w:ascii="仿宋_GB2312" w:hAnsi="仿宋_GB2312" w:eastAsia="仿宋_GB2312" w:cs="仿宋_GB2312"/>
          <w:bCs/>
          <w:color w:val="auto"/>
          <w:sz w:val="32"/>
          <w:szCs w:val="32"/>
          <w:lang w:val="en-US" w:eastAsia="zh-CN"/>
        </w:rPr>
        <w:t>分级</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浮选、脱水等工序生产各产品。</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Calibri" w:eastAsia="仿宋_GB2312"/>
          <w:color w:val="auto"/>
          <w:sz w:val="32"/>
          <w:szCs w:val="32"/>
        </w:rPr>
      </w:pPr>
      <w:r>
        <w:rPr>
          <w:rFonts w:hint="eastAsia" w:ascii="仿宋_GB2312" w:hAnsi="仿宋_GB2312" w:eastAsia="仿宋_GB2312" w:cs="仿宋_GB2312"/>
          <w:bCs/>
          <w:color w:val="auto"/>
          <w:sz w:val="32"/>
          <w:szCs w:val="32"/>
        </w:rPr>
        <w:t>主要建设内容：主体工程包括</w:t>
      </w:r>
      <w:r>
        <w:rPr>
          <w:rFonts w:hint="eastAsia" w:ascii="仿宋_GB2312" w:hAnsi="仿宋_GB2312" w:eastAsia="仿宋_GB2312" w:cs="仿宋_GB2312"/>
          <w:bCs/>
          <w:color w:val="auto"/>
          <w:sz w:val="32"/>
          <w:szCs w:val="32"/>
          <w:lang w:val="en-US" w:eastAsia="zh-CN"/>
        </w:rPr>
        <w:t>依托选矿车间、压榨车间、破碎车间等</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公用、</w:t>
      </w:r>
      <w:r>
        <w:rPr>
          <w:rFonts w:hint="eastAsia" w:ascii="仿宋_GB2312" w:hAnsi="仿宋_GB2312" w:eastAsia="仿宋_GB2312" w:cs="仿宋_GB2312"/>
          <w:bCs/>
          <w:color w:val="auto"/>
          <w:sz w:val="32"/>
          <w:szCs w:val="32"/>
        </w:rPr>
        <w:t>辅助工程包括</w:t>
      </w:r>
      <w:r>
        <w:rPr>
          <w:rFonts w:hint="eastAsia" w:ascii="仿宋_GB2312" w:hAnsi="仿宋_GB2312" w:eastAsia="仿宋_GB2312" w:cs="仿宋_GB2312"/>
          <w:bCs/>
          <w:color w:val="auto"/>
          <w:sz w:val="32"/>
          <w:szCs w:val="32"/>
          <w:lang w:eastAsia="zh-CN"/>
        </w:rPr>
        <w:t>依托</w:t>
      </w:r>
      <w:r>
        <w:rPr>
          <w:rFonts w:hint="eastAsia" w:ascii="仿宋_GB2312" w:hAnsi="仿宋_GB2312" w:eastAsia="仿宋_GB2312" w:cs="仿宋_GB2312"/>
          <w:bCs/>
          <w:color w:val="auto"/>
          <w:sz w:val="32"/>
          <w:szCs w:val="32"/>
          <w:lang w:val="en-US" w:eastAsia="zh-CN"/>
        </w:rPr>
        <w:t>办公</w:t>
      </w:r>
      <w:r>
        <w:rPr>
          <w:rFonts w:hint="eastAsia" w:ascii="仿宋_GB2312" w:hAnsi="仿宋_GB2312" w:eastAsia="仿宋_GB2312" w:cs="仿宋_GB2312"/>
          <w:bCs/>
          <w:color w:val="auto"/>
          <w:sz w:val="32"/>
          <w:szCs w:val="32"/>
          <w:lang w:eastAsia="zh-CN"/>
        </w:rPr>
        <w:t>楼、</w:t>
      </w:r>
      <w:r>
        <w:rPr>
          <w:rFonts w:hint="eastAsia" w:ascii="仿宋_GB2312" w:hAnsi="仿宋_GB2312" w:eastAsia="仿宋_GB2312" w:cs="仿宋_GB2312"/>
          <w:bCs/>
          <w:color w:val="auto"/>
          <w:sz w:val="32"/>
          <w:szCs w:val="32"/>
          <w:lang w:val="en-US" w:eastAsia="zh-CN"/>
        </w:rPr>
        <w:t>洗车平台</w:t>
      </w:r>
      <w:r>
        <w:rPr>
          <w:rFonts w:hint="eastAsia" w:ascii="仿宋_GB2312" w:hAnsi="仿宋_GB2312" w:eastAsia="仿宋_GB2312" w:cs="仿宋_GB2312"/>
          <w:bCs/>
          <w:color w:val="auto"/>
          <w:sz w:val="32"/>
          <w:szCs w:val="32"/>
        </w:rPr>
        <w:t>等</w:t>
      </w:r>
      <w:r>
        <w:rPr>
          <w:rFonts w:hint="eastAsia" w:ascii="仿宋_GB2312" w:hAnsi="仿宋_GB2312" w:eastAsia="仿宋_GB2312" w:cs="仿宋_GB2312"/>
          <w:bCs/>
          <w:color w:val="auto"/>
          <w:sz w:val="32"/>
          <w:szCs w:val="32"/>
          <w:lang w:eastAsia="zh-CN"/>
        </w:rPr>
        <w:t>及配套的供水、供电、</w:t>
      </w:r>
      <w:r>
        <w:rPr>
          <w:rFonts w:hint="eastAsia" w:ascii="仿宋_GB2312" w:hAnsi="仿宋_GB2312" w:eastAsia="仿宋_GB2312" w:cs="仿宋_GB2312"/>
          <w:bCs/>
          <w:color w:val="auto"/>
          <w:sz w:val="32"/>
          <w:szCs w:val="32"/>
          <w:lang w:val="en-US" w:eastAsia="zh-CN"/>
        </w:rPr>
        <w:t>排水</w:t>
      </w:r>
      <w:r>
        <w:rPr>
          <w:rFonts w:hint="eastAsia" w:ascii="仿宋_GB2312" w:hAnsi="仿宋_GB2312" w:eastAsia="仿宋_GB2312" w:cs="仿宋_GB2312"/>
          <w:bCs/>
          <w:color w:val="auto"/>
          <w:sz w:val="32"/>
          <w:szCs w:val="32"/>
          <w:lang w:eastAsia="zh-CN"/>
        </w:rPr>
        <w:t>设施等；贮运工程</w:t>
      </w:r>
      <w:r>
        <w:rPr>
          <w:rFonts w:hint="eastAsia" w:ascii="仿宋_GB2312" w:hAnsi="仿宋_GB2312" w:eastAsia="仿宋_GB2312" w:cs="仿宋_GB2312"/>
          <w:bCs/>
          <w:color w:val="auto"/>
          <w:sz w:val="32"/>
          <w:szCs w:val="32"/>
          <w:lang w:val="en-US" w:eastAsia="zh-CN"/>
        </w:rPr>
        <w:t>包括依托锂云母仓库、1#原料仓库、长石粉仓库、压榨泥仓库、破碎料仓库及新建2#原料仓库；</w:t>
      </w:r>
      <w:r>
        <w:rPr>
          <w:rFonts w:hint="eastAsia" w:ascii="仿宋_GB2312" w:hAnsi="仿宋_GB2312" w:eastAsia="仿宋_GB2312" w:cs="仿宋_GB2312"/>
          <w:bCs/>
          <w:color w:val="auto"/>
          <w:sz w:val="32"/>
          <w:szCs w:val="32"/>
          <w:lang w:eastAsia="zh-CN"/>
        </w:rPr>
        <w:t>环保工程包</w:t>
      </w:r>
      <w:r>
        <w:rPr>
          <w:rFonts w:hint="eastAsia" w:ascii="仿宋_GB2312" w:hAnsi="仿宋_GB2312" w:eastAsia="仿宋_GB2312" w:cs="仿宋_GB2312"/>
          <w:bCs/>
          <w:color w:val="auto"/>
          <w:sz w:val="32"/>
          <w:szCs w:val="32"/>
        </w:rPr>
        <w:t>括</w:t>
      </w:r>
      <w:r>
        <w:rPr>
          <w:rFonts w:hint="eastAsia" w:ascii="仿宋_GB2312" w:hAnsi="仿宋_GB2312" w:eastAsia="仿宋_GB2312" w:cs="仿宋_GB2312"/>
          <w:bCs/>
          <w:color w:val="auto"/>
          <w:sz w:val="32"/>
          <w:szCs w:val="32"/>
          <w:lang w:eastAsia="zh-CN"/>
        </w:rPr>
        <w:t>新建破碎筛分工序</w:t>
      </w:r>
      <w:r>
        <w:rPr>
          <w:rFonts w:hint="eastAsia" w:ascii="仿宋_GB2312" w:hAnsi="仿宋_GB2312" w:eastAsia="仿宋_GB2312" w:cs="仿宋_GB2312"/>
          <w:bCs/>
          <w:color w:val="auto"/>
          <w:sz w:val="32"/>
          <w:szCs w:val="32"/>
          <w:lang w:val="en-US" w:eastAsia="zh-CN"/>
        </w:rPr>
        <w:t>布袋除尘器</w:t>
      </w:r>
      <w:r>
        <w:rPr>
          <w:rFonts w:hint="eastAsia" w:ascii="仿宋_GB2312" w:hAnsi="仿宋_GB2312" w:eastAsia="仿宋_GB2312" w:cs="仿宋_GB2312"/>
          <w:bCs/>
          <w:color w:val="auto"/>
          <w:sz w:val="32"/>
          <w:szCs w:val="32"/>
          <w:lang w:eastAsia="zh-CN"/>
        </w:rPr>
        <w:t>除尘器、</w:t>
      </w:r>
      <w:r>
        <w:rPr>
          <w:rFonts w:hint="eastAsia" w:ascii="仿宋_GB2312" w:hAnsi="仿宋_GB2312" w:eastAsia="仿宋_GB2312" w:cs="仿宋_GB2312"/>
          <w:bCs/>
          <w:color w:val="auto"/>
          <w:sz w:val="32"/>
          <w:szCs w:val="32"/>
          <w:lang w:val="en-US" w:eastAsia="zh-CN"/>
        </w:rPr>
        <w:t>依托</w:t>
      </w:r>
      <w:r>
        <w:rPr>
          <w:rFonts w:hint="eastAsia" w:ascii="仿宋_GB2312" w:hAnsi="仿宋_GB2312" w:eastAsia="仿宋_GB2312" w:cs="仿宋_GB2312"/>
          <w:bCs/>
          <w:color w:val="auto"/>
          <w:sz w:val="32"/>
          <w:szCs w:val="32"/>
          <w:lang w:eastAsia="zh-CN"/>
        </w:rPr>
        <w:t>喷淋装置、</w:t>
      </w:r>
      <w:r>
        <w:rPr>
          <w:rFonts w:hint="eastAsia" w:ascii="仿宋_GB2312" w:hAnsi="仿宋_GB2312" w:eastAsia="仿宋_GB2312" w:cs="仿宋_GB2312"/>
          <w:bCs/>
          <w:color w:val="auto"/>
          <w:sz w:val="32"/>
          <w:szCs w:val="32"/>
          <w:lang w:val="en-US" w:eastAsia="zh-CN"/>
        </w:rPr>
        <w:t>食堂油烟净化器</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lang w:val="en-US" w:eastAsia="zh-CN"/>
        </w:rPr>
        <w:t>新建</w:t>
      </w:r>
      <w:r>
        <w:rPr>
          <w:rFonts w:hint="eastAsia" w:ascii="仿宋_GB2312" w:hAnsi="仿宋_GB2312" w:eastAsia="仿宋_GB2312" w:cs="仿宋_GB2312"/>
          <w:bCs/>
          <w:color w:val="auto"/>
          <w:sz w:val="32"/>
          <w:szCs w:val="32"/>
        </w:rPr>
        <w:t>生活污水</w:t>
      </w:r>
      <w:r>
        <w:rPr>
          <w:rFonts w:hint="eastAsia" w:ascii="仿宋_GB2312" w:hAnsi="仿宋_GB2312" w:eastAsia="仿宋_GB2312" w:cs="仿宋_GB2312"/>
          <w:bCs/>
          <w:color w:val="auto"/>
          <w:sz w:val="32"/>
          <w:szCs w:val="32"/>
          <w:lang w:eastAsia="zh-CN"/>
        </w:rPr>
        <w:t>一体化</w:t>
      </w:r>
      <w:r>
        <w:rPr>
          <w:rFonts w:hint="eastAsia" w:ascii="仿宋_GB2312" w:hAnsi="仿宋_GB2312" w:eastAsia="仿宋_GB2312" w:cs="仿宋_GB2312"/>
          <w:bCs/>
          <w:color w:val="auto"/>
          <w:sz w:val="32"/>
          <w:szCs w:val="32"/>
        </w:rPr>
        <w:t>处理设施、</w:t>
      </w:r>
      <w:r>
        <w:rPr>
          <w:rFonts w:hint="eastAsia" w:ascii="仿宋_GB2312" w:hAnsi="仿宋_GB2312" w:eastAsia="仿宋_GB2312" w:cs="仿宋_GB2312"/>
          <w:bCs/>
          <w:color w:val="auto"/>
          <w:sz w:val="32"/>
          <w:szCs w:val="32"/>
          <w:lang w:val="en-US" w:eastAsia="zh-CN"/>
        </w:rPr>
        <w:t>浓密池、沉淀池、依托</w:t>
      </w:r>
      <w:r>
        <w:rPr>
          <w:rFonts w:hint="eastAsia" w:ascii="仿宋_GB2312" w:hAnsi="仿宋_GB2312" w:eastAsia="仿宋_GB2312" w:cs="仿宋_GB2312"/>
          <w:bCs/>
          <w:color w:val="auto"/>
          <w:sz w:val="32"/>
          <w:szCs w:val="32"/>
          <w:lang w:eastAsia="zh-CN"/>
        </w:rPr>
        <w:t>絮凝</w:t>
      </w:r>
      <w:r>
        <w:rPr>
          <w:rFonts w:hint="eastAsia" w:ascii="仿宋_GB2312" w:hAnsi="仿宋_GB2312" w:eastAsia="仿宋_GB2312" w:cs="仿宋_GB2312"/>
          <w:bCs/>
          <w:color w:val="auto"/>
          <w:sz w:val="32"/>
          <w:szCs w:val="32"/>
        </w:rPr>
        <w:t>沉淀池、初期雨水收集池、事故池、</w:t>
      </w:r>
      <w:r>
        <w:rPr>
          <w:rFonts w:hint="eastAsia" w:ascii="仿宋_GB2312" w:hAnsi="仿宋_GB2312" w:eastAsia="仿宋_GB2312" w:cs="仿宋_GB2312"/>
          <w:bCs/>
          <w:color w:val="auto"/>
          <w:sz w:val="32"/>
          <w:szCs w:val="32"/>
          <w:lang w:eastAsia="zh-CN"/>
        </w:rPr>
        <w:t>一般固废暂存间、</w:t>
      </w:r>
      <w:r>
        <w:rPr>
          <w:rFonts w:hint="eastAsia" w:ascii="仿宋_GB2312" w:hAnsi="仿宋_GB2312" w:eastAsia="仿宋_GB2312" w:cs="仿宋_GB2312"/>
          <w:bCs/>
          <w:color w:val="auto"/>
          <w:sz w:val="32"/>
          <w:szCs w:val="32"/>
        </w:rPr>
        <w:t>危废仓库等。</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产品方案：</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32000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rPr>
        <w:t>锂云母、</w:t>
      </w:r>
      <w:r>
        <w:rPr>
          <w:rFonts w:hint="eastAsia" w:ascii="仿宋_GB2312" w:hAnsi="仿宋_GB2312" w:eastAsia="仿宋_GB2312" w:cs="仿宋_GB2312"/>
          <w:bCs/>
          <w:color w:val="auto"/>
          <w:sz w:val="32"/>
          <w:szCs w:val="32"/>
          <w:lang w:val="en-US" w:eastAsia="zh-CN"/>
        </w:rPr>
        <w:t>147000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rPr>
        <w:t>长石粉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53074.04t/a压榨泥</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sz w:val="32"/>
          <w:szCs w:val="32"/>
        </w:rPr>
        <w:t>项目总投资</w:t>
      </w:r>
      <w:r>
        <w:rPr>
          <w:rFonts w:hint="eastAsia" w:ascii="仿宋_GB2312" w:hAnsi="仿宋_GB2312" w:eastAsia="仿宋_GB2312" w:cs="仿宋_GB2312"/>
          <w:bCs/>
          <w:snapToGrid w:val="0"/>
          <w:color w:val="auto"/>
          <w:sz w:val="32"/>
          <w:szCs w:val="32"/>
          <w:lang w:val="en-US" w:eastAsia="zh-CN"/>
        </w:rPr>
        <w:t>500</w:t>
      </w:r>
      <w:r>
        <w:rPr>
          <w:rFonts w:hint="eastAsia" w:ascii="仿宋_GB2312" w:hAnsi="仿宋_GB2312" w:eastAsia="仿宋_GB2312" w:cs="仿宋_GB2312"/>
          <w:bCs/>
          <w:snapToGrid w:val="0"/>
          <w:color w:val="auto"/>
          <w:sz w:val="32"/>
          <w:szCs w:val="32"/>
        </w:rPr>
        <w:t>万元，其中环保投资</w:t>
      </w:r>
      <w:r>
        <w:rPr>
          <w:rFonts w:hint="eastAsia" w:ascii="仿宋_GB2312" w:hAnsi="仿宋_GB2312" w:eastAsia="仿宋_GB2312" w:cs="仿宋_GB2312"/>
          <w:bCs/>
          <w:snapToGrid w:val="0"/>
          <w:color w:val="auto"/>
          <w:sz w:val="32"/>
          <w:szCs w:val="32"/>
          <w:lang w:val="en-US" w:eastAsia="zh-CN"/>
        </w:rPr>
        <w:t>25</w:t>
      </w:r>
      <w:r>
        <w:rPr>
          <w:rFonts w:hint="eastAsia" w:ascii="仿宋_GB2312" w:hAnsi="仿宋_GB2312" w:eastAsia="仿宋_GB2312" w:cs="仿宋_GB2312"/>
          <w:bCs/>
          <w:snapToGrid w:val="0"/>
          <w:color w:val="auto"/>
          <w:sz w:val="32"/>
          <w:szCs w:val="32"/>
        </w:rPr>
        <w:t>万元，占总投资</w:t>
      </w:r>
      <w:r>
        <w:rPr>
          <w:rFonts w:hint="eastAsia" w:ascii="仿宋_GB2312" w:hAnsi="仿宋_GB2312" w:eastAsia="仿宋_GB2312" w:cs="仿宋_GB2312"/>
          <w:bCs/>
          <w:snapToGrid w:val="0"/>
          <w:color w:val="auto"/>
          <w:sz w:val="32"/>
          <w:szCs w:val="32"/>
          <w:lang w:val="en-US" w:eastAsia="zh-CN"/>
        </w:rPr>
        <w:t>5</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color w:val="000000"/>
          <w:sz w:val="32"/>
          <w:szCs w:val="32"/>
        </w:rPr>
      </w:pPr>
      <w:r>
        <w:rPr>
          <w:rFonts w:hint="eastAsia" w:ascii="仿宋_GB2312" w:hAnsi="仿宋_GB2312" w:eastAsia="仿宋_GB2312" w:cs="仿宋_GB2312"/>
          <w:color w:val="000000"/>
          <w:sz w:val="32"/>
          <w:szCs w:val="32"/>
        </w:rPr>
        <w:t>你公司应全面落实《</w:t>
      </w:r>
      <w:r>
        <w:rPr>
          <w:rFonts w:hint="eastAsia" w:ascii="仿宋_GB2312" w:hAnsi="仿宋_GB2312" w:eastAsia="仿宋_GB2312" w:cs="仿宋_GB2312"/>
          <w:bCs/>
          <w:color w:val="auto"/>
          <w:kern w:val="0"/>
          <w:sz w:val="32"/>
          <w:szCs w:val="32"/>
        </w:rPr>
        <w:t>宜春市恒荣矿业有限公司年处理20万吨锂长石综合利用项目</w:t>
      </w:r>
      <w:r>
        <w:rPr>
          <w:rFonts w:hint="eastAsia" w:ascii="仿宋_GB2312" w:hAnsi="仿宋_GB2312" w:eastAsia="仿宋_GB2312" w:cs="仿宋_GB2312"/>
          <w:sz w:val="32"/>
          <w:szCs w:val="32"/>
        </w:rPr>
        <w:t>环境影响报告书</w:t>
      </w:r>
      <w:r>
        <w:rPr>
          <w:rFonts w:hint="eastAsia" w:ascii="仿宋_GB2312" w:hAnsi="仿宋_GB2312" w:eastAsia="仿宋_GB2312" w:cs="仿宋_GB2312"/>
          <w:color w:val="000000"/>
          <w:sz w:val="32"/>
          <w:szCs w:val="32"/>
        </w:rPr>
        <w:t>》（以下简称《报告书》）、《</w:t>
      </w:r>
      <w:r>
        <w:rPr>
          <w:rFonts w:hint="eastAsia" w:ascii="仿宋_GB2312" w:hAnsi="仿宋_GB2312" w:eastAsia="仿宋_GB2312" w:cs="仿宋_GB2312"/>
          <w:bCs/>
          <w:color w:val="auto"/>
          <w:kern w:val="0"/>
          <w:sz w:val="32"/>
          <w:szCs w:val="32"/>
        </w:rPr>
        <w:t>宜春市恒荣矿业有限公司年处理20万吨锂长石综合利用项目</w:t>
      </w:r>
      <w:r>
        <w:rPr>
          <w:rFonts w:hint="eastAsia" w:ascii="仿宋_GB2312" w:hAnsi="仿宋_GB2312" w:eastAsia="仿宋_GB2312" w:cs="仿宋_GB2312"/>
          <w:sz w:val="32"/>
          <w:szCs w:val="32"/>
        </w:rPr>
        <w:t>环境影响报告书</w:t>
      </w:r>
      <w:r>
        <w:rPr>
          <w:rFonts w:hint="eastAsia" w:ascii="仿宋_GB2312" w:hAnsi="仿宋_GB2312" w:eastAsia="仿宋_GB2312" w:cs="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w:t>
      </w:r>
      <w:r>
        <w:rPr>
          <w:rFonts w:hint="eastAsia" w:ascii="仿宋_GB2312" w:hAnsi="仿宋_GB2312" w:eastAsia="仿宋_GB2312" w:cs="仿宋_GB2312"/>
          <w:color w:val="000000"/>
          <w:sz w:val="32"/>
          <w:szCs w:val="32"/>
          <w:lang w:val="en-US" w:eastAsia="zh-CN"/>
        </w:rPr>
        <w:t>以及</w:t>
      </w:r>
      <w:r>
        <w:rPr>
          <w:rFonts w:hint="eastAsia" w:ascii="仿宋_GB2312" w:hAnsi="仿宋_GB2312" w:eastAsia="仿宋_GB2312" w:cs="仿宋_GB2312"/>
          <w:color w:val="000000"/>
          <w:sz w:val="32"/>
          <w:szCs w:val="32"/>
        </w:rPr>
        <w:t>环境风险防范措施</w:t>
      </w:r>
      <w:r>
        <w:rPr>
          <w:rFonts w:hint="eastAsia" w:ascii="仿宋_GB2312" w:hAnsi="仿宋_GB2312" w:eastAsia="仿宋_GB2312" w:cs="仿宋_GB2312"/>
          <w:color w:val="000000"/>
          <w:sz w:val="32"/>
          <w:szCs w:val="32"/>
          <w:lang w:val="en-US" w:eastAsia="zh-CN"/>
        </w:rPr>
        <w:t>和有关承诺要求</w:t>
      </w:r>
      <w:r>
        <w:rPr>
          <w:rFonts w:hint="eastAsia" w:ascii="仿宋_GB2312" w:hAnsi="仿宋_GB2312" w:eastAsia="仿宋_GB2312" w:cs="仿宋_GB2312"/>
          <w:color w:val="000000"/>
          <w:sz w:val="32"/>
          <w:szCs w:val="32"/>
        </w:rPr>
        <w:t>，缓解和控制不利环境影响。从环境保护角度我局原则同意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报告书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中所列工程性质、地点、规模、生产工艺和环境保护对策措施</w:t>
      </w:r>
      <w:r>
        <w:rPr>
          <w:rFonts w:hint="eastAsia" w:ascii="仿宋_GB2312" w:eastAsia="仿宋_GB2312"/>
          <w:color w:val="000000"/>
          <w:sz w:val="32"/>
          <w:szCs w:val="32"/>
        </w:rPr>
        <w:t>。</w:t>
      </w:r>
    </w:p>
    <w:p>
      <w:pPr>
        <w:keepNext w:val="0"/>
        <w:keepLines w:val="0"/>
        <w:pageBreakBefore w:val="0"/>
        <w:kinsoku/>
        <w:wordWrap/>
        <w:overflowPunct/>
        <w:topLinePunct w:val="0"/>
        <w:autoSpaceDN/>
        <w:bidi w:val="0"/>
        <w:spacing w:line="560" w:lineRule="exact"/>
        <w:ind w:firstLine="640" w:firstLineChars="200"/>
        <w:textAlignment w:val="auto"/>
        <w:rPr>
          <w:rFonts w:ascii="黑体" w:hAnsi="黑体" w:eastAsia="黑体" w:cs="仿宋_GB2312"/>
          <w:bCs/>
          <w:kern w:val="0"/>
          <w:sz w:val="32"/>
          <w:szCs w:val="32"/>
        </w:rPr>
      </w:pPr>
      <w:r>
        <w:rPr>
          <w:rFonts w:hint="eastAsia" w:ascii="黑体" w:hAnsi="黑体" w:eastAsia="黑体" w:cs="仿宋_GB2312"/>
          <w:bCs/>
          <w:kern w:val="0"/>
          <w:sz w:val="32"/>
          <w:szCs w:val="32"/>
        </w:rPr>
        <w:t>二、项目建设与运行管理中应重点做好以下工作</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报告书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提出的各项环保要求，严格执行宜春市生态环境保护工作领导小组办公室下发的《宜春市瓷土加工生产企业污染专项整治工作方案》要求进行建设，并重点做好以下几项工作：</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楷体" w:hAnsi="楷体" w:eastAsia="楷体" w:cs="楷体"/>
          <w:color w:val="auto"/>
          <w:sz w:val="32"/>
          <w:szCs w:val="32"/>
          <w:lang w:val="en-US" w:eastAsia="zh-CN"/>
        </w:rPr>
        <w:t>（一）严格落实水污染防治措施。</w:t>
      </w:r>
      <w:r>
        <w:rPr>
          <w:rFonts w:hint="eastAsia" w:ascii="仿宋_GB2312" w:hAnsi="仿宋" w:eastAsia="仿宋_GB2312" w:cs="仿宋"/>
          <w:color w:val="auto"/>
          <w:sz w:val="32"/>
          <w:szCs w:val="32"/>
        </w:rPr>
        <w:t>按“清污分流、雨污分流、分质处理、一水多用”原则，合理制定废水收集、处理方案。项目废水主要为选矿废水、初期雨水</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滤布冲洗废水、地面冲洗废水、车辆冲洗废水、生活污水</w:t>
      </w:r>
      <w:r>
        <w:rPr>
          <w:rFonts w:hint="eastAsia" w:ascii="仿宋_GB2312" w:hAnsi="仿宋" w:eastAsia="仿宋_GB2312" w:cs="仿宋"/>
          <w:color w:val="auto"/>
          <w:sz w:val="32"/>
          <w:szCs w:val="32"/>
        </w:rPr>
        <w:t>。其中</w:t>
      </w:r>
      <w:r>
        <w:rPr>
          <w:rFonts w:hint="eastAsia" w:ascii="仿宋_GB2312" w:hAnsi="仿宋" w:eastAsia="仿宋_GB2312" w:cs="仿宋"/>
          <w:color w:val="auto"/>
          <w:sz w:val="32"/>
          <w:szCs w:val="32"/>
          <w:lang w:val="en-US" w:eastAsia="zh-CN"/>
        </w:rPr>
        <w:t>选矿废水</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地面冲洗废水、滤布冲洗废水</w:t>
      </w:r>
      <w:r>
        <w:rPr>
          <w:rFonts w:hint="eastAsia" w:ascii="仿宋_GB2312" w:hAnsi="仿宋" w:eastAsia="仿宋_GB2312" w:cs="仿宋"/>
          <w:color w:val="auto"/>
          <w:sz w:val="32"/>
          <w:szCs w:val="32"/>
        </w:rPr>
        <w:t>通过三级沉淀处理后回用于选矿</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地面冲洗、滤布冲洗</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车辆冲洗废水经洗车平台沉淀池处理后回用于车辆冲洗；</w:t>
      </w:r>
      <w:r>
        <w:rPr>
          <w:rFonts w:hint="eastAsia" w:ascii="仿宋_GB2312" w:hAnsi="仿宋" w:eastAsia="仿宋_GB2312" w:cs="仿宋"/>
          <w:color w:val="auto"/>
          <w:sz w:val="32"/>
          <w:szCs w:val="32"/>
        </w:rPr>
        <w:t>初期雨水通过厂区周边雨水涵管进入雨水收集池，在雨水收集池内经过沉淀后回用于选矿工序。初期雨水收集后的其它雨水纳入雨水管网。</w:t>
      </w:r>
      <w:r>
        <w:rPr>
          <w:rFonts w:hint="eastAsia" w:ascii="仿宋_GB2312" w:hAnsi="仿宋" w:eastAsia="仿宋_GB2312" w:cs="仿宋"/>
          <w:color w:val="auto"/>
          <w:sz w:val="32"/>
          <w:szCs w:val="32"/>
          <w:lang w:val="en-US" w:eastAsia="zh-CN"/>
        </w:rPr>
        <w:t xml:space="preserve"> </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color w:val="auto"/>
          <w:sz w:val="32"/>
          <w:szCs w:val="32"/>
        </w:rPr>
      </w:pPr>
      <w:r>
        <w:rPr>
          <w:rFonts w:hint="default" w:ascii="仿宋_GB2312" w:hAnsi="仿宋" w:eastAsia="仿宋_GB2312" w:cs="仿宋"/>
          <w:color w:val="auto"/>
          <w:sz w:val="32"/>
          <w:szCs w:val="32"/>
        </w:rPr>
        <w:t>生活污水经“隔油池+化粪池”处理达《农田灌溉水质标准》（GB5084-2021）中的“旱地作物”标准后，定期清掏，用作周边农田灌溉。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楷体" w:hAnsi="楷体" w:eastAsia="楷体" w:cs="楷体"/>
          <w:color w:val="auto"/>
          <w:sz w:val="32"/>
          <w:szCs w:val="32"/>
          <w:lang w:val="en-US" w:eastAsia="zh-CN"/>
        </w:rPr>
        <w:t>（二）严格落实大气污染防治措施。</w:t>
      </w:r>
      <w:r>
        <w:rPr>
          <w:rFonts w:ascii="仿宋_GB2312" w:hAnsi="仿宋_GB2312" w:eastAsia="仿宋_GB2312" w:cs="仿宋_GB2312"/>
          <w:bCs/>
          <w:color w:val="auto"/>
          <w:sz w:val="32"/>
          <w:szCs w:val="32"/>
        </w:rPr>
        <w:t>项目运营期废气</w:t>
      </w:r>
      <w:r>
        <w:rPr>
          <w:rFonts w:hint="eastAsia" w:ascii="仿宋_GB2312" w:hAnsi="仿宋_GB2312" w:eastAsia="仿宋_GB2312" w:cs="仿宋_GB2312"/>
          <w:bCs/>
          <w:color w:val="auto"/>
          <w:sz w:val="32"/>
          <w:szCs w:val="32"/>
        </w:rPr>
        <w:t>主要为</w:t>
      </w:r>
      <w:r>
        <w:rPr>
          <w:rFonts w:hint="eastAsia" w:ascii="仿宋_GB2312" w:hAnsi="仿宋_GB2312" w:eastAsia="仿宋_GB2312" w:cs="仿宋_GB2312"/>
          <w:bCs/>
          <w:snapToGrid w:val="0"/>
          <w:color w:val="auto"/>
          <w:sz w:val="32"/>
          <w:szCs w:val="32"/>
        </w:rPr>
        <w:t>主要为粉尘，产尘点包括破碎筛分</w:t>
      </w:r>
      <w:r>
        <w:rPr>
          <w:rFonts w:hint="eastAsia" w:ascii="仿宋_GB2312" w:hAnsi="仿宋_GB2312" w:eastAsia="仿宋_GB2312" w:cs="仿宋_GB2312"/>
          <w:bCs/>
          <w:snapToGrid w:val="0"/>
          <w:color w:val="auto"/>
          <w:sz w:val="32"/>
          <w:szCs w:val="32"/>
          <w:lang w:val="en-US" w:eastAsia="zh-CN"/>
        </w:rPr>
        <w:t>粉尘</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val="en-US" w:eastAsia="zh-CN"/>
        </w:rPr>
        <w:t>输送带粉尘、</w:t>
      </w:r>
      <w:r>
        <w:rPr>
          <w:rFonts w:hint="eastAsia" w:ascii="仿宋_GB2312" w:hAnsi="仿宋_GB2312" w:eastAsia="仿宋_GB2312" w:cs="仿宋_GB2312"/>
          <w:bCs/>
          <w:snapToGrid w:val="0"/>
          <w:color w:val="auto"/>
          <w:sz w:val="32"/>
          <w:szCs w:val="32"/>
        </w:rPr>
        <w:t>堆场扬尘、装卸扬尘、</w:t>
      </w:r>
      <w:r>
        <w:rPr>
          <w:rFonts w:hint="eastAsia" w:ascii="仿宋_GB2312" w:hAnsi="仿宋_GB2312" w:eastAsia="仿宋_GB2312" w:cs="仿宋_GB2312"/>
          <w:bCs/>
          <w:snapToGrid w:val="0"/>
          <w:color w:val="auto"/>
          <w:sz w:val="32"/>
          <w:szCs w:val="32"/>
          <w:lang w:val="en-US" w:eastAsia="zh-CN"/>
        </w:rPr>
        <w:t>汽车</w:t>
      </w:r>
      <w:r>
        <w:rPr>
          <w:rFonts w:hint="eastAsia" w:ascii="仿宋_GB2312" w:hAnsi="仿宋_GB2312" w:eastAsia="仿宋_GB2312" w:cs="仿宋_GB2312"/>
          <w:bCs/>
          <w:snapToGrid w:val="0"/>
          <w:color w:val="auto"/>
          <w:sz w:val="32"/>
          <w:szCs w:val="32"/>
        </w:rPr>
        <w:t>运输扬尘</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破碎筛分粉尘</w:t>
      </w:r>
      <w:r>
        <w:rPr>
          <w:rFonts w:hint="eastAsia" w:ascii="仿宋_GB2312" w:hAnsi="仿宋_GB2312" w:eastAsia="仿宋_GB2312" w:cs="仿宋_GB2312"/>
          <w:bCs/>
          <w:snapToGrid w:val="0"/>
          <w:color w:val="auto"/>
          <w:sz w:val="32"/>
          <w:szCs w:val="32"/>
        </w:rPr>
        <w:t>采用集尘罩收集+袋式除尘器</w:t>
      </w:r>
      <w:r>
        <w:rPr>
          <w:rFonts w:hint="eastAsia" w:ascii="仿宋_GB2312" w:hAnsi="仿宋_GB2312" w:eastAsia="仿宋_GB2312" w:cs="仿宋_GB2312"/>
          <w:bCs/>
          <w:snapToGrid w:val="0"/>
          <w:color w:val="auto"/>
          <w:sz w:val="32"/>
          <w:szCs w:val="32"/>
          <w:lang w:val="zh-CN"/>
        </w:rPr>
        <w:t>处理</w:t>
      </w:r>
      <w:r>
        <w:rPr>
          <w:rFonts w:hint="eastAsia" w:ascii="仿宋_GB2312" w:hAnsi="仿宋_GB2312" w:eastAsia="仿宋_GB2312" w:cs="仿宋_GB2312"/>
          <w:bCs/>
          <w:snapToGrid w:val="0"/>
          <w:color w:val="auto"/>
          <w:sz w:val="32"/>
          <w:szCs w:val="32"/>
          <w:lang w:val="en-US" w:eastAsia="zh-CN"/>
        </w:rPr>
        <w:t>，颗粒物排放须执行</w:t>
      </w:r>
      <w:r>
        <w:rPr>
          <w:rFonts w:hint="eastAsia" w:ascii="仿宋_GB2312" w:hAnsi="仿宋_GB2312" w:eastAsia="仿宋_GB2312" w:cs="仿宋_GB2312"/>
          <w:bCs/>
          <w:color w:val="auto"/>
          <w:sz w:val="32"/>
          <w:szCs w:val="32"/>
        </w:rPr>
        <w:t>《大气污染物综合排放标准》（GB16297-1996）中新污染源二级标准</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snapToGrid w:val="0"/>
          <w:color w:val="auto"/>
          <w:sz w:val="32"/>
          <w:szCs w:val="32"/>
        </w:rPr>
        <w:t>项目无组织废气主要为堆场扬尘、装卸扬尘</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输送带粉尘</w:t>
      </w:r>
      <w:r>
        <w:rPr>
          <w:rFonts w:hint="eastAsia" w:ascii="仿宋_GB2312" w:hAnsi="仿宋_GB2312" w:eastAsia="仿宋_GB2312" w:cs="仿宋_GB2312"/>
          <w:bCs/>
          <w:snapToGrid w:val="0"/>
          <w:color w:val="auto"/>
          <w:sz w:val="32"/>
          <w:szCs w:val="32"/>
        </w:rPr>
        <w:t>及</w:t>
      </w:r>
      <w:r>
        <w:rPr>
          <w:rFonts w:hint="eastAsia" w:ascii="仿宋_GB2312" w:hAnsi="仿宋_GB2312" w:eastAsia="仿宋_GB2312" w:cs="仿宋_GB2312"/>
          <w:bCs/>
          <w:snapToGrid w:val="0"/>
          <w:color w:val="auto"/>
          <w:sz w:val="32"/>
          <w:szCs w:val="32"/>
          <w:lang w:val="en-US" w:eastAsia="zh-CN"/>
        </w:rPr>
        <w:t>汽车</w:t>
      </w:r>
      <w:r>
        <w:rPr>
          <w:rFonts w:hint="eastAsia" w:ascii="仿宋_GB2312" w:hAnsi="仿宋_GB2312" w:eastAsia="仿宋_GB2312" w:cs="仿宋_GB2312"/>
          <w:bCs/>
          <w:snapToGrid w:val="0"/>
          <w:color w:val="auto"/>
          <w:sz w:val="32"/>
          <w:szCs w:val="32"/>
        </w:rPr>
        <w:t>运输扬尘及破碎、筛分工序未收集到的粉尘</w:t>
      </w:r>
      <w:r>
        <w:rPr>
          <w:rFonts w:hint="eastAsia" w:ascii="仿宋_GB2312" w:hAnsi="仿宋_GB2312" w:eastAsia="仿宋_GB2312" w:cs="仿宋_GB2312"/>
          <w:bCs/>
          <w:snapToGrid w:val="0"/>
          <w:color w:val="auto"/>
          <w:sz w:val="32"/>
          <w:szCs w:val="32"/>
          <w:lang w:eastAsia="zh-CN"/>
        </w:rPr>
        <w:t>，</w:t>
      </w:r>
      <w:r>
        <w:rPr>
          <w:rFonts w:hint="eastAsia" w:ascii="仿宋_GB2312" w:hAnsi="宋体" w:eastAsia="仿宋_GB2312"/>
          <w:bCs/>
          <w:color w:val="auto"/>
          <w:sz w:val="32"/>
          <w:szCs w:val="32"/>
        </w:rPr>
        <w:t>项目在破碎机出料口、设置自动洒水喷头，保持矿料的湿度，并采用封闭式输送带运输物料，可有效减少粉尘的产生，</w:t>
      </w:r>
      <w:r>
        <w:rPr>
          <w:rFonts w:hint="eastAsia" w:ascii="仿宋_GB2312" w:hAnsi="宋体" w:eastAsia="仿宋_GB2312"/>
          <w:bCs/>
          <w:color w:val="auto"/>
          <w:sz w:val="32"/>
          <w:szCs w:val="32"/>
          <w:lang w:eastAsia="zh-CN"/>
        </w:rPr>
        <w:t>车间内采取定期洒水降尘的方式降低粉尘外排量</w:t>
      </w:r>
      <w:r>
        <w:rPr>
          <w:rFonts w:hint="eastAsia" w:ascii="仿宋_GB2312" w:hAnsi="宋体" w:eastAsia="仿宋_GB2312"/>
          <w:bCs/>
          <w:color w:val="auto"/>
          <w:sz w:val="32"/>
          <w:szCs w:val="32"/>
        </w:rPr>
        <w:t>。</w:t>
      </w:r>
      <w:r>
        <w:rPr>
          <w:rFonts w:ascii="仿宋_GB2312" w:hAnsi="宋体" w:eastAsia="仿宋_GB2312"/>
          <w:bCs/>
          <w:color w:val="auto"/>
          <w:sz w:val="32"/>
          <w:szCs w:val="32"/>
        </w:rPr>
        <w:t>采用密闭式仓储，并加强洒水降尘。</w:t>
      </w:r>
      <w:r>
        <w:rPr>
          <w:rFonts w:hint="eastAsia" w:ascii="仿宋_GB2312" w:hAnsi="宋体" w:eastAsia="仿宋_GB2312"/>
          <w:bCs/>
          <w:color w:val="auto"/>
          <w:sz w:val="32"/>
          <w:szCs w:val="32"/>
          <w:lang w:eastAsia="zh-CN"/>
        </w:rPr>
        <w:t>厂区</w:t>
      </w:r>
      <w:r>
        <w:rPr>
          <w:rFonts w:ascii="仿宋_GB2312" w:hAnsi="宋体" w:eastAsia="仿宋_GB2312"/>
          <w:bCs/>
          <w:color w:val="auto"/>
          <w:sz w:val="32"/>
          <w:szCs w:val="32"/>
        </w:rPr>
        <w:t>采取道路硬化、</w:t>
      </w:r>
      <w:r>
        <w:rPr>
          <w:rFonts w:hint="eastAsia" w:ascii="仿宋_GB2312" w:hAnsi="宋体" w:eastAsia="仿宋_GB2312"/>
          <w:bCs/>
          <w:color w:val="auto"/>
          <w:sz w:val="32"/>
          <w:szCs w:val="32"/>
          <w:lang w:eastAsia="zh-CN"/>
        </w:rPr>
        <w:t>车辆限速、</w:t>
      </w:r>
      <w:r>
        <w:rPr>
          <w:rFonts w:ascii="仿宋_GB2312" w:hAnsi="宋体" w:eastAsia="仿宋_GB2312"/>
          <w:bCs/>
          <w:color w:val="auto"/>
          <w:sz w:val="32"/>
          <w:szCs w:val="32"/>
        </w:rPr>
        <w:t>定时洒水增</w:t>
      </w:r>
      <w:r>
        <w:rPr>
          <w:rFonts w:ascii="仿宋_GB2312" w:hAnsi="宋体" w:eastAsia="仿宋_GB2312" w:cs="Times New Roman"/>
          <w:bCs/>
          <w:color w:val="auto"/>
          <w:sz w:val="32"/>
          <w:szCs w:val="32"/>
        </w:rPr>
        <w:t>湿、</w:t>
      </w:r>
      <w:r>
        <w:rPr>
          <w:rFonts w:hint="eastAsia" w:ascii="仿宋_GB2312" w:hAnsi="宋体" w:eastAsia="仿宋_GB2312" w:cs="Times New Roman"/>
          <w:bCs/>
          <w:color w:val="auto"/>
          <w:sz w:val="32"/>
          <w:szCs w:val="32"/>
        </w:rPr>
        <w:t>对出入厂区的车辆进行冲洗及保护路面整洁等措施</w:t>
      </w:r>
      <w:r>
        <w:rPr>
          <w:rFonts w:ascii="仿宋_GB2312" w:hAnsi="宋体" w:eastAsia="仿宋_GB2312" w:cs="Times New Roman"/>
          <w:bCs/>
          <w:color w:val="auto"/>
          <w:sz w:val="32"/>
          <w:szCs w:val="32"/>
        </w:rPr>
        <w:t>，可有效降低车</w:t>
      </w:r>
      <w:r>
        <w:rPr>
          <w:rFonts w:ascii="仿宋_GB2312" w:hAnsi="宋体" w:eastAsia="仿宋_GB2312"/>
          <w:bCs/>
          <w:color w:val="auto"/>
          <w:sz w:val="32"/>
          <w:szCs w:val="32"/>
        </w:rPr>
        <w:t>辆运输扬尘的产生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颗粒物的厂界浓度</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rPr>
        <w:t>《大气污染物综合排放标准》（GB16297-1996）表2中无组织排放限值要求。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（三）严格落实固体废物分类处置和综合利用措施。</w:t>
      </w:r>
      <w:r>
        <w:rPr>
          <w:rFonts w:hint="eastAsia" w:ascii="仿宋_GB2312" w:hAnsi="仿宋" w:eastAsia="仿宋_GB2312" w:cs="仿宋"/>
          <w:color w:val="auto"/>
          <w:sz w:val="32"/>
          <w:szCs w:val="32"/>
        </w:rPr>
        <w:t>应按“资源化、减量化、无害化”处置原则，认真落实固废分类收集、处置和综合利用措施。产生的一般工业固体废物应合法处置，生活垃圾收集后由当地环卫部门</w:t>
      </w:r>
      <w:r>
        <w:rPr>
          <w:rFonts w:hint="eastAsia" w:ascii="仿宋_GB2312" w:hAnsi="仿宋" w:eastAsia="仿宋_GB2312" w:cs="仿宋"/>
          <w:color w:val="auto"/>
          <w:sz w:val="32"/>
          <w:szCs w:val="32"/>
          <w:lang w:val="en-US" w:eastAsia="zh-CN"/>
        </w:rPr>
        <w:t>统一清运处置</w:t>
      </w:r>
      <w:r>
        <w:rPr>
          <w:rFonts w:hint="eastAsia" w:ascii="仿宋_GB2312" w:hAnsi="仿宋" w:eastAsia="仿宋_GB2312" w:cs="仿宋"/>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b w:val="0"/>
          <w:color w:val="auto"/>
          <w:kern w:val="2"/>
          <w:sz w:val="32"/>
          <w:szCs w:val="32"/>
          <w:lang w:val="en-US" w:eastAsia="zh-CN" w:bidi="ar-SA"/>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 w:eastAsia="仿宋_GB2312" w:cs="仿宋"/>
          <w:b w:val="0"/>
          <w:color w:val="auto"/>
          <w:kern w:val="2"/>
          <w:sz w:val="32"/>
          <w:szCs w:val="32"/>
          <w:lang w:val="en-US" w:eastAsia="zh-CN" w:bidi="ar-SA"/>
        </w:rPr>
      </w:pPr>
      <w:r>
        <w:rPr>
          <w:rFonts w:hint="eastAsia" w:ascii="楷体" w:hAnsi="楷体" w:eastAsia="楷体" w:cs="楷体"/>
          <w:color w:val="auto"/>
          <w:sz w:val="32"/>
          <w:szCs w:val="32"/>
          <w:lang w:val="en-US" w:eastAsia="zh-CN"/>
        </w:rPr>
        <w:t>（四）严格落实噪声污染防治措施。</w:t>
      </w:r>
      <w:r>
        <w:rPr>
          <w:rFonts w:hint="eastAsia" w:ascii="仿宋_GB2312" w:hAnsi="仿宋_GB2312" w:eastAsia="仿宋_GB2312" w:cs="仿宋_GB2312"/>
          <w:color w:val="auto"/>
          <w:sz w:val="32"/>
          <w:szCs w:val="32"/>
        </w:rPr>
        <w:t>应选用低噪声设备，采用减震、隔声、吸声、消声措施，同时加强设备的维护和管理，合理规划平面布置，加强厂区绿化，厂界噪声需满足《工业企业厂界环境噪声排放标准》（GB 12348-2008）中</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类标准要求。</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楷体" w:hAnsi="楷体" w:eastAsia="楷体" w:cs="楷体"/>
          <w:color w:val="auto"/>
          <w:sz w:val="32"/>
          <w:szCs w:val="32"/>
          <w:lang w:val="en-US" w:eastAsia="zh-CN"/>
        </w:rPr>
        <w:t>（五）严格落实土壤和地下水污染防治措施。</w:t>
      </w:r>
      <w:r>
        <w:rPr>
          <w:rFonts w:hint="eastAsia" w:ascii="仿宋_GB2312" w:hAnsi="仿宋_GB2312" w:eastAsia="仿宋_GB2312" w:cs="仿宋_GB2312"/>
          <w:color w:val="auto"/>
          <w:sz w:val="32"/>
          <w:szCs w:val="32"/>
        </w:rPr>
        <w:t>按“源头控制、分区防治、污染监控、应急响应”相结合的原则做好土壤和地下水污染防治工作，从污染物的产生、入渗、扩散、应急响应全阶段进行控制，严格做好分区防渗措施。按照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报告书</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和《评估意见》</w:t>
      </w:r>
      <w:r>
        <w:rPr>
          <w:rFonts w:hint="eastAsia" w:ascii="仿宋_GB2312" w:hAnsi="仿宋_GB2312" w:eastAsia="仿宋_GB2312" w:cs="仿宋_GB2312"/>
          <w:color w:val="auto"/>
          <w:sz w:val="32"/>
          <w:szCs w:val="32"/>
        </w:rPr>
        <w:t>中要求合理设置地下水及土壤监测布点，制定环境监测计划，加强厂区和周边区域地下水及土壤环境质量监控，一旦发现污染情况，必须立即采取措施，防止污染扩散。</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rFonts w:ascii="仿宋_GB2312" w:hAnsi="仿宋" w:eastAsia="仿宋_GB2312" w:cs="仿宋"/>
          <w:color w:val="auto"/>
          <w:sz w:val="32"/>
          <w:szCs w:val="32"/>
        </w:rPr>
      </w:pPr>
      <w:r>
        <w:rPr>
          <w:rFonts w:hint="eastAsia" w:ascii="楷体" w:hAnsi="楷体" w:eastAsia="楷体" w:cs="楷体"/>
          <w:color w:val="auto"/>
          <w:sz w:val="32"/>
          <w:szCs w:val="32"/>
          <w:lang w:val="en-US" w:eastAsia="zh-CN"/>
        </w:rPr>
        <w:t>（六）严格落实环境风险防范措施。</w:t>
      </w:r>
      <w:r>
        <w:rPr>
          <w:rFonts w:hint="eastAsia" w:ascii="仿宋_GB2312" w:hAnsi="仿宋_GB2312" w:eastAsia="仿宋_GB2312" w:cs="仿宋_GB2312"/>
          <w:color w:val="auto"/>
          <w:sz w:val="32"/>
          <w:szCs w:val="32"/>
          <w:lang w:eastAsia="zh-CN"/>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宋体" w:eastAsia="仿宋_GB2312" w:cs="宋体"/>
          <w:color w:val="auto"/>
          <w:kern w:val="0"/>
          <w:sz w:val="32"/>
          <w:szCs w:val="32"/>
          <w:lang w:val="en-US" w:eastAsia="zh-CN" w:bidi="ar-SA"/>
        </w:rPr>
      </w:pPr>
      <w:r>
        <w:rPr>
          <w:rFonts w:hint="eastAsia" w:ascii="楷体" w:hAnsi="楷体" w:eastAsia="楷体" w:cs="楷体"/>
          <w:color w:val="auto"/>
          <w:sz w:val="32"/>
          <w:szCs w:val="32"/>
          <w:lang w:val="en-US" w:eastAsia="zh-CN"/>
        </w:rPr>
        <w:t>（七）落实规范排污口要求。</w:t>
      </w:r>
      <w:r>
        <w:rPr>
          <w:rFonts w:hint="eastAsia" w:ascii="仿宋_GB2312" w:hAnsi="宋体" w:eastAsia="仿宋_GB2312" w:cs="宋体"/>
          <w:color w:val="auto"/>
          <w:kern w:val="0"/>
          <w:sz w:val="32"/>
          <w:szCs w:val="32"/>
          <w:lang w:val="en-US" w:eastAsia="zh-CN" w:bidi="ar-SA"/>
        </w:rPr>
        <w:t>按国家和省、市排污口规范化要求设置各类排污口和标识并建档。</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ascii="仿宋_GB2312" w:hAnsi="仿宋" w:eastAsia="仿宋_GB2312" w:cs="仿宋"/>
          <w:color w:val="auto"/>
          <w:sz w:val="32"/>
          <w:szCs w:val="32"/>
        </w:rPr>
      </w:pPr>
      <w:r>
        <w:rPr>
          <w:rFonts w:hint="eastAsia" w:ascii="楷体" w:hAnsi="楷体" w:eastAsia="楷体" w:cs="楷体"/>
          <w:color w:val="auto"/>
          <w:sz w:val="32"/>
          <w:szCs w:val="32"/>
          <w:lang w:val="en-US" w:eastAsia="zh-CN"/>
        </w:rPr>
        <w:t>（八）项目周围规划控制要求。</w:t>
      </w:r>
      <w:r>
        <w:rPr>
          <w:rFonts w:hint="eastAsia" w:ascii="仿宋_GB2312" w:hAnsi="宋体" w:eastAsia="仿宋_GB2312" w:cs="宋体"/>
          <w:color w:val="auto"/>
          <w:kern w:val="0"/>
          <w:sz w:val="32"/>
          <w:szCs w:val="32"/>
          <w:lang w:val="en-US" w:eastAsia="zh-CN" w:bidi="ar-SA"/>
        </w:rPr>
        <w:t>根据《报告书》和《评估意见》结论，</w:t>
      </w:r>
      <w:r>
        <w:rPr>
          <w:rFonts w:hint="eastAsia" w:ascii="仿宋_GB2312" w:hAnsi="仿宋_GB2312" w:eastAsia="仿宋_GB2312" w:cs="仿宋_GB2312"/>
          <w:bCs/>
          <w:color w:val="auto"/>
          <w:sz w:val="32"/>
          <w:szCs w:val="32"/>
        </w:rPr>
        <w:t>根据报告书测算结果，确定</w:t>
      </w:r>
      <w:r>
        <w:rPr>
          <w:rFonts w:ascii="仿宋_GB2312" w:hAnsi="仿宋_GB2312" w:eastAsia="仿宋_GB2312" w:cs="仿宋_GB2312"/>
          <w:bCs/>
          <w:color w:val="auto"/>
          <w:sz w:val="32"/>
          <w:szCs w:val="32"/>
        </w:rPr>
        <w:t>项目以</w:t>
      </w:r>
      <w:r>
        <w:rPr>
          <w:rFonts w:hint="eastAsia" w:ascii="仿宋_GB2312" w:hAnsi="仿宋_GB2312" w:eastAsia="仿宋_GB2312" w:cs="仿宋_GB2312"/>
          <w:color w:val="auto"/>
          <w:sz w:val="32"/>
          <w:szCs w:val="32"/>
          <w:lang w:val="en-US" w:eastAsia="zh-CN"/>
        </w:rPr>
        <w:t>1#原料仓库、2#原料仓库、锂云母仓库、长石粉仓库、压榨泥仓库、破碎车间、破碎料仓库、压榨车间、选矿仓库为边界</w:t>
      </w:r>
      <w:r>
        <w:rPr>
          <w:rFonts w:hint="eastAsia" w:ascii="仿宋_GB2312" w:hAnsi="仿宋_GB2312" w:eastAsia="仿宋_GB2312" w:cs="仿宋_GB2312"/>
          <w:bCs/>
          <w:color w:val="auto"/>
          <w:sz w:val="32"/>
          <w:szCs w:val="32"/>
        </w:rPr>
        <w:t>设置50m的卫生防护距离</w:t>
      </w:r>
      <w:r>
        <w:rPr>
          <w:rFonts w:hint="eastAsia" w:ascii="仿宋_GB2312" w:hAnsi="仿宋_GB2312" w:eastAsia="仿宋_GB2312" w:cs="仿宋_GB2312"/>
          <w:bCs/>
          <w:color w:val="auto"/>
          <w:sz w:val="32"/>
          <w:szCs w:val="32"/>
          <w:lang w:eastAsia="zh-CN"/>
        </w:rPr>
        <w:t>。</w:t>
      </w:r>
      <w:r>
        <w:rPr>
          <w:rFonts w:hint="eastAsia" w:ascii="仿宋_GB2312" w:hAnsi="仿宋" w:eastAsia="仿宋_GB2312" w:cs="仿宋"/>
          <w:color w:val="auto"/>
          <w:sz w:val="32"/>
          <w:szCs w:val="32"/>
        </w:rPr>
        <w:t>你公司应</w:t>
      </w:r>
      <w:r>
        <w:rPr>
          <w:rFonts w:hint="eastAsia" w:ascii="仿宋_GB2312" w:hAnsi="仿宋" w:eastAsia="仿宋_GB2312" w:cs="仿宋"/>
          <w:color w:val="auto"/>
          <w:sz w:val="32"/>
          <w:szCs w:val="32"/>
          <w:lang w:val="en-US" w:eastAsia="zh-CN"/>
        </w:rPr>
        <w:t>配合规划部门</w:t>
      </w:r>
      <w:r>
        <w:rPr>
          <w:rFonts w:hint="eastAsia" w:ascii="仿宋_GB2312" w:hAnsi="仿宋" w:eastAsia="仿宋_GB2312" w:cs="仿宋"/>
          <w:color w:val="auto"/>
          <w:sz w:val="32"/>
          <w:szCs w:val="32"/>
        </w:rPr>
        <w:t>，严格控制好本项目周边规划，项目卫生防护距离范围内不得新建居民住宅、学校及医院等环境敏感建筑。</w:t>
      </w:r>
    </w:p>
    <w:p>
      <w:pPr>
        <w:keepNext w:val="0"/>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 w:eastAsia="仿宋_GB2312" w:cs="仿宋"/>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九</w:t>
      </w:r>
      <w:r>
        <w:rPr>
          <w:rFonts w:hint="eastAsia" w:ascii="楷体" w:hAnsi="楷体" w:eastAsia="楷体" w:cs="楷体"/>
          <w:color w:val="auto"/>
          <w:sz w:val="32"/>
          <w:szCs w:val="32"/>
          <w:lang w:eastAsia="zh-CN"/>
        </w:rPr>
        <w:t>）信息公开要求。</w:t>
      </w:r>
      <w:r>
        <w:rPr>
          <w:rFonts w:hint="eastAsia" w:ascii="仿宋_GB2312" w:hAnsi="仿宋" w:eastAsia="仿宋_GB2312" w:cs="仿宋"/>
          <w:color w:val="auto"/>
          <w:sz w:val="32"/>
          <w:szCs w:val="32"/>
        </w:rPr>
        <w:t>你公司应依法实施信息公开，接收社会监督。项目应定期公示企业环境报告，公布污染物排放和环境管理情况。</w:t>
      </w:r>
    </w:p>
    <w:p>
      <w:pPr>
        <w:keepNext w:val="0"/>
        <w:keepLines w:val="0"/>
        <w:pageBreakBefore w:val="0"/>
        <w:kinsoku/>
        <w:wordWrap/>
        <w:overflowPunct/>
        <w:topLinePunct w:val="0"/>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kinsoku/>
        <w:wordWrap/>
        <w:overflowPunct/>
        <w:topLinePunct w:val="0"/>
        <w:autoSpaceDN/>
        <w:bidi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kinsoku/>
        <w:wordWrap/>
        <w:overflowPunct/>
        <w:topLinePunct w:val="0"/>
        <w:autoSpaceDN/>
        <w:bidi w:val="0"/>
        <w:spacing w:line="56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val="en-US" w:eastAsia="zh-CN"/>
        </w:rPr>
        <w:t>袁州</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val="en-US" w:eastAsia="zh-CN"/>
        </w:rPr>
        <w:t>袁州</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rPr>
        <w:t>项目产品长石粉应有明确可行的下游销售渠道。如暂时无法外售，应参照一般工业固体废物管理要求进行收集、贮存、处置，落实防雨、防渗、单独区域储存等措施，并建立专门台账，不得随意倾倒，污染环境。</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Style w:val="10"/>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80" w:firstLineChars="25"/>
        <w:textAlignment w:val="auto"/>
        <w:rPr>
          <w:rFonts w:hint="eastAsia"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2022年</w:t>
      </w:r>
      <w:r>
        <w:rPr>
          <w:rFonts w:hint="eastAsia" w:ascii="仿宋_GB2312" w:hAnsi="华文仿宋" w:eastAsia="仿宋_GB2312"/>
          <w:sz w:val="32"/>
          <w:szCs w:val="32"/>
          <w:lang w:val="en-US" w:eastAsia="zh-CN"/>
        </w:rPr>
        <w:t>11</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日</w:t>
      </w:r>
    </w:p>
    <w:p>
      <w:pPr>
        <w:pStyle w:val="12"/>
        <w:rPr>
          <w:rFonts w:hint="eastAsia"/>
        </w:rPr>
      </w:pPr>
    </w:p>
    <w:p>
      <w:pPr>
        <w:pStyle w:val="18"/>
        <w:widowControl/>
        <w:spacing w:line="560" w:lineRule="exact"/>
        <w:ind w:right="840" w:rightChars="400" w:firstLine="640" w:firstLineChars="200"/>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rPr>
          <w:rFonts w:hint="eastAsia" w:ascii="仿宋_GB2312" w:hAnsi="仿宋" w:eastAsia="仿宋_GB2312"/>
          <w:sz w:val="32"/>
        </w:rPr>
      </w:pPr>
      <w:r>
        <w:rPr>
          <w:rFonts w:hint="eastAsia" w:ascii="仿宋_GB2312" w:hAnsi="仿宋" w:eastAsia="仿宋_GB2312"/>
          <w:sz w:val="32"/>
        </w:rPr>
        <w:br w:type="page"/>
      </w: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10"/>
        <w:rPr>
          <w:rFonts w:hint="eastAsia" w:ascii="仿宋_GB2312" w:hAnsi="仿宋" w:eastAsia="仿宋_GB2312" w:cs="仿宋"/>
          <w:color w:val="000000"/>
          <w:sz w:val="30"/>
          <w:szCs w:val="30"/>
          <w:u w:val="singl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市自然资源局、袁州区人民政府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val="en-US" w:eastAsia="zh-CN"/>
        </w:rPr>
        <w:t>袁州</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eastAsia="仿宋_GB2312"/>
          <w:sz w:val="28"/>
          <w:szCs w:val="32"/>
          <w:lang w:val="en-US" w:eastAsia="zh-CN"/>
        </w:rPr>
        <w:t>江西兴晟生态环境有限公司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022年11月3日印发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8"/>
    <w:family w:val="modern"/>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仿宋">
    <w:altName w:val="微软雅黑"/>
    <w:panose1 w:val="02010609060101010101"/>
    <w:charset w:val="00"/>
    <w:family w:val="auto"/>
    <w:pitch w:val="default"/>
    <w:sig w:usb0="00000000" w:usb1="00000000"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7"/>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DQ3ZjU1ZDUxYjA3YmNjMjY4ZDVhOWQwODk2Yjc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EB547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AEE06"/>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D6D416"/>
    <w:rsid w:val="F5EF5BA1"/>
    <w:rsid w:val="F5FFA048"/>
    <w:rsid w:val="F66E6811"/>
    <w:rsid w:val="F6F676D6"/>
    <w:rsid w:val="F6F715DC"/>
    <w:rsid w:val="F6FC548F"/>
    <w:rsid w:val="F6FF0645"/>
    <w:rsid w:val="F6FFF807"/>
    <w:rsid w:val="F70F4387"/>
    <w:rsid w:val="F74CB9BB"/>
    <w:rsid w:val="F75DEE87"/>
    <w:rsid w:val="F76FC34E"/>
    <w:rsid w:val="F77EAFBC"/>
    <w:rsid w:val="F79BF327"/>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paragraph" w:styleId="7">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1"/>
    <w:basedOn w:val="3"/>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3">
    <w:name w:val="Normal_14_0"/>
    <w:qFormat/>
    <w:uiPriority w:val="0"/>
    <w:pPr>
      <w:spacing w:before="120" w:after="240"/>
      <w:jc w:val="both"/>
    </w:pPr>
    <w:rPr>
      <w:rFonts w:ascii="Calibri" w:hAnsi="Calibri" w:eastAsia="Calibri" w:cs="Times New Roman"/>
      <w:sz w:val="22"/>
      <w:szCs w:val="22"/>
      <w:lang w:val="ru-RU" w:eastAsia="en-US" w:bidi="ar-SA"/>
    </w:rPr>
  </w:style>
  <w:style w:type="paragraph" w:styleId="8">
    <w:name w:val="annotation text"/>
    <w:basedOn w:val="1"/>
    <w:link w:val="27"/>
    <w:qFormat/>
    <w:uiPriority w:val="0"/>
    <w:pPr>
      <w:jc w:val="left"/>
    </w:pPr>
  </w:style>
  <w:style w:type="paragraph" w:styleId="9">
    <w:name w:val="Body Text"/>
    <w:basedOn w:val="1"/>
    <w:next w:val="1"/>
    <w:qFormat/>
    <w:uiPriority w:val="0"/>
    <w:pPr>
      <w:spacing w:after="120"/>
    </w:pPr>
  </w:style>
  <w:style w:type="paragraph" w:styleId="10">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1">
    <w:name w:val="Plain Text"/>
    <w:basedOn w:val="1"/>
    <w:unhideWhenUsed/>
    <w:qFormat/>
    <w:uiPriority w:val="99"/>
    <w:rPr>
      <w:rFonts w:ascii="宋体" w:hAnsi="Courier New" w:cs="Courier New"/>
    </w:rPr>
  </w:style>
  <w:style w:type="paragraph" w:styleId="12">
    <w:name w:val="Body Text Indent 2"/>
    <w:basedOn w:val="1"/>
    <w:next w:val="13"/>
    <w:qFormat/>
    <w:uiPriority w:val="0"/>
    <w:pPr>
      <w:spacing w:line="460" w:lineRule="exact"/>
      <w:ind w:firstLine="600" w:firstLineChars="200"/>
    </w:pPr>
    <w:rPr>
      <w:rFonts w:ascii="仿宋_GB2312" w:hAnsi="宋体" w:eastAsia="仿宋_GB2312"/>
      <w:sz w:val="30"/>
      <w:szCs w:val="28"/>
    </w:rPr>
  </w:style>
  <w:style w:type="paragraph" w:styleId="13">
    <w:name w:val="Body Text First Indent 2"/>
    <w:basedOn w:val="1"/>
    <w:next w:val="1"/>
    <w:unhideWhenUsed/>
    <w:qFormat/>
    <w:uiPriority w:val="0"/>
    <w:pPr>
      <w:spacing w:after="120" w:line="240" w:lineRule="auto"/>
      <w:ind w:left="420" w:leftChars="200" w:firstLine="420"/>
    </w:pPr>
  </w:style>
  <w:style w:type="paragraph" w:styleId="14">
    <w:name w:val="Balloon Text"/>
    <w:basedOn w:val="1"/>
    <w:link w:val="2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jc w:val="left"/>
    </w:pPr>
    <w:rPr>
      <w:rFonts w:cs="Times New Roman"/>
      <w:kern w:val="0"/>
      <w:sz w:val="24"/>
    </w:rPr>
  </w:style>
  <w:style w:type="paragraph" w:styleId="19">
    <w:name w:val="annotation subject"/>
    <w:basedOn w:val="8"/>
    <w:next w:val="8"/>
    <w:link w:val="28"/>
    <w:qFormat/>
    <w:uiPriority w:val="0"/>
    <w:rPr>
      <w:b/>
      <w:bCs/>
    </w:rPr>
  </w:style>
  <w:style w:type="paragraph" w:styleId="20">
    <w:name w:val="Body Text First Indent"/>
    <w:basedOn w:val="9"/>
    <w:unhideWhenUsed/>
    <w:qFormat/>
    <w:uiPriority w:val="99"/>
    <w:pPr>
      <w:spacing w:after="120"/>
      <w:ind w:firstLine="420" w:firstLineChars="100"/>
    </w:pPr>
    <w:rPr>
      <w:rFonts w:ascii="Calibri" w:hAnsi="Calibri" w:eastAsia="宋体" w:cs="Times New Roman"/>
      <w:szCs w:val="22"/>
    </w:rPr>
  </w:style>
  <w:style w:type="character" w:styleId="23">
    <w:name w:val="annotation reference"/>
    <w:basedOn w:val="22"/>
    <w:qFormat/>
    <w:uiPriority w:val="0"/>
    <w:rPr>
      <w:sz w:val="21"/>
      <w:szCs w:val="21"/>
    </w:rPr>
  </w:style>
  <w:style w:type="paragraph" w:customStyle="1" w:styleId="24">
    <w:name w:val="Default"/>
    <w:basedOn w:val="25"/>
    <w:next w:val="13"/>
    <w:qFormat/>
    <w:uiPriority w:val="0"/>
    <w:pPr>
      <w:autoSpaceDE w:val="0"/>
      <w:autoSpaceDN w:val="0"/>
      <w:adjustRightInd w:val="0"/>
    </w:pPr>
    <w:rPr>
      <w:rFonts w:ascii="仿宋_GB2312" w:eastAsia="仿宋_GB2312" w:cs="仿宋_GB2312"/>
      <w:sz w:val="24"/>
    </w:rPr>
  </w:style>
  <w:style w:type="paragraph" w:customStyle="1" w:styleId="2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6">
    <w:name w:val="样式 标题 2"/>
    <w:basedOn w:val="5"/>
    <w:next w:val="2"/>
    <w:qFormat/>
    <w:uiPriority w:val="0"/>
    <w:pPr>
      <w:spacing w:before="50" w:after="50"/>
    </w:pPr>
    <w:rPr>
      <w:szCs w:val="28"/>
    </w:rPr>
  </w:style>
  <w:style w:type="character" w:customStyle="1" w:styleId="27">
    <w:name w:val="批注文字 Char"/>
    <w:basedOn w:val="22"/>
    <w:link w:val="8"/>
    <w:qFormat/>
    <w:uiPriority w:val="0"/>
    <w:rPr>
      <w:kern w:val="2"/>
      <w:sz w:val="21"/>
      <w:szCs w:val="24"/>
    </w:rPr>
  </w:style>
  <w:style w:type="character" w:customStyle="1" w:styleId="28">
    <w:name w:val="批注主题 Char"/>
    <w:basedOn w:val="27"/>
    <w:link w:val="19"/>
    <w:qFormat/>
    <w:uiPriority w:val="0"/>
    <w:rPr>
      <w:b/>
      <w:bCs/>
      <w:kern w:val="2"/>
      <w:sz w:val="21"/>
      <w:szCs w:val="24"/>
    </w:rPr>
  </w:style>
  <w:style w:type="character" w:customStyle="1" w:styleId="29">
    <w:name w:val="批注框文本 Char"/>
    <w:basedOn w:val="22"/>
    <w:link w:val="14"/>
    <w:qFormat/>
    <w:uiPriority w:val="0"/>
    <w:rPr>
      <w:kern w:val="2"/>
      <w:sz w:val="18"/>
      <w:szCs w:val="18"/>
    </w:rPr>
  </w:style>
  <w:style w:type="paragraph" w:customStyle="1" w:styleId="30">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1">
    <w:name w:val="List Paragraph"/>
    <w:basedOn w:val="1"/>
    <w:unhideWhenUsed/>
    <w:qFormat/>
    <w:uiPriority w:val="99"/>
    <w:pPr>
      <w:ind w:firstLine="420" w:firstLineChars="200"/>
    </w:pPr>
  </w:style>
  <w:style w:type="paragraph" w:customStyle="1" w:styleId="32">
    <w:name w:val="A0正文"/>
    <w:basedOn w:val="1"/>
    <w:qFormat/>
    <w:uiPriority w:val="0"/>
    <w:pPr>
      <w:spacing w:line="560" w:lineRule="exact"/>
      <w:ind w:firstLine="200" w:firstLineChars="200"/>
    </w:pPr>
    <w:rPr>
      <w:sz w:val="24"/>
      <w:szCs w:val="20"/>
      <w:lang w:val="zh-CN"/>
    </w:rPr>
  </w:style>
  <w:style w:type="paragraph" w:customStyle="1" w:styleId="33">
    <w:name w:val="小四+首行缩进"/>
    <w:basedOn w:val="1"/>
    <w:qFormat/>
    <w:uiPriority w:val="0"/>
    <w:pPr>
      <w:spacing w:line="360" w:lineRule="auto"/>
      <w:ind w:firstLine="482"/>
    </w:pPr>
    <w:rPr>
      <w:rFonts w:ascii="宋体" w:hAnsi="宋体"/>
      <w:kern w:val="0"/>
      <w:sz w:val="24"/>
    </w:rPr>
  </w:style>
  <w:style w:type="paragraph" w:customStyle="1" w:styleId="34">
    <w:name w:val="D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10</Pages>
  <Words>4695</Words>
  <Characters>5262</Characters>
  <Lines>26</Lines>
  <Paragraphs>7</Paragraphs>
  <TotalTime>0</TotalTime>
  <ScaleCrop>false</ScaleCrop>
  <LinksUpToDate>false</LinksUpToDate>
  <CharactersWithSpaces>5496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2022-03-13T17:25:00Z</dcterms:created>
  <dc:creator>Administrator</dc:creator>
  <cp:lastModifiedBy>admin123</cp:lastModifiedBy>
  <cp:lastPrinted>2022-11-02T16:18:00Z</cp:lastPrinted>
  <dcterms:modified xsi:type="dcterms:W3CDTF">2022-11-03T11:20:01Z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