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w:t>
      </w:r>
      <w:r>
        <w:rPr>
          <w:rFonts w:hint="eastAsia" w:ascii="仿宋_GB2312" w:eastAsia="仿宋_GB2312"/>
          <w:sz w:val="32"/>
          <w:lang w:eastAsia="zh-CN"/>
        </w:rPr>
        <w:t>环</w:t>
      </w:r>
      <w:r>
        <w:rPr>
          <w:rFonts w:hint="eastAsia" w:ascii="仿宋_GB2312" w:eastAsia="仿宋_GB2312"/>
          <w:sz w:val="32"/>
        </w:rPr>
        <w:t>评〔20</w:t>
      </w:r>
      <w:r>
        <w:rPr>
          <w:rFonts w:hint="eastAsia" w:ascii="仿宋_GB2312" w:eastAsia="仿宋_GB2312"/>
          <w:sz w:val="32"/>
          <w:lang w:val="en-US" w:eastAsia="zh-CN"/>
        </w:rPr>
        <w:t>22</w:t>
      </w:r>
      <w:r>
        <w:rPr>
          <w:rFonts w:hint="eastAsia" w:ascii="仿宋_GB2312" w:eastAsia="仿宋_GB2312"/>
          <w:sz w:val="32"/>
        </w:rPr>
        <w:t>〕</w:t>
      </w:r>
      <w:r>
        <w:rPr>
          <w:rFonts w:hint="eastAsia" w:ascii="仿宋_GB2312" w:eastAsia="仿宋_GB2312"/>
          <w:sz w:val="32"/>
          <w:lang w:val="en-US" w:eastAsia="zh-CN"/>
        </w:rPr>
        <w:t>97</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uw7UY1QAAAAYBAAAP&#10;AAAAAAAAAAEAIAAAADgAAABkcnMvZG93bnJldi54bWxQSwECFAAUAAAACACHTuJAParcagUCAAD7&#10;AwAADgAAAAAAAAABACAAAAA6AQAAZHJzL2Uyb0RvYy54bWxQSwUGAAAAAAYABgBZAQAAsQUAAAAA&#10;">
                <v:fill on="f" focussize="0,0"/>
                <v:stroke weight="3pt" color="#FF0000" joinstyle="round"/>
                <v:imagedata o:title=""/>
                <o:lock v:ext="edit" aspectratio="f"/>
              </v:shape>
            </w:pict>
          </mc:Fallback>
        </mc:AlternateContent>
      </w:r>
    </w:p>
    <w:p>
      <w:pPr>
        <w:spacing w:line="520" w:lineRule="exact"/>
        <w:jc w:val="center"/>
        <w:rPr>
          <w:rFonts w:ascii="方正小标宋简体" w:hAnsi="宋体" w:eastAsia="方正小标宋简体"/>
          <w:w w:val="95"/>
          <w:sz w:val="44"/>
          <w:szCs w:val="44"/>
        </w:rPr>
      </w:pPr>
      <w:r>
        <w:rPr>
          <w:rFonts w:hint="eastAsia" w:ascii="方正小标宋简体" w:hAnsi="方正小标宋简体" w:eastAsia="方正小标宋简体" w:cs="方正小标宋简体"/>
          <w:bCs/>
          <w:color w:val="000000"/>
          <w:sz w:val="44"/>
          <w:szCs w:val="44"/>
          <w:lang w:val="en-US" w:eastAsia="zh-CN"/>
        </w:rPr>
        <w:t>关于</w:t>
      </w:r>
      <w:r>
        <w:rPr>
          <w:rFonts w:hint="default" w:ascii="方正小标宋简体" w:hAnsi="方正小标宋简体" w:eastAsia="方正小标宋简体" w:cs="方正小标宋简体"/>
          <w:bCs/>
          <w:color w:val="000000"/>
          <w:sz w:val="44"/>
          <w:szCs w:val="44"/>
          <w:lang w:val="en-US" w:eastAsia="zh-CN"/>
        </w:rPr>
        <w:t>江西赛创新材料有限公司年处理锂长石60万吨建设</w:t>
      </w:r>
      <w:r>
        <w:rPr>
          <w:rFonts w:hint="eastAsia" w:ascii="方正小标宋简体" w:hAnsi="方正小标宋简体" w:eastAsia="方正小标宋简体" w:cs="方正小标宋简体"/>
          <w:bCs/>
          <w:color w:val="000000"/>
          <w:sz w:val="44"/>
          <w:szCs w:val="44"/>
          <w:lang w:eastAsia="zh-CN"/>
        </w:rPr>
        <w:t>项目</w:t>
      </w:r>
      <w:r>
        <w:rPr>
          <w:rFonts w:hint="eastAsia" w:ascii="方正小标宋简体" w:hAnsi="宋体" w:eastAsia="方正小标宋简体"/>
          <w:w w:val="95"/>
          <w:sz w:val="44"/>
          <w:szCs w:val="44"/>
        </w:rPr>
        <w:t>环境影响报告书的批复</w:t>
      </w:r>
    </w:p>
    <w:p>
      <w:pPr>
        <w:keepNext w:val="0"/>
        <w:keepLines w:val="0"/>
        <w:pageBreakBefore w:val="0"/>
        <w:widowControl w:val="0"/>
        <w:kinsoku/>
        <w:wordWrap/>
        <w:overflowPunct/>
        <w:topLinePunct w:val="0"/>
        <w:autoSpaceDE w:val="0"/>
        <w:autoSpaceDN/>
        <w:bidi w:val="0"/>
        <w:spacing w:line="600" w:lineRule="exact"/>
        <w:jc w:val="lef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spacing w:line="520" w:lineRule="exact"/>
        <w:textAlignment w:val="auto"/>
        <w:rPr>
          <w:rFonts w:hint="eastAsia" w:ascii="仿宋_GB2312" w:hAnsi="仿宋" w:eastAsia="仿宋_GB2312" w:cs="仿宋"/>
          <w:sz w:val="32"/>
          <w:szCs w:val="32"/>
        </w:rPr>
      </w:pPr>
      <w:r>
        <w:rPr>
          <w:rFonts w:hint="default" w:ascii="仿宋_GB2312" w:hAnsi="仿宋" w:eastAsia="仿宋_GB2312" w:cs="仿宋"/>
          <w:sz w:val="32"/>
          <w:szCs w:val="32"/>
          <w:lang w:val="en-US" w:eastAsia="zh-CN"/>
        </w:rPr>
        <w:t>江西赛创新材料</w:t>
      </w:r>
      <w:r>
        <w:rPr>
          <w:rFonts w:hint="eastAsia" w:ascii="仿宋_GB2312" w:hAnsi="仿宋" w:eastAsia="仿宋_GB2312" w:cs="仿宋"/>
          <w:sz w:val="32"/>
          <w:szCs w:val="32"/>
          <w:lang w:eastAsia="zh-CN"/>
        </w:rPr>
        <w:t>有限公司</w:t>
      </w:r>
      <w:r>
        <w:rPr>
          <w:rFonts w:hint="eastAsia" w:ascii="仿宋_GB2312" w:hAnsi="仿宋" w:eastAsia="仿宋_GB2312" w:cs="仿宋"/>
          <w:sz w:val="32"/>
          <w:szCs w:val="32"/>
        </w:rPr>
        <w:t>：</w:t>
      </w:r>
    </w:p>
    <w:p>
      <w:pPr>
        <w:keepNext w:val="0"/>
        <w:keepLines w:val="0"/>
        <w:pageBreakBefore w:val="0"/>
        <w:widowControl w:val="0"/>
        <w:kinsoku/>
        <w:wordWrap/>
        <w:overflowPunct/>
        <w:topLinePunct w:val="0"/>
        <w:autoSpaceDE w:val="0"/>
        <w:autoSpaceDN/>
        <w:bidi w:val="0"/>
        <w:spacing w:line="52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你公司</w:t>
      </w:r>
      <w:r>
        <w:rPr>
          <w:rFonts w:hint="eastAsia" w:ascii="仿宋_GB2312" w:hAnsi="仿宋" w:eastAsia="仿宋_GB2312" w:cs="仿宋"/>
          <w:sz w:val="32"/>
          <w:szCs w:val="32"/>
          <w:lang w:eastAsia="zh-CN"/>
        </w:rPr>
        <w:t>《关于请求审批〈</w:t>
      </w:r>
      <w:r>
        <w:rPr>
          <w:rFonts w:hint="default" w:ascii="仿宋_GB2312" w:hAnsi="仿宋" w:eastAsia="仿宋_GB2312" w:cs="仿宋"/>
          <w:sz w:val="32"/>
          <w:szCs w:val="32"/>
          <w:lang w:val="en-US" w:eastAsia="zh-CN"/>
        </w:rPr>
        <w:t>江西赛创新材料有限公司年处理锂长石60万吨建设</w:t>
      </w:r>
      <w:r>
        <w:rPr>
          <w:rFonts w:hint="eastAsia" w:ascii="仿宋_GB2312" w:hAnsi="仿宋" w:eastAsia="仿宋_GB2312" w:cs="仿宋"/>
          <w:sz w:val="32"/>
          <w:szCs w:val="32"/>
          <w:lang w:eastAsia="zh-CN"/>
        </w:rPr>
        <w:t>项目环境影响报告书〉的</w:t>
      </w:r>
      <w:r>
        <w:rPr>
          <w:rFonts w:hint="eastAsia" w:ascii="仿宋_GB2312" w:hAnsi="仿宋" w:eastAsia="仿宋_GB2312" w:cs="仿宋"/>
          <w:sz w:val="32"/>
          <w:szCs w:val="32"/>
        </w:rPr>
        <w:t>请示》以及相关资料收悉，经研究，批复如下：</w:t>
      </w:r>
    </w:p>
    <w:p>
      <w:pPr>
        <w:keepNext w:val="0"/>
        <w:keepLines w:val="0"/>
        <w:pageBreakBefore w:val="0"/>
        <w:widowControl w:val="0"/>
        <w:kinsoku/>
        <w:wordWrap/>
        <w:overflowPunct/>
        <w:topLinePunct w:val="0"/>
        <w:autoSpaceDN/>
        <w:bidi w:val="0"/>
        <w:spacing w:line="520" w:lineRule="exact"/>
        <w:ind w:firstLine="640" w:firstLineChars="200"/>
        <w:jc w:val="left"/>
        <w:textAlignment w:val="auto"/>
        <w:rPr>
          <w:rFonts w:ascii="黑体" w:hAnsi="黑体" w:eastAsia="黑体"/>
          <w:kern w:val="0"/>
          <w:sz w:val="32"/>
          <w:szCs w:val="32"/>
        </w:rPr>
      </w:pPr>
      <w:r>
        <w:rPr>
          <w:rFonts w:hint="eastAsia" w:ascii="黑体" w:hAnsi="黑体" w:eastAsia="黑体"/>
          <w:kern w:val="0"/>
          <w:sz w:val="32"/>
          <w:szCs w:val="32"/>
        </w:rPr>
        <w:t>一、项目建设内容及批复意见</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江西赛创新材料有限公司年处理锂长石60万吨建设项目拟建</w:t>
      </w:r>
      <w:r>
        <w:rPr>
          <w:rFonts w:hint="eastAsia" w:ascii="仿宋_GB2312" w:hAnsi="仿宋_GB2312" w:eastAsia="仿宋_GB2312" w:cs="仿宋_GB2312"/>
          <w:bCs/>
          <w:color w:val="auto"/>
          <w:sz w:val="32"/>
          <w:szCs w:val="32"/>
        </w:rPr>
        <w:t>于江西省宜春市高安市独城镇独陶路</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江西格来利泵业有限公司厂</w:t>
      </w:r>
      <w:r>
        <w:rPr>
          <w:rFonts w:hint="eastAsia" w:ascii="仿宋_GB2312" w:hAnsi="仿宋_GB2312" w:eastAsia="仿宋_GB2312" w:cs="仿宋_GB2312"/>
          <w:bCs/>
          <w:color w:val="auto"/>
          <w:sz w:val="32"/>
          <w:szCs w:val="32"/>
          <w:lang w:eastAsia="zh-CN"/>
        </w:rPr>
        <w:t>区预留空地内</w:t>
      </w:r>
      <w:r>
        <w:rPr>
          <w:rFonts w:hint="eastAsia" w:ascii="仿宋_GB2312" w:hAnsi="仿宋_GB2312" w:eastAsia="仿宋_GB2312" w:cs="仿宋_GB2312"/>
          <w:bCs/>
          <w:color w:val="auto"/>
          <w:sz w:val="32"/>
          <w:szCs w:val="32"/>
        </w:rPr>
        <w:t>，厂址中心</w:t>
      </w:r>
      <w:r>
        <w:rPr>
          <w:rFonts w:hint="eastAsia" w:ascii="仿宋_GB2312" w:hAnsi="仿宋_GB2312" w:eastAsia="仿宋_GB2312" w:cs="仿宋_GB2312"/>
          <w:bCs/>
          <w:color w:val="auto"/>
          <w:sz w:val="32"/>
          <w:szCs w:val="32"/>
          <w:lang w:eastAsia="zh-CN"/>
        </w:rPr>
        <w:t>地理位置</w:t>
      </w:r>
      <w:r>
        <w:rPr>
          <w:rFonts w:hint="eastAsia" w:ascii="仿宋_GB2312" w:hAnsi="仿宋_GB2312" w:eastAsia="仿宋_GB2312" w:cs="仿宋_GB2312"/>
          <w:bCs/>
          <w:color w:val="auto"/>
          <w:sz w:val="32"/>
          <w:szCs w:val="32"/>
        </w:rPr>
        <w:t>坐标为东经115°28′43.301″</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北纬28°13′42.961″</w:t>
      </w:r>
      <w:r>
        <w:rPr>
          <w:rFonts w:hint="eastAsia" w:ascii="仿宋_GB2312" w:hAnsi="仿宋_GB2312" w:eastAsia="仿宋_GB2312" w:cs="仿宋_GB2312"/>
          <w:bCs/>
          <w:color w:val="auto"/>
          <w:sz w:val="32"/>
          <w:szCs w:val="32"/>
          <w:lang w:eastAsia="zh-CN"/>
        </w:rPr>
        <w:t>，总占地面积</w:t>
      </w:r>
      <w:r>
        <w:rPr>
          <w:rFonts w:hint="eastAsia" w:ascii="仿宋_GB2312" w:eastAsia="仿宋_GB2312"/>
          <w:color w:val="auto"/>
          <w:sz w:val="32"/>
          <w:szCs w:val="32"/>
          <w:lang w:val="en-US" w:eastAsia="zh-CN"/>
        </w:rPr>
        <w:t>19980m</w:t>
      </w:r>
      <w:r>
        <w:rPr>
          <w:rFonts w:hint="eastAsia" w:ascii="仿宋_GB2312" w:eastAsia="仿宋_GB2312"/>
          <w:color w:val="auto"/>
          <w:sz w:val="32"/>
          <w:szCs w:val="32"/>
          <w:vertAlign w:val="superscript"/>
          <w:lang w:val="en-US" w:eastAsia="zh-CN"/>
        </w:rPr>
        <w:t>2</w:t>
      </w:r>
      <w:r>
        <w:rPr>
          <w:rFonts w:hint="eastAsia" w:ascii="仿宋_GB2312" w:hAnsi="仿宋_GB2312" w:eastAsia="仿宋_GB2312" w:cs="仿宋_GB2312"/>
          <w:bCs/>
          <w:color w:val="auto"/>
          <w:sz w:val="32"/>
          <w:szCs w:val="32"/>
        </w:rPr>
        <w:t>。项目南、西面为山东水库</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东面为江西格来利泵业有限公司厂房</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北面为空地。</w:t>
      </w:r>
    </w:p>
    <w:p>
      <w:pPr>
        <w:keepNext w:val="0"/>
        <w:keepLines w:val="0"/>
        <w:pageBreakBefore w:val="0"/>
        <w:widowControl w:val="0"/>
        <w:kinsoku/>
        <w:wordWrap/>
        <w:overflowPunct/>
        <w:topLinePunct w:val="0"/>
        <w:autoSpaceDN/>
        <w:bidi w:val="0"/>
        <w:spacing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本</w:t>
      </w:r>
      <w:r>
        <w:rPr>
          <w:rFonts w:hint="eastAsia" w:ascii="仿宋_GB2312" w:hAnsi="仿宋_GB2312" w:eastAsia="仿宋_GB2312" w:cs="仿宋_GB2312"/>
          <w:bCs/>
          <w:color w:val="auto"/>
          <w:sz w:val="32"/>
          <w:szCs w:val="32"/>
        </w:rPr>
        <w:t>项目为</w:t>
      </w:r>
      <w:r>
        <w:rPr>
          <w:rFonts w:hint="eastAsia" w:ascii="仿宋_GB2312" w:hAnsi="仿宋_GB2312" w:eastAsia="仿宋_GB2312" w:cs="仿宋_GB2312"/>
          <w:bCs/>
          <w:color w:val="auto"/>
          <w:sz w:val="32"/>
          <w:szCs w:val="32"/>
          <w:lang w:eastAsia="zh-CN"/>
        </w:rPr>
        <w:t>新建项目</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主要</w:t>
      </w:r>
      <w:r>
        <w:rPr>
          <w:rFonts w:hint="eastAsia" w:ascii="仿宋_GB2312" w:hAnsi="仿宋_GB2312" w:eastAsia="仿宋_GB2312" w:cs="仿宋_GB2312"/>
          <w:bCs/>
          <w:color w:val="auto"/>
          <w:sz w:val="32"/>
          <w:szCs w:val="32"/>
        </w:rPr>
        <w:t>以锂长石、浮选剂、水</w:t>
      </w:r>
      <w:r>
        <w:rPr>
          <w:rFonts w:hint="eastAsia" w:ascii="仿宋_GB2312" w:hAnsi="仿宋_GB2312" w:eastAsia="仿宋_GB2312" w:cs="仿宋_GB2312"/>
          <w:bCs/>
          <w:color w:val="auto"/>
          <w:sz w:val="32"/>
          <w:szCs w:val="32"/>
          <w:lang w:eastAsia="zh-CN"/>
        </w:rPr>
        <w:t>、钢球等</w:t>
      </w:r>
      <w:r>
        <w:rPr>
          <w:rFonts w:hint="eastAsia" w:ascii="仿宋_GB2312" w:hAnsi="仿宋_GB2312" w:eastAsia="仿宋_GB2312" w:cs="仿宋_GB2312"/>
          <w:bCs/>
          <w:color w:val="auto"/>
          <w:sz w:val="32"/>
          <w:szCs w:val="32"/>
        </w:rPr>
        <w:t>为原</w:t>
      </w:r>
      <w:r>
        <w:rPr>
          <w:rFonts w:hint="eastAsia" w:ascii="仿宋_GB2312" w:hAnsi="仿宋_GB2312" w:eastAsia="仿宋_GB2312" w:cs="仿宋_GB2312"/>
          <w:bCs/>
          <w:color w:val="auto"/>
          <w:sz w:val="32"/>
          <w:szCs w:val="32"/>
          <w:lang w:eastAsia="zh-CN"/>
        </w:rPr>
        <w:t>辅</w:t>
      </w:r>
      <w:r>
        <w:rPr>
          <w:rFonts w:hint="eastAsia" w:ascii="仿宋_GB2312" w:hAnsi="仿宋_GB2312" w:eastAsia="仿宋_GB2312" w:cs="仿宋_GB2312"/>
          <w:bCs/>
          <w:color w:val="auto"/>
          <w:sz w:val="32"/>
          <w:szCs w:val="32"/>
        </w:rPr>
        <w:t>料，经破碎</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筛分、球磨、</w:t>
      </w:r>
      <w:r>
        <w:rPr>
          <w:rFonts w:hint="eastAsia" w:ascii="仿宋_GB2312" w:hAnsi="仿宋_GB2312" w:eastAsia="仿宋_GB2312" w:cs="仿宋_GB2312"/>
          <w:bCs/>
          <w:color w:val="auto"/>
          <w:sz w:val="32"/>
          <w:szCs w:val="32"/>
          <w:lang w:eastAsia="zh-CN"/>
        </w:rPr>
        <w:t>磁选、</w:t>
      </w:r>
      <w:r>
        <w:rPr>
          <w:rFonts w:hint="eastAsia" w:ascii="仿宋_GB2312" w:hAnsi="仿宋_GB2312" w:eastAsia="仿宋_GB2312" w:cs="仿宋_GB2312"/>
          <w:bCs/>
          <w:color w:val="auto"/>
          <w:sz w:val="32"/>
          <w:szCs w:val="32"/>
        </w:rPr>
        <w:t>分级</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浮选、脱水</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磁选、分级等工序生产各产品。</w:t>
      </w:r>
      <w:r>
        <w:rPr>
          <w:rFonts w:hint="eastAsia" w:ascii="仿宋_GB2312" w:hAnsi="仿宋_GB2312" w:eastAsia="仿宋_GB2312" w:cs="仿宋_GB2312"/>
          <w:bCs/>
          <w:color w:val="auto"/>
          <w:sz w:val="32"/>
          <w:szCs w:val="32"/>
          <w:lang w:val="en-US" w:eastAsia="zh-CN"/>
        </w:rPr>
        <w:t>本</w:t>
      </w:r>
      <w:r>
        <w:rPr>
          <w:rFonts w:hint="eastAsia" w:ascii="仿宋_GB2312" w:hAnsi="仿宋_GB2312" w:eastAsia="仿宋_GB2312" w:cs="仿宋_GB2312"/>
          <w:bCs/>
          <w:color w:val="auto"/>
          <w:sz w:val="32"/>
          <w:szCs w:val="32"/>
        </w:rPr>
        <w:t>项目产品方案</w:t>
      </w:r>
      <w:r>
        <w:rPr>
          <w:rFonts w:hint="eastAsia" w:ascii="仿宋_GB2312" w:hAnsi="仿宋_GB2312" w:eastAsia="仿宋_GB2312" w:cs="仿宋_GB2312"/>
          <w:bCs/>
          <w:color w:val="auto"/>
          <w:sz w:val="32"/>
          <w:szCs w:val="32"/>
          <w:lang w:eastAsia="zh-CN"/>
        </w:rPr>
        <w:t>为</w:t>
      </w:r>
      <w:r>
        <w:rPr>
          <w:rFonts w:hint="eastAsia" w:ascii="仿宋_GB2312" w:hAnsi="仿宋_GB2312" w:eastAsia="仿宋_GB2312" w:cs="仿宋_GB2312"/>
          <w:bCs/>
          <w:color w:val="auto"/>
          <w:sz w:val="32"/>
          <w:szCs w:val="32"/>
          <w:lang w:val="en-US" w:eastAsia="zh-CN"/>
        </w:rPr>
        <w:t>78000</w:t>
      </w:r>
      <w:r>
        <w:rPr>
          <w:rFonts w:ascii="仿宋_GB2312" w:hAnsi="仿宋_GB2312" w:eastAsia="仿宋_GB2312" w:cs="仿宋_GB2312"/>
          <w:bCs/>
          <w:color w:val="auto"/>
          <w:sz w:val="32"/>
          <w:szCs w:val="32"/>
        </w:rPr>
        <w:t>t/a</w:t>
      </w:r>
      <w:r>
        <w:rPr>
          <w:rFonts w:hint="eastAsia" w:ascii="仿宋_GB2312" w:hAnsi="仿宋_GB2312" w:eastAsia="仿宋_GB2312" w:cs="仿宋_GB2312"/>
          <w:bCs/>
          <w:color w:val="auto"/>
          <w:sz w:val="32"/>
          <w:szCs w:val="32"/>
        </w:rPr>
        <w:t>锂云母</w:t>
      </w:r>
      <w:r>
        <w:rPr>
          <w:rFonts w:hint="eastAsia" w:ascii="仿宋_GB2312" w:hAnsi="仿宋_GB2312" w:eastAsia="仿宋_GB2312" w:cs="仿宋_GB2312"/>
          <w:bCs/>
          <w:color w:val="auto"/>
          <w:sz w:val="32"/>
          <w:szCs w:val="32"/>
          <w:lang w:eastAsia="zh-CN"/>
        </w:rPr>
        <w:t>精矿</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500000</w:t>
      </w:r>
      <w:r>
        <w:rPr>
          <w:rFonts w:ascii="仿宋_GB2312" w:hAnsi="仿宋_GB2312" w:eastAsia="仿宋_GB2312" w:cs="仿宋_GB2312"/>
          <w:bCs/>
          <w:color w:val="auto"/>
          <w:sz w:val="32"/>
          <w:szCs w:val="32"/>
        </w:rPr>
        <w:t>t/a</w:t>
      </w:r>
      <w:r>
        <w:rPr>
          <w:rFonts w:hint="eastAsia" w:ascii="仿宋_GB2312" w:hAnsi="仿宋_GB2312" w:eastAsia="仿宋_GB2312" w:cs="仿宋_GB2312"/>
          <w:bCs/>
          <w:color w:val="auto"/>
          <w:sz w:val="32"/>
          <w:szCs w:val="32"/>
        </w:rPr>
        <w:t>长石粉。</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left"/>
        <w:textAlignment w:val="auto"/>
        <w:rPr>
          <w:color w:val="000000"/>
        </w:rPr>
      </w:pPr>
      <w:r>
        <w:rPr>
          <w:rFonts w:hint="eastAsia" w:ascii="仿宋_GB2312" w:hAnsi="仿宋_GB2312" w:eastAsia="仿宋_GB2312" w:cs="仿宋_GB2312"/>
          <w:color w:val="000000"/>
          <w:sz w:val="32"/>
          <w:szCs w:val="32"/>
        </w:rPr>
        <w:t>你公司应全面落实《</w:t>
      </w:r>
      <w:r>
        <w:rPr>
          <w:rFonts w:hint="default" w:ascii="仿宋_GB2312" w:hAnsi="仿宋" w:eastAsia="仿宋_GB2312" w:cs="仿宋"/>
          <w:sz w:val="32"/>
          <w:szCs w:val="32"/>
          <w:lang w:val="en-US" w:eastAsia="zh-CN"/>
        </w:rPr>
        <w:t>江西赛创新材料有限公司年处理锂长石60万吨建设</w:t>
      </w:r>
      <w:r>
        <w:rPr>
          <w:rFonts w:hint="eastAsia" w:ascii="仿宋_GB2312" w:hAnsi="仿宋" w:eastAsia="仿宋_GB2312" w:cs="仿宋"/>
          <w:sz w:val="32"/>
          <w:szCs w:val="32"/>
          <w:lang w:eastAsia="zh-CN"/>
        </w:rPr>
        <w:t>项目环境影响报告书</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以下简称《报告书》）、《</w:t>
      </w:r>
      <w:r>
        <w:rPr>
          <w:rFonts w:hint="default" w:ascii="仿宋_GB2312" w:hAnsi="仿宋" w:eastAsia="仿宋_GB2312" w:cs="仿宋"/>
          <w:sz w:val="32"/>
          <w:szCs w:val="32"/>
          <w:lang w:val="en-US" w:eastAsia="zh-CN"/>
        </w:rPr>
        <w:t>江西赛创新材料有限公司年处理锂长石60万吨建设</w:t>
      </w:r>
      <w:r>
        <w:rPr>
          <w:rFonts w:hint="eastAsia" w:ascii="仿宋_GB2312" w:hAnsi="仿宋" w:eastAsia="仿宋_GB2312" w:cs="仿宋"/>
          <w:sz w:val="32"/>
          <w:szCs w:val="32"/>
          <w:lang w:eastAsia="zh-CN"/>
        </w:rPr>
        <w:t>项目环境影响报告书</w:t>
      </w:r>
      <w:r>
        <w:rPr>
          <w:rFonts w:hint="eastAsia" w:ascii="仿宋_GB2312" w:eastAsia="仿宋_GB2312"/>
          <w:color w:val="000000"/>
          <w:sz w:val="32"/>
          <w:szCs w:val="32"/>
        </w:rPr>
        <w:t>评估意见》（以下简称《评估意见》）</w:t>
      </w:r>
      <w:r>
        <w:rPr>
          <w:rFonts w:hint="eastAsia" w:ascii="仿宋_GB2312" w:hAnsi="仿宋_GB2312" w:eastAsia="仿宋_GB2312" w:cs="仿宋_GB2312"/>
          <w:color w:val="000000"/>
          <w:sz w:val="32"/>
          <w:szCs w:val="32"/>
        </w:rPr>
        <w:t>提出的各项污染防治措施</w:t>
      </w:r>
      <w:r>
        <w:rPr>
          <w:rFonts w:hint="eastAsia" w:ascii="仿宋_GB2312" w:hAnsi="仿宋_GB2312" w:eastAsia="仿宋_GB2312" w:cs="仿宋_GB2312"/>
          <w:color w:val="000000"/>
          <w:sz w:val="32"/>
          <w:szCs w:val="32"/>
          <w:lang w:val="en-US" w:eastAsia="zh-CN"/>
        </w:rPr>
        <w:t>以及</w:t>
      </w:r>
      <w:r>
        <w:rPr>
          <w:rFonts w:hint="eastAsia" w:ascii="仿宋_GB2312" w:hAnsi="仿宋_GB2312" w:eastAsia="仿宋_GB2312" w:cs="仿宋_GB2312"/>
          <w:color w:val="000000"/>
          <w:sz w:val="32"/>
          <w:szCs w:val="32"/>
        </w:rPr>
        <w:t>环境风险防范措施</w:t>
      </w:r>
      <w:r>
        <w:rPr>
          <w:rFonts w:hint="eastAsia" w:ascii="仿宋_GB2312" w:hAnsi="仿宋_GB2312" w:eastAsia="仿宋_GB2312" w:cs="仿宋_GB2312"/>
          <w:color w:val="000000"/>
          <w:sz w:val="32"/>
          <w:szCs w:val="32"/>
          <w:lang w:val="en-US" w:eastAsia="zh-CN"/>
        </w:rPr>
        <w:t>和有关承诺要求</w:t>
      </w:r>
      <w:r>
        <w:rPr>
          <w:rFonts w:hint="eastAsia" w:ascii="仿宋_GB2312" w:hAnsi="仿宋_GB2312" w:eastAsia="仿宋_GB2312" w:cs="仿宋_GB2312"/>
          <w:color w:val="000000"/>
          <w:sz w:val="32"/>
          <w:szCs w:val="32"/>
        </w:rPr>
        <w:t>，缓解和控制不利环境影响。从环境保护角度我局原则同意</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报告书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中所列工程性质、地点、规模、生产工艺和环境保护对策措施</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N/>
        <w:bidi w:val="0"/>
        <w:spacing w:line="520" w:lineRule="exact"/>
        <w:ind w:firstLine="640" w:firstLineChars="200"/>
        <w:textAlignment w:val="auto"/>
        <w:rPr>
          <w:rFonts w:hint="eastAsia" w:ascii="黑体" w:hAnsi="黑体" w:eastAsia="黑体" w:cs="仿宋_GB2312"/>
          <w:bCs/>
          <w:kern w:val="0"/>
          <w:sz w:val="32"/>
          <w:szCs w:val="32"/>
          <w:lang w:eastAsia="zh-CN"/>
        </w:rPr>
      </w:pPr>
      <w:r>
        <w:rPr>
          <w:rFonts w:hint="eastAsia" w:ascii="黑体" w:hAnsi="黑体" w:eastAsia="黑体" w:cs="仿宋_GB2312"/>
          <w:bCs/>
          <w:kern w:val="0"/>
          <w:sz w:val="32"/>
          <w:szCs w:val="32"/>
        </w:rPr>
        <w:t>二、</w:t>
      </w:r>
      <w:r>
        <w:rPr>
          <w:rFonts w:hint="eastAsia" w:ascii="黑体" w:hAnsi="黑体" w:eastAsia="黑体" w:cs="仿宋_GB2312"/>
          <w:bCs/>
          <w:kern w:val="0"/>
          <w:sz w:val="32"/>
          <w:szCs w:val="32"/>
          <w:lang w:eastAsia="zh-CN"/>
        </w:rPr>
        <w:t>污染防治措施及要求</w:t>
      </w:r>
    </w:p>
    <w:p>
      <w:pPr>
        <w:keepNext w:val="0"/>
        <w:keepLines w:val="0"/>
        <w:pageBreakBefore w:val="0"/>
        <w:widowControl w:val="0"/>
        <w:kinsoku/>
        <w:wordWrap/>
        <w:overflowPunct/>
        <w:topLinePunct w:val="0"/>
        <w:autoSpaceDE w:val="0"/>
        <w:autoSpaceDN/>
        <w:bidi w:val="0"/>
        <w:spacing w:line="52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项目在工程设计、建设和生产过程中必须认真落实</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报告书</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提出的各项环保要求，重点做好以下几项工作：</w:t>
      </w:r>
    </w:p>
    <w:p>
      <w:pPr>
        <w:keepNext w:val="0"/>
        <w:keepLines w:val="0"/>
        <w:pageBreakBefore w:val="0"/>
        <w:widowControl w:val="0"/>
        <w:numPr>
          <w:ilvl w:val="0"/>
          <w:numId w:val="2"/>
        </w:numPr>
        <w:kinsoku/>
        <w:wordWrap/>
        <w:overflowPunct/>
        <w:topLinePunct w:val="0"/>
        <w:autoSpaceDE w:val="0"/>
        <w:autoSpaceDN/>
        <w:bidi w:val="0"/>
        <w:spacing w:line="520" w:lineRule="exact"/>
        <w:ind w:firstLine="640" w:firstLineChars="200"/>
        <w:textAlignment w:val="auto"/>
        <w:rPr>
          <w:rFonts w:ascii="仿宋_GB2312" w:hAnsi="仿宋" w:eastAsia="仿宋_GB2312" w:cs="仿宋"/>
          <w:sz w:val="32"/>
          <w:szCs w:val="32"/>
        </w:rPr>
      </w:pPr>
      <w:r>
        <w:rPr>
          <w:rFonts w:hint="eastAsia" w:ascii="楷体" w:hAnsi="楷体" w:eastAsia="楷体" w:cs="楷体"/>
          <w:color w:val="000000"/>
          <w:sz w:val="32"/>
          <w:szCs w:val="32"/>
          <w:lang w:val="en-US" w:eastAsia="zh-CN"/>
        </w:rPr>
        <w:t>严格落实水污染防治措施。</w:t>
      </w:r>
      <w:r>
        <w:rPr>
          <w:rFonts w:hint="eastAsia" w:ascii="仿宋_GB2312" w:hAnsi="仿宋" w:eastAsia="仿宋_GB2312" w:cs="仿宋"/>
          <w:sz w:val="32"/>
          <w:szCs w:val="32"/>
        </w:rPr>
        <w:t>按“清污分流、雨污分流、分质处理、一水多用”原则，合理制定废水收集、处理方案。项目废水主要为选矿废水</w:t>
      </w:r>
      <w:r>
        <w:rPr>
          <w:rFonts w:hint="eastAsia" w:ascii="仿宋_GB2312" w:hAnsi="仿宋" w:eastAsia="仿宋_GB2312" w:cs="仿宋"/>
          <w:sz w:val="32"/>
          <w:szCs w:val="32"/>
          <w:lang w:eastAsia="zh-CN"/>
        </w:rPr>
        <w:t>、车辆清洗废水、地面冲洗废水</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湿式除尘器废水、</w:t>
      </w:r>
      <w:r>
        <w:rPr>
          <w:rFonts w:hint="eastAsia" w:ascii="仿宋_GB2312" w:hAnsi="仿宋" w:eastAsia="仿宋_GB2312" w:cs="仿宋"/>
          <w:sz w:val="32"/>
          <w:szCs w:val="32"/>
        </w:rPr>
        <w:t>生活污水及初期雨水。其中</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选矿废水经管道收集至浓缩桶处理，</w:t>
      </w:r>
      <w:r>
        <w:rPr>
          <w:rFonts w:hint="eastAsia" w:ascii="仿宋_GB2312" w:hAnsi="仿宋_GB2312" w:eastAsia="仿宋_GB2312" w:cs="仿宋_GB2312"/>
          <w:bCs/>
          <w:snapToGrid w:val="0"/>
          <w:color w:val="auto"/>
          <w:sz w:val="32"/>
          <w:szCs w:val="32"/>
        </w:rPr>
        <w:t>上清液经管道排至三级沉淀处理后回用于</w:t>
      </w:r>
      <w:r>
        <w:rPr>
          <w:rFonts w:hint="eastAsia" w:ascii="仿宋_GB2312" w:hAnsi="仿宋_GB2312" w:eastAsia="仿宋_GB2312" w:cs="仿宋_GB2312"/>
          <w:bCs/>
          <w:snapToGrid w:val="0"/>
          <w:color w:val="auto"/>
          <w:sz w:val="32"/>
          <w:szCs w:val="32"/>
          <w:lang w:eastAsia="zh-CN"/>
        </w:rPr>
        <w:t>生产</w:t>
      </w:r>
      <w:r>
        <w:rPr>
          <w:rFonts w:hint="eastAsia" w:ascii="仿宋_GB2312" w:hAnsi="仿宋_GB2312" w:eastAsia="仿宋_GB2312" w:cs="仿宋_GB2312"/>
          <w:bCs/>
          <w:snapToGrid w:val="0"/>
          <w:color w:val="auto"/>
          <w:sz w:val="32"/>
          <w:szCs w:val="32"/>
        </w:rPr>
        <w:t>，不外</w:t>
      </w:r>
      <w:r>
        <w:rPr>
          <w:rFonts w:hint="eastAsia" w:ascii="仿宋_GB2312" w:hAnsi="仿宋_GB2312" w:eastAsia="仿宋_GB2312" w:cs="仿宋_GB2312"/>
          <w:bCs/>
          <w:snapToGrid w:val="0"/>
          <w:color w:val="auto"/>
          <w:sz w:val="32"/>
          <w:szCs w:val="32"/>
          <w:lang w:eastAsia="zh-CN"/>
        </w:rPr>
        <w:t>排；</w:t>
      </w:r>
      <w:r>
        <w:rPr>
          <w:rFonts w:hint="eastAsia" w:ascii="仿宋_GB2312" w:hAnsi="仿宋_GB2312" w:eastAsia="仿宋_GB2312" w:cs="仿宋_GB2312"/>
          <w:bCs/>
          <w:snapToGrid w:val="0"/>
          <w:color w:val="auto"/>
          <w:sz w:val="32"/>
          <w:szCs w:val="32"/>
        </w:rPr>
        <w:t>车辆</w:t>
      </w:r>
      <w:r>
        <w:rPr>
          <w:rFonts w:hint="eastAsia" w:ascii="仿宋_GB2312" w:hAnsi="仿宋_GB2312" w:eastAsia="仿宋_GB2312" w:cs="仿宋_GB2312"/>
          <w:bCs/>
          <w:snapToGrid w:val="0"/>
          <w:color w:val="auto"/>
          <w:sz w:val="32"/>
          <w:szCs w:val="32"/>
          <w:lang w:eastAsia="zh-CN"/>
        </w:rPr>
        <w:t>及地面</w:t>
      </w:r>
      <w:r>
        <w:rPr>
          <w:rFonts w:hint="eastAsia" w:ascii="仿宋_GB2312" w:hAnsi="仿宋_GB2312" w:eastAsia="仿宋_GB2312" w:cs="仿宋_GB2312"/>
          <w:bCs/>
          <w:snapToGrid w:val="0"/>
          <w:color w:val="auto"/>
          <w:sz w:val="32"/>
          <w:szCs w:val="32"/>
        </w:rPr>
        <w:t>清洗水</w:t>
      </w:r>
      <w:r>
        <w:rPr>
          <w:rFonts w:hint="eastAsia" w:ascii="仿宋_GB2312" w:hAnsi="仿宋_GB2312" w:eastAsia="仿宋_GB2312" w:cs="仿宋_GB2312"/>
          <w:bCs/>
          <w:snapToGrid w:val="0"/>
          <w:color w:val="auto"/>
          <w:sz w:val="32"/>
          <w:szCs w:val="32"/>
          <w:lang w:val="en-US" w:eastAsia="zh-CN"/>
        </w:rPr>
        <w:t>，</w:t>
      </w:r>
      <w:r>
        <w:rPr>
          <w:rFonts w:hint="eastAsia" w:ascii="仿宋_GB2312" w:hAnsi="仿宋_GB2312" w:eastAsia="仿宋_GB2312" w:cs="仿宋_GB2312"/>
          <w:bCs/>
          <w:snapToGrid w:val="0"/>
          <w:color w:val="auto"/>
          <w:sz w:val="32"/>
          <w:szCs w:val="32"/>
          <w:lang w:eastAsia="zh-CN"/>
        </w:rPr>
        <w:t>分别经收集至洗车废水沉淀池沉淀后回用于车辆清洗及地面冲洗，</w:t>
      </w:r>
      <w:r>
        <w:rPr>
          <w:rFonts w:hint="eastAsia" w:ascii="仿宋_GB2312" w:hAnsi="仿宋_GB2312" w:eastAsia="仿宋_GB2312" w:cs="仿宋_GB2312"/>
          <w:bCs/>
          <w:snapToGrid w:val="0"/>
          <w:color w:val="auto"/>
          <w:sz w:val="32"/>
          <w:szCs w:val="32"/>
        </w:rPr>
        <w:t>不外排</w:t>
      </w:r>
      <w:r>
        <w:rPr>
          <w:rFonts w:hint="eastAsia" w:ascii="仿宋_GB2312" w:hAnsi="仿宋_GB2312" w:eastAsia="仿宋_GB2312" w:cs="仿宋_GB2312"/>
          <w:bCs/>
          <w:snapToGrid w:val="0"/>
          <w:color w:val="auto"/>
          <w:sz w:val="32"/>
          <w:szCs w:val="32"/>
          <w:lang w:eastAsia="zh-CN"/>
        </w:rPr>
        <w:t>；除尘废水经三级沉淀池处理后回用于除尘，不外排；</w:t>
      </w:r>
      <w:r>
        <w:rPr>
          <w:rFonts w:hint="eastAsia" w:ascii="仿宋_GB2312" w:hAnsi="仿宋_GB2312" w:eastAsia="仿宋_GB2312" w:cs="仿宋_GB2312"/>
          <w:bCs/>
          <w:snapToGrid w:val="0"/>
          <w:color w:val="auto"/>
          <w:sz w:val="32"/>
          <w:szCs w:val="32"/>
        </w:rPr>
        <w:t>初期雨水经沉淀后回用于雾炮、喷淋装置、洒水降尘，不外排</w:t>
      </w:r>
      <w:r>
        <w:rPr>
          <w:rFonts w:hint="eastAsia" w:ascii="仿宋_GB2312" w:hAnsi="仿宋_GB2312" w:eastAsia="仿宋_GB2312" w:cs="仿宋_GB2312"/>
          <w:bCs/>
          <w:snapToGrid w:val="0"/>
          <w:color w:val="auto"/>
          <w:sz w:val="32"/>
          <w:szCs w:val="32"/>
          <w:lang w:eastAsia="zh-CN"/>
        </w:rPr>
        <w:t>；</w:t>
      </w:r>
      <w:r>
        <w:rPr>
          <w:rFonts w:hint="eastAsia" w:ascii="仿宋_GB2312" w:hAnsi="仿宋_GB2312" w:eastAsia="仿宋_GB2312" w:cs="仿宋_GB2312"/>
          <w:bCs/>
          <w:snapToGrid w:val="0"/>
          <w:color w:val="auto"/>
          <w:sz w:val="32"/>
          <w:szCs w:val="32"/>
        </w:rPr>
        <w:t>生活污水经隔油池+化粪池处理后用作</w:t>
      </w:r>
      <w:r>
        <w:rPr>
          <w:rFonts w:hint="eastAsia" w:ascii="仿宋_GB2312" w:hAnsi="仿宋_GB2312" w:eastAsia="仿宋_GB2312" w:cs="仿宋_GB2312"/>
          <w:bCs/>
          <w:snapToGrid w:val="0"/>
          <w:color w:val="auto"/>
          <w:sz w:val="32"/>
          <w:szCs w:val="32"/>
          <w:lang w:eastAsia="zh-CN"/>
        </w:rPr>
        <w:t>周边农田</w:t>
      </w:r>
      <w:r>
        <w:rPr>
          <w:rFonts w:hint="eastAsia" w:ascii="仿宋_GB2312" w:hAnsi="仿宋_GB2312" w:eastAsia="仿宋_GB2312" w:cs="仿宋_GB2312"/>
          <w:bCs/>
          <w:snapToGrid w:val="0"/>
          <w:color w:val="auto"/>
          <w:sz w:val="32"/>
          <w:szCs w:val="32"/>
        </w:rPr>
        <w:t>农肥</w:t>
      </w:r>
      <w:r>
        <w:rPr>
          <w:rFonts w:hint="eastAsia" w:ascii="仿宋_GB2312" w:hAnsi="仿宋_GB2312" w:eastAsia="仿宋_GB2312" w:cs="仿宋_GB2312"/>
          <w:bCs/>
          <w:snapToGrid w:val="0"/>
          <w:color w:val="auto"/>
          <w:sz w:val="32"/>
          <w:szCs w:val="32"/>
          <w:lang w:eastAsia="zh-CN"/>
        </w:rPr>
        <w:t>，不外排。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sz w:val="32"/>
          <w:szCs w:val="32"/>
          <w:lang w:eastAsia="zh-CN"/>
        </w:rPr>
      </w:pPr>
      <w:r>
        <w:rPr>
          <w:rFonts w:hint="eastAsia" w:ascii="楷体" w:hAnsi="楷体" w:eastAsia="楷体" w:cs="楷体"/>
          <w:color w:val="000000"/>
          <w:sz w:val="32"/>
          <w:szCs w:val="32"/>
          <w:lang w:val="en-US" w:eastAsia="zh-CN"/>
        </w:rPr>
        <w:t>（二）严格落实大气污染防治措施。</w:t>
      </w:r>
      <w:r>
        <w:rPr>
          <w:rFonts w:ascii="仿宋_GB2312" w:hAnsi="仿宋_GB2312" w:eastAsia="仿宋_GB2312" w:cs="仿宋_GB2312"/>
          <w:bCs/>
          <w:color w:val="000000"/>
          <w:sz w:val="32"/>
          <w:szCs w:val="32"/>
        </w:rPr>
        <w:t>项目运营期废气</w:t>
      </w:r>
      <w:r>
        <w:rPr>
          <w:rFonts w:hint="eastAsia" w:ascii="仿宋_GB2312" w:hAnsi="仿宋_GB2312" w:eastAsia="仿宋_GB2312" w:cs="仿宋_GB2312"/>
          <w:bCs/>
          <w:color w:val="000000"/>
          <w:sz w:val="32"/>
          <w:szCs w:val="32"/>
        </w:rPr>
        <w:t>主要为破碎、筛分</w:t>
      </w:r>
      <w:r>
        <w:rPr>
          <w:rFonts w:hint="eastAsia" w:ascii="仿宋_GB2312" w:hAnsi="仿宋_GB2312" w:eastAsia="仿宋_GB2312" w:cs="仿宋_GB2312"/>
          <w:bCs/>
          <w:color w:val="000000"/>
          <w:sz w:val="32"/>
          <w:szCs w:val="32"/>
          <w:lang w:eastAsia="zh-CN"/>
        </w:rPr>
        <w:t>过程中产生的有组织</w:t>
      </w:r>
      <w:r>
        <w:rPr>
          <w:rFonts w:hint="eastAsia" w:ascii="仿宋_GB2312" w:hAnsi="仿宋_GB2312" w:eastAsia="仿宋_GB2312" w:cs="仿宋_GB2312"/>
          <w:bCs/>
          <w:color w:val="000000"/>
          <w:sz w:val="32"/>
          <w:szCs w:val="32"/>
        </w:rPr>
        <w:t>粉尘</w:t>
      </w:r>
      <w:r>
        <w:rPr>
          <w:rFonts w:hint="eastAsia" w:ascii="仿宋_GB2312" w:hAnsi="仿宋_GB2312" w:eastAsia="仿宋_GB2312" w:cs="仿宋_GB2312"/>
          <w:bCs/>
          <w:color w:val="000000"/>
          <w:sz w:val="32"/>
          <w:szCs w:val="32"/>
          <w:lang w:eastAsia="zh-CN"/>
        </w:rPr>
        <w:t>、中间物料转运暂存、皮带输送粉尘</w:t>
      </w:r>
      <w:r>
        <w:rPr>
          <w:rFonts w:hint="eastAsia" w:ascii="仿宋_GB2312" w:hAnsi="仿宋_GB2312" w:eastAsia="仿宋_GB2312" w:cs="仿宋_GB2312"/>
          <w:bCs/>
          <w:color w:val="000000"/>
          <w:sz w:val="32"/>
          <w:szCs w:val="32"/>
        </w:rPr>
        <w:t>、堆场扬尘、装卸扬尘及道路运输扬尘</w:t>
      </w:r>
      <w:r>
        <w:rPr>
          <w:rFonts w:hint="eastAsia" w:ascii="仿宋_GB2312" w:hAnsi="仿宋_GB2312" w:eastAsia="仿宋_GB2312" w:cs="仿宋_GB2312"/>
          <w:bCs/>
          <w:color w:val="000000"/>
          <w:sz w:val="32"/>
          <w:szCs w:val="32"/>
          <w:lang w:eastAsia="zh-CN"/>
        </w:rPr>
        <w:t>、食堂油烟</w:t>
      </w:r>
      <w:r>
        <w:rPr>
          <w:rFonts w:hint="eastAsia" w:ascii="仿宋_GB2312" w:hAnsi="仿宋_GB2312" w:eastAsia="仿宋_GB2312" w:cs="仿宋_GB2312"/>
          <w:bCs/>
          <w:color w:val="000000"/>
          <w:sz w:val="32"/>
          <w:szCs w:val="32"/>
        </w:rPr>
        <w:t>及破碎、筛分</w:t>
      </w:r>
      <w:r>
        <w:rPr>
          <w:rFonts w:hint="eastAsia" w:ascii="仿宋_GB2312" w:hAnsi="仿宋_GB2312" w:eastAsia="仿宋_GB2312" w:cs="仿宋_GB2312"/>
          <w:bCs/>
          <w:color w:val="000000"/>
          <w:sz w:val="32"/>
          <w:szCs w:val="32"/>
          <w:lang w:eastAsia="zh-CN"/>
        </w:rPr>
        <w:t>、烘干、包装</w:t>
      </w:r>
      <w:r>
        <w:rPr>
          <w:rFonts w:hint="eastAsia" w:ascii="仿宋_GB2312" w:hAnsi="仿宋_GB2312" w:eastAsia="仿宋_GB2312" w:cs="仿宋_GB2312"/>
          <w:bCs/>
          <w:color w:val="000000"/>
          <w:sz w:val="32"/>
          <w:szCs w:val="32"/>
        </w:rPr>
        <w:t>工序未收集到的粉尘</w:t>
      </w:r>
      <w:r>
        <w:rPr>
          <w:rFonts w:hint="eastAsia" w:ascii="仿宋_GB2312" w:hAnsi="仿宋_GB2312" w:eastAsia="仿宋_GB2312" w:cs="仿宋_GB2312"/>
          <w:bCs/>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rPr>
        <w:t>破碎</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筛分粉尘</w:t>
      </w:r>
      <w:r>
        <w:rPr>
          <w:rFonts w:hint="eastAsia" w:ascii="仿宋_GB2312" w:hAnsi="仿宋_GB2312" w:eastAsia="仿宋_GB2312" w:cs="仿宋_GB2312"/>
          <w:bCs/>
          <w:snapToGrid w:val="0"/>
          <w:color w:val="auto"/>
          <w:sz w:val="32"/>
          <w:szCs w:val="32"/>
          <w:lang w:eastAsia="zh-CN"/>
        </w:rPr>
        <w:t>在各产尘点</w:t>
      </w:r>
      <w:r>
        <w:rPr>
          <w:rFonts w:hint="eastAsia" w:ascii="仿宋_GB2312" w:hAnsi="仿宋_GB2312" w:eastAsia="仿宋_GB2312" w:cs="仿宋_GB2312"/>
          <w:bCs/>
          <w:snapToGrid w:val="0"/>
          <w:color w:val="auto"/>
          <w:sz w:val="32"/>
          <w:szCs w:val="32"/>
        </w:rPr>
        <w:t>采用集尘罩收集</w:t>
      </w:r>
      <w:r>
        <w:rPr>
          <w:rFonts w:hint="eastAsia" w:ascii="仿宋_GB2312" w:hAnsi="仿宋_GB2312" w:eastAsia="仿宋_GB2312" w:cs="仿宋_GB2312"/>
          <w:bCs/>
          <w:snapToGrid w:val="0"/>
          <w:color w:val="auto"/>
          <w:sz w:val="32"/>
          <w:szCs w:val="32"/>
          <w:lang w:eastAsia="zh-CN"/>
        </w:rPr>
        <w:t>，</w:t>
      </w:r>
      <w:r>
        <w:rPr>
          <w:rFonts w:hint="eastAsia" w:ascii="仿宋_GB2312" w:hAnsi="仿宋_GB2312" w:eastAsia="仿宋_GB2312" w:cs="仿宋_GB2312"/>
          <w:bCs/>
          <w:snapToGrid w:val="0"/>
          <w:color w:val="auto"/>
          <w:sz w:val="32"/>
          <w:szCs w:val="32"/>
          <w:lang w:val="zh-CN"/>
        </w:rPr>
        <w:t>经收集后采用</w:t>
      </w:r>
      <w:r>
        <w:rPr>
          <w:rFonts w:hint="eastAsia" w:ascii="仿宋_GB2312" w:hAnsi="仿宋_GB2312" w:eastAsia="仿宋_GB2312" w:cs="仿宋_GB2312"/>
          <w:bCs/>
          <w:snapToGrid w:val="0"/>
          <w:color w:val="auto"/>
          <w:sz w:val="32"/>
          <w:szCs w:val="32"/>
          <w:lang w:val="en-US" w:eastAsia="zh-CN"/>
        </w:rPr>
        <w:t>湿式</w:t>
      </w:r>
      <w:r>
        <w:rPr>
          <w:rFonts w:hint="eastAsia" w:ascii="仿宋_GB2312" w:hAnsi="仿宋_GB2312" w:eastAsia="仿宋_GB2312" w:cs="仿宋_GB2312"/>
          <w:bCs/>
          <w:snapToGrid w:val="0"/>
          <w:color w:val="auto"/>
          <w:sz w:val="32"/>
          <w:szCs w:val="32"/>
        </w:rPr>
        <w:t>除尘</w:t>
      </w:r>
      <w:r>
        <w:rPr>
          <w:rFonts w:hint="eastAsia" w:ascii="仿宋_GB2312" w:hAnsi="仿宋_GB2312" w:eastAsia="仿宋_GB2312" w:cs="仿宋_GB2312"/>
          <w:bCs/>
          <w:snapToGrid w:val="0"/>
          <w:color w:val="auto"/>
          <w:sz w:val="32"/>
          <w:szCs w:val="32"/>
          <w:lang w:eastAsia="zh-CN"/>
        </w:rPr>
        <w:t>器</w:t>
      </w:r>
      <w:r>
        <w:rPr>
          <w:rFonts w:hint="eastAsia" w:ascii="仿宋_GB2312" w:hAnsi="仿宋_GB2312" w:eastAsia="仿宋_GB2312" w:cs="仿宋_GB2312"/>
          <w:bCs/>
          <w:snapToGrid w:val="0"/>
          <w:color w:val="auto"/>
          <w:sz w:val="32"/>
          <w:szCs w:val="32"/>
          <w:lang w:val="zh-CN"/>
        </w:rPr>
        <w:t>处理</w:t>
      </w:r>
      <w:r>
        <w:rPr>
          <w:rFonts w:hint="eastAsia" w:ascii="仿宋_GB2312" w:hAnsi="仿宋_GB2312" w:eastAsia="仿宋_GB2312" w:cs="仿宋_GB2312"/>
          <w:bCs/>
          <w:color w:val="000000"/>
          <w:sz w:val="32"/>
          <w:szCs w:val="32"/>
          <w:lang w:val="en-US" w:eastAsia="zh-CN"/>
        </w:rPr>
        <w:t>或其他更为成熟稳定的处理方式处理后排放</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颗粒物</w:t>
      </w:r>
      <w:r>
        <w:rPr>
          <w:rFonts w:hint="eastAsia" w:ascii="仿宋_GB2312" w:hAnsi="仿宋_GB2312" w:eastAsia="仿宋_GB2312" w:cs="仿宋_GB2312"/>
          <w:bCs/>
          <w:color w:val="000000"/>
          <w:sz w:val="32"/>
          <w:szCs w:val="32"/>
          <w:lang w:val="en-US" w:eastAsia="zh-CN"/>
        </w:rPr>
        <w:t>执行</w:t>
      </w:r>
      <w:r>
        <w:rPr>
          <w:rFonts w:hint="eastAsia" w:ascii="仿宋_GB2312" w:hAnsi="仿宋_GB2312" w:eastAsia="仿宋_GB2312" w:cs="仿宋_GB2312"/>
          <w:bCs/>
          <w:color w:val="000000"/>
          <w:sz w:val="32"/>
          <w:szCs w:val="32"/>
        </w:rPr>
        <w:t>《大气污染物综合排放标准》（GB16297-1996）中</w:t>
      </w:r>
      <w:r>
        <w:rPr>
          <w:rFonts w:hint="eastAsia" w:ascii="仿宋_GB2312" w:hAnsi="仿宋_GB2312" w:eastAsia="仿宋_GB2312" w:cs="仿宋_GB2312"/>
          <w:bCs/>
          <w:color w:val="000000"/>
          <w:sz w:val="32"/>
          <w:szCs w:val="32"/>
          <w:lang w:eastAsia="zh-CN"/>
        </w:rPr>
        <w:t>表</w:t>
      </w:r>
      <w:r>
        <w:rPr>
          <w:rFonts w:hint="eastAsia" w:ascii="仿宋_GB2312" w:hAnsi="仿宋_GB2312" w:eastAsia="仿宋_GB2312" w:cs="仿宋_GB2312"/>
          <w:bCs/>
          <w:color w:val="000000"/>
          <w:sz w:val="32"/>
          <w:szCs w:val="32"/>
          <w:lang w:val="en-US" w:eastAsia="zh-CN"/>
        </w:rPr>
        <w:t>2中</w:t>
      </w:r>
      <w:r>
        <w:rPr>
          <w:rFonts w:hint="eastAsia" w:ascii="仿宋_GB2312" w:hAnsi="仿宋_GB2312" w:eastAsia="仿宋_GB2312" w:cs="仿宋_GB2312"/>
          <w:bCs/>
          <w:color w:val="000000"/>
          <w:sz w:val="32"/>
          <w:szCs w:val="32"/>
        </w:rPr>
        <w:t>二级标准</w:t>
      </w:r>
      <w:r>
        <w:rPr>
          <w:rFonts w:hint="eastAsia" w:ascii="仿宋_GB2312" w:hAnsi="仿宋_GB2312" w:eastAsia="仿宋_GB2312" w:cs="仿宋_GB2312"/>
          <w:bCs/>
          <w:color w:val="000000"/>
          <w:sz w:val="32"/>
          <w:szCs w:val="32"/>
          <w:lang w:eastAsia="zh-CN"/>
        </w:rPr>
        <w:t>；食堂油烟通过管道经油烟净化器处理后通过专用烟道排放，油烟废气执行《饮食业油烟排放标准》(试行)(GB18483－2001)小型规模排放标准。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napToGrid w:val="0"/>
          <w:sz w:val="32"/>
          <w:szCs w:val="32"/>
        </w:rPr>
        <w:t>项目无组织废气主要为中间物料转运暂存、皮带输送粉尘</w:t>
      </w:r>
      <w:r>
        <w:rPr>
          <w:rFonts w:hint="eastAsia" w:ascii="仿宋_GB2312" w:hAnsi="仿宋_GB2312" w:eastAsia="仿宋_GB2312" w:cs="仿宋_GB2312"/>
          <w:bCs/>
          <w:color w:val="000000"/>
          <w:sz w:val="32"/>
          <w:szCs w:val="32"/>
        </w:rPr>
        <w:t>、堆场扬尘、装卸扬尘及道路运输扬尘及破碎、筛分工序未收集到的粉尘</w:t>
      </w:r>
      <w:r>
        <w:rPr>
          <w:rFonts w:hint="eastAsia" w:ascii="仿宋_GB2312" w:hAnsi="仿宋_GB2312" w:eastAsia="仿宋_GB2312" w:cs="仿宋_GB2312"/>
          <w:bCs/>
          <w:sz w:val="32"/>
          <w:szCs w:val="32"/>
        </w:rPr>
        <w:t>。</w:t>
      </w:r>
      <w:r>
        <w:rPr>
          <w:rFonts w:hint="eastAsia" w:ascii="仿宋_GB2312" w:hAnsi="仿宋_GB2312" w:eastAsia="仿宋_GB2312" w:cs="仿宋_GB2312"/>
          <w:bCs/>
          <w:color w:val="000000"/>
          <w:sz w:val="32"/>
          <w:szCs w:val="32"/>
        </w:rPr>
        <w:t>在给料口</w:t>
      </w:r>
      <w:r>
        <w:rPr>
          <w:rFonts w:hint="eastAsia" w:ascii="仿宋_GB2312" w:hAnsi="仿宋_GB2312" w:eastAsia="仿宋_GB2312" w:cs="仿宋_GB2312"/>
          <w:bCs/>
          <w:color w:val="000000"/>
          <w:sz w:val="32"/>
          <w:szCs w:val="32"/>
          <w:lang w:eastAsia="zh-CN"/>
        </w:rPr>
        <w:t>、出料口设置喷雾降尘装置，车间内</w:t>
      </w:r>
      <w:r>
        <w:rPr>
          <w:rFonts w:hint="eastAsia" w:ascii="仿宋_GB2312" w:hAnsi="仿宋_GB2312" w:eastAsia="仿宋_GB2312" w:cs="仿宋_GB2312"/>
          <w:bCs/>
          <w:color w:val="000000"/>
          <w:sz w:val="32"/>
          <w:szCs w:val="32"/>
        </w:rPr>
        <w:t>设置雾炮机洒水降尘。堆场扬尘采用密闭式仓储，并加强洒水降尘。原料和产品装卸扬尘采用封闭式仓库储存，且配置喷雾抑尘。车辆运输扬尘采取道路硬化、定时洒水增湿、清扫、车辆清洗、加棚盖等措施。</w:t>
      </w:r>
      <w:r>
        <w:rPr>
          <w:rFonts w:hint="eastAsia" w:ascii="仿宋_GB2312" w:hAnsi="仿宋_GB2312" w:eastAsia="仿宋_GB2312" w:cs="仿宋_GB2312"/>
          <w:bCs/>
          <w:sz w:val="32"/>
          <w:szCs w:val="32"/>
        </w:rPr>
        <w:t>颗粒物的厂界浓度</w:t>
      </w:r>
      <w:r>
        <w:rPr>
          <w:rFonts w:hint="eastAsia" w:ascii="仿宋_GB2312" w:hAnsi="仿宋_GB2312" w:eastAsia="仿宋_GB2312" w:cs="仿宋_GB2312"/>
          <w:bCs/>
          <w:sz w:val="32"/>
          <w:szCs w:val="32"/>
          <w:lang w:val="en-US" w:eastAsia="zh-CN"/>
        </w:rPr>
        <w:t>执行</w:t>
      </w:r>
      <w:r>
        <w:rPr>
          <w:rFonts w:hint="eastAsia" w:ascii="仿宋_GB2312" w:hAnsi="仿宋_GB2312" w:eastAsia="仿宋_GB2312" w:cs="仿宋_GB2312"/>
          <w:bCs/>
          <w:sz w:val="32"/>
          <w:szCs w:val="32"/>
        </w:rPr>
        <w:t>《大气污染物综合排放标准》（GB16297-1996）表2中无组织排放限值要求。</w:t>
      </w:r>
    </w:p>
    <w:p>
      <w:pPr>
        <w:keepNext w:val="0"/>
        <w:keepLines w:val="0"/>
        <w:pageBreakBefore w:val="0"/>
        <w:widowControl w:val="0"/>
        <w:kinsoku/>
        <w:wordWrap/>
        <w:overflowPunct/>
        <w:topLinePunct w:val="0"/>
        <w:autoSpaceDE w:val="0"/>
        <w:autoSpaceDN/>
        <w:bidi w:val="0"/>
        <w:spacing w:line="520" w:lineRule="exact"/>
        <w:ind w:firstLine="640" w:firstLineChars="200"/>
        <w:textAlignment w:val="auto"/>
        <w:rPr>
          <w:rFonts w:hint="eastAsia"/>
        </w:rPr>
      </w:pPr>
      <w:r>
        <w:rPr>
          <w:rFonts w:hint="eastAsia" w:ascii="楷体" w:hAnsi="楷体" w:eastAsia="楷体" w:cs="楷体"/>
          <w:color w:val="000000"/>
          <w:sz w:val="32"/>
          <w:szCs w:val="32"/>
          <w:lang w:val="en-US" w:eastAsia="zh-CN"/>
        </w:rPr>
        <w:t>（三）严格落实土壤和地下水污染防治措施。</w:t>
      </w:r>
      <w:r>
        <w:rPr>
          <w:rFonts w:hint="eastAsia" w:ascii="仿宋_GB2312" w:hAnsi="仿宋_GB2312" w:eastAsia="仿宋_GB2312" w:cs="仿宋_GB2312"/>
          <w:color w:val="000000"/>
          <w:sz w:val="32"/>
          <w:szCs w:val="32"/>
        </w:rPr>
        <w:t>按“源头控制、分区防治、污染监控、应急响应”相结合的原则做好土壤和地下水污染防治工作，从污染物的产生、入渗、扩散、应急响应全阶段进行控制，严格做好分区防渗措施。</w:t>
      </w:r>
      <w:r>
        <w:rPr>
          <w:rFonts w:hint="eastAsia" w:ascii="仿宋_GB2312" w:hAnsi="仿宋" w:eastAsia="仿宋_GB2312"/>
          <w:color w:val="000000"/>
          <w:kern w:val="0"/>
          <w:sz w:val="32"/>
          <w:szCs w:val="32"/>
        </w:rPr>
        <w:t>按照</w:t>
      </w:r>
      <w:r>
        <w:rPr>
          <w:rFonts w:hint="eastAsia" w:ascii="仿宋_GB2312" w:hAnsi="仿宋" w:eastAsia="仿宋_GB2312"/>
          <w:color w:val="000000"/>
          <w:kern w:val="0"/>
          <w:sz w:val="32"/>
          <w:szCs w:val="32"/>
          <w:lang w:eastAsia="zh-CN"/>
        </w:rPr>
        <w:t>《</w:t>
      </w:r>
      <w:r>
        <w:rPr>
          <w:rFonts w:hint="eastAsia" w:ascii="仿宋_GB2312" w:hAnsi="仿宋" w:eastAsia="仿宋_GB2312"/>
          <w:color w:val="000000"/>
          <w:kern w:val="0"/>
          <w:sz w:val="32"/>
          <w:szCs w:val="32"/>
        </w:rPr>
        <w:t>报告书</w:t>
      </w:r>
      <w:r>
        <w:rPr>
          <w:rFonts w:hint="eastAsia" w:ascii="仿宋_GB2312" w:hAnsi="仿宋" w:eastAsia="仿宋_GB2312"/>
          <w:color w:val="000000"/>
          <w:kern w:val="0"/>
          <w:sz w:val="32"/>
          <w:szCs w:val="32"/>
          <w:lang w:eastAsia="zh-CN"/>
        </w:rPr>
        <w:t>》</w:t>
      </w:r>
      <w:r>
        <w:rPr>
          <w:rFonts w:hint="default" w:ascii="仿宋_GB2312" w:hAnsi="仿宋" w:eastAsia="仿宋_GB2312"/>
          <w:color w:val="000000"/>
          <w:kern w:val="0"/>
          <w:sz w:val="32"/>
          <w:szCs w:val="32"/>
        </w:rPr>
        <w:t>和《评估意见》</w:t>
      </w:r>
      <w:r>
        <w:rPr>
          <w:rFonts w:hint="eastAsia" w:ascii="仿宋_GB2312" w:hAnsi="仿宋" w:eastAsia="仿宋_GB2312"/>
          <w:color w:val="000000"/>
          <w:kern w:val="0"/>
          <w:sz w:val="32"/>
          <w:szCs w:val="32"/>
        </w:rPr>
        <w:t>中要求合理设置地下水及土壤监测布点，制定环境监测计划，加强厂区和周边区域地下水及土壤环境质量监控，一旦发现污染情况，必须立即采取措施，防止污染扩散</w:t>
      </w:r>
      <w:r>
        <w:rPr>
          <w:rFonts w:hint="eastAsia" w:ascii="仿宋_GB2312" w:hAnsi="仿宋" w:eastAsia="仿宋_GB2312" w:cs="仿宋"/>
          <w:color w:val="000000"/>
          <w:sz w:val="32"/>
          <w:szCs w:val="32"/>
        </w:rPr>
        <w:t>。</w:t>
      </w:r>
    </w:p>
    <w:p>
      <w:pPr>
        <w:pStyle w:val="9"/>
        <w:keepNext w:val="0"/>
        <w:keepLines w:val="0"/>
        <w:pageBreakBefore w:val="0"/>
        <w:widowControl w:val="0"/>
        <w:kinsoku/>
        <w:wordWrap/>
        <w:overflowPunct/>
        <w:topLinePunct w:val="0"/>
        <w:autoSpaceDN/>
        <w:bidi w:val="0"/>
        <w:spacing w:line="520" w:lineRule="exact"/>
        <w:ind w:firstLine="640" w:firstLineChars="200"/>
        <w:textAlignment w:val="auto"/>
        <w:rPr>
          <w:rFonts w:hint="eastAsia" w:ascii="仿宋_GB2312" w:hAnsi="仿宋" w:eastAsia="仿宋_GB2312" w:cs="Times New Roman"/>
          <w:color w:val="000000"/>
          <w:kern w:val="0"/>
          <w:sz w:val="32"/>
          <w:szCs w:val="32"/>
          <w:lang w:val="en-US" w:eastAsia="zh-CN" w:bidi="ar-SA"/>
        </w:rPr>
      </w:pPr>
      <w:r>
        <w:rPr>
          <w:rFonts w:hint="eastAsia" w:ascii="楷体" w:hAnsi="楷体" w:eastAsia="楷体" w:cs="楷体"/>
          <w:color w:val="000000"/>
          <w:kern w:val="2"/>
          <w:sz w:val="32"/>
          <w:szCs w:val="32"/>
          <w:lang w:val="en-US" w:eastAsia="zh-CN" w:bidi="ar-SA"/>
        </w:rPr>
        <w:t>（四）严格落实固体废物分类处置和综合利用措施</w:t>
      </w:r>
      <w:r>
        <w:rPr>
          <w:rFonts w:hint="eastAsia" w:ascii="仿宋_GB2312" w:hAnsi="仿宋" w:eastAsia="仿宋_GB2312" w:cs="Times New Roman"/>
          <w:color w:val="000000"/>
          <w:kern w:val="0"/>
          <w:sz w:val="32"/>
          <w:szCs w:val="32"/>
          <w:lang w:val="en-US" w:eastAsia="zh-CN" w:bidi="ar-SA"/>
        </w:rPr>
        <w:t>。应按“资源化、减量化、无害化”处置原则，认真落实固废分类收集、处置和综合利用措施。危险废物应及时委托有资质单位进行综合利用或处置，转移应办理相关环保手续。厂区内应设置足够容积的一般工业固体废物暂存库和危险废物暂存库。危险废物暂存库设计、建设和运行必须满足《危险废物贮存污染控制标准》（GB 18597-2001）及其修改单要求；一般工业固体废物综合利用或合理处置，一般工业固体废物暂存库设计、建设和运行必须满足《一般工业固体废物贮存和填埋污染控制标准》(GB 18599-2020)要求。</w:t>
      </w:r>
    </w:p>
    <w:p>
      <w:pPr>
        <w:keepNext w:val="0"/>
        <w:keepLines w:val="0"/>
        <w:pageBreakBefore w:val="0"/>
        <w:widowControl w:val="0"/>
        <w:kinsoku/>
        <w:wordWrap/>
        <w:overflowPunct/>
        <w:topLinePunct w:val="0"/>
        <w:autoSpaceDE w:val="0"/>
        <w:autoSpaceDN/>
        <w:bidi w:val="0"/>
        <w:adjustRightInd w:val="0"/>
        <w:snapToGrid w:val="0"/>
        <w:spacing w:line="520" w:lineRule="exact"/>
        <w:ind w:firstLine="640" w:firstLineChars="200"/>
        <w:textAlignment w:val="auto"/>
        <w:rPr>
          <w:rFonts w:hint="eastAsia" w:ascii="仿宋_GB2312" w:hAnsi="仿宋" w:eastAsia="仿宋_GB2312" w:cs="仿宋"/>
          <w:b w:val="0"/>
          <w:color w:val="000000"/>
          <w:kern w:val="2"/>
          <w:sz w:val="32"/>
          <w:szCs w:val="32"/>
          <w:lang w:val="en-US" w:eastAsia="zh-CN" w:bidi="ar-SA"/>
        </w:rPr>
      </w:pPr>
      <w:r>
        <w:rPr>
          <w:rFonts w:hint="eastAsia" w:ascii="楷体" w:hAnsi="楷体" w:eastAsia="楷体" w:cs="楷体"/>
          <w:color w:val="000000"/>
          <w:sz w:val="32"/>
          <w:szCs w:val="32"/>
          <w:lang w:val="en-US" w:eastAsia="zh-CN"/>
        </w:rPr>
        <w:t>（五）严格落实噪声污染防治措施。</w:t>
      </w:r>
      <w:r>
        <w:rPr>
          <w:rFonts w:hint="eastAsia" w:ascii="仿宋_GB2312" w:hAnsi="仿宋_GB2312" w:eastAsia="仿宋_GB2312" w:cs="仿宋_GB2312"/>
          <w:sz w:val="32"/>
          <w:szCs w:val="32"/>
        </w:rPr>
        <w:t>应选用低噪声设备，采用减震、隔声、吸声、消声措施，同时加强设备的维护和管理，合理规划平面布置，加强厂区绿化，厂界噪声需满足《工业企业厂界环境噪声排放标准》（GB 12348-2008）中</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类标准要求。</w:t>
      </w:r>
    </w:p>
    <w:p>
      <w:pPr>
        <w:keepNext w:val="0"/>
        <w:keepLines w:val="0"/>
        <w:pageBreakBefore w:val="0"/>
        <w:widowControl w:val="0"/>
        <w:numPr>
          <w:ilvl w:val="0"/>
          <w:numId w:val="0"/>
        </w:numPr>
        <w:kinsoku/>
        <w:wordWrap/>
        <w:overflowPunct/>
        <w:topLinePunct w:val="0"/>
        <w:autoSpaceDE w:val="0"/>
        <w:autoSpaceDN/>
        <w:bidi w:val="0"/>
        <w:adjustRightInd/>
        <w:snapToGrid/>
        <w:spacing w:line="520" w:lineRule="exact"/>
        <w:ind w:firstLine="640" w:firstLineChars="200"/>
        <w:jc w:val="left"/>
        <w:textAlignment w:val="auto"/>
        <w:rPr>
          <w:rFonts w:ascii="仿宋_GB2312" w:hAnsi="仿宋" w:eastAsia="仿宋_GB2312" w:cs="仿宋"/>
          <w:sz w:val="32"/>
          <w:szCs w:val="32"/>
        </w:rPr>
      </w:pPr>
      <w:r>
        <w:rPr>
          <w:rFonts w:hint="eastAsia" w:ascii="楷体" w:hAnsi="楷体" w:eastAsia="楷体" w:cs="楷体"/>
          <w:color w:val="000000"/>
          <w:sz w:val="32"/>
          <w:szCs w:val="32"/>
          <w:lang w:val="en-US" w:eastAsia="zh-CN"/>
        </w:rPr>
        <w:t>（六）严格落实环境风险防范措施。</w:t>
      </w:r>
      <w:r>
        <w:rPr>
          <w:rFonts w:hint="eastAsia" w:ascii="仿宋_GB2312" w:hAnsi="仿宋_GB2312" w:eastAsia="仿宋_GB2312" w:cs="仿宋_GB2312"/>
          <w:color w:val="000000"/>
          <w:sz w:val="32"/>
          <w:szCs w:val="32"/>
          <w:lang w:eastAsia="zh-CN"/>
        </w:rPr>
        <w:t>严格落实《报告书》和《评估意见》提出的各项环境风险防控措施。按环评要求规范保障足够容积的事故应急设施，事故收集装置正常情况下必须空置，一旦发生突发性事故时，企业必须立即停产，启用收集设施收集事故下的废水，待该收集池内废水全部处理完后方可恢复生产，确保突发性事故产生的各类废水不进入外环境。健全企业环境风险防范与应急管理体系，制定全厂环境风险防控措施和突发环境事件应急预案。突发环境事件应急预案（须报当地生态环境部门备案）应与相邻企业、当地政府进行有效衔接，定期协同有关部门开展应急演练。</w:t>
      </w:r>
    </w:p>
    <w:p>
      <w:pPr>
        <w:keepNext w:val="0"/>
        <w:keepLines w:val="0"/>
        <w:pageBreakBefore w:val="0"/>
        <w:widowControl w:val="0"/>
        <w:kinsoku/>
        <w:wordWrap/>
        <w:overflowPunct/>
        <w:topLinePunct w:val="0"/>
        <w:autoSpaceDE w:val="0"/>
        <w:autoSpaceDN/>
        <w:bidi w:val="0"/>
        <w:spacing w:line="520" w:lineRule="exact"/>
        <w:ind w:firstLine="640" w:firstLineChars="200"/>
        <w:textAlignment w:val="auto"/>
        <w:rPr>
          <w:rFonts w:ascii="仿宋_GB2312" w:hAnsi="宋体" w:eastAsia="仿宋_GB2312" w:cs="宋体"/>
          <w:kern w:val="0"/>
          <w:sz w:val="32"/>
          <w:szCs w:val="32"/>
          <w:lang w:val="en-US" w:eastAsia="zh-CN" w:bidi="ar-SA"/>
        </w:rPr>
      </w:pPr>
      <w:r>
        <w:rPr>
          <w:rFonts w:hint="eastAsia" w:ascii="楷体" w:hAnsi="楷体" w:eastAsia="楷体" w:cs="楷体"/>
          <w:color w:val="000000"/>
          <w:sz w:val="32"/>
          <w:szCs w:val="32"/>
          <w:lang w:val="en-US" w:eastAsia="zh-CN"/>
        </w:rPr>
        <w:t>（七）落实规范排污口要求。</w:t>
      </w:r>
      <w:r>
        <w:rPr>
          <w:rFonts w:hint="eastAsia" w:ascii="仿宋_GB2312" w:hAnsi="宋体" w:eastAsia="仿宋_GB2312" w:cs="宋体"/>
          <w:kern w:val="0"/>
          <w:sz w:val="32"/>
          <w:szCs w:val="32"/>
          <w:lang w:val="en-US" w:eastAsia="zh-CN" w:bidi="ar-SA"/>
        </w:rPr>
        <w:t>按国家和省、市排污口规范化要求设置各类排污口和标识并建档。</w:t>
      </w:r>
    </w:p>
    <w:p>
      <w:pPr>
        <w:keepNext w:val="0"/>
        <w:keepLines w:val="0"/>
        <w:pageBreakBefore w:val="0"/>
        <w:widowControl w:val="0"/>
        <w:kinsoku/>
        <w:wordWrap/>
        <w:overflowPunct/>
        <w:topLinePunct w:val="0"/>
        <w:autoSpaceDN/>
        <w:bidi w:val="0"/>
        <w:adjustRightInd w:val="0"/>
        <w:snapToGrid w:val="0"/>
        <w:spacing w:line="520" w:lineRule="exact"/>
        <w:ind w:firstLine="640" w:firstLineChars="200"/>
        <w:textAlignment w:val="auto"/>
        <w:rPr>
          <w:rFonts w:ascii="仿宋_GB2312" w:hAnsi="仿宋" w:eastAsia="仿宋_GB2312" w:cs="仿宋"/>
          <w:sz w:val="32"/>
          <w:szCs w:val="32"/>
        </w:rPr>
      </w:pPr>
      <w:r>
        <w:rPr>
          <w:rFonts w:hint="eastAsia" w:ascii="楷体" w:hAnsi="楷体" w:eastAsia="楷体" w:cs="楷体"/>
          <w:color w:val="000000"/>
          <w:sz w:val="32"/>
          <w:szCs w:val="32"/>
          <w:lang w:val="en-US" w:eastAsia="zh-CN"/>
        </w:rPr>
        <w:t>（八）项目周围规划控制要求。</w:t>
      </w:r>
      <w:r>
        <w:rPr>
          <w:rFonts w:hint="eastAsia" w:ascii="仿宋_GB2312" w:hAnsi="宋体" w:eastAsia="仿宋_GB2312" w:cs="宋体"/>
          <w:kern w:val="0"/>
          <w:sz w:val="32"/>
          <w:szCs w:val="32"/>
          <w:lang w:val="en-US" w:eastAsia="zh-CN" w:bidi="ar-SA"/>
        </w:rPr>
        <w:t>根据《报告书》和《评估意见》结论</w:t>
      </w:r>
      <w:r>
        <w:rPr>
          <w:rFonts w:hint="eastAsia" w:ascii="仿宋_GB2312" w:hAnsi="仿宋_GB2312" w:eastAsia="仿宋_GB2312" w:cs="仿宋_GB2312"/>
          <w:bCs/>
          <w:sz w:val="32"/>
          <w:szCs w:val="32"/>
        </w:rPr>
        <w:t>，确定</w:t>
      </w:r>
      <w:r>
        <w:rPr>
          <w:rFonts w:hint="eastAsia" w:ascii="仿宋_GB2312" w:hAnsi="仿宋_GB2312" w:eastAsia="仿宋_GB2312" w:cs="仿宋_GB2312"/>
          <w:bCs/>
          <w:sz w:val="32"/>
          <w:szCs w:val="32"/>
          <w:lang w:eastAsia="zh-CN"/>
        </w:rPr>
        <w:t>本</w:t>
      </w:r>
      <w:r>
        <w:rPr>
          <w:rFonts w:ascii="仿宋_GB2312" w:hAnsi="仿宋_GB2312" w:eastAsia="仿宋_GB2312" w:cs="仿宋_GB2312"/>
          <w:bCs/>
          <w:sz w:val="32"/>
          <w:szCs w:val="32"/>
        </w:rPr>
        <w:t>项目</w:t>
      </w:r>
      <w:r>
        <w:rPr>
          <w:rFonts w:hint="eastAsia" w:ascii="仿宋_GB2312" w:hAnsi="仿宋_GB2312" w:eastAsia="仿宋_GB2312" w:cs="仿宋_GB2312"/>
          <w:bCs/>
          <w:sz w:val="32"/>
          <w:szCs w:val="32"/>
          <w:lang w:eastAsia="zh-CN"/>
        </w:rPr>
        <w:t>的卫生防护距离为厂界外扩</w:t>
      </w:r>
      <w:r>
        <w:rPr>
          <w:rFonts w:hint="eastAsia" w:ascii="仿宋_GB2312" w:hAnsi="仿宋_GB2312" w:eastAsia="仿宋_GB2312" w:cs="仿宋_GB2312"/>
          <w:bCs/>
          <w:sz w:val="32"/>
          <w:szCs w:val="32"/>
          <w:lang w:val="en-US" w:eastAsia="zh-CN"/>
        </w:rPr>
        <w:t>50m</w:t>
      </w:r>
      <w:r>
        <w:rPr>
          <w:rFonts w:hint="eastAsia" w:ascii="仿宋_GB2312" w:hAnsi="仿宋_GB2312" w:eastAsia="仿宋_GB2312" w:cs="仿宋_GB2312"/>
          <w:bCs/>
          <w:color w:val="000000"/>
          <w:sz w:val="32"/>
          <w:szCs w:val="32"/>
          <w:lang w:eastAsia="zh-CN"/>
        </w:rPr>
        <w:t>。</w:t>
      </w:r>
      <w:r>
        <w:rPr>
          <w:rFonts w:hint="eastAsia" w:ascii="仿宋_GB2312" w:hAnsi="仿宋" w:eastAsia="仿宋_GB2312" w:cs="仿宋"/>
          <w:color w:val="000000"/>
          <w:sz w:val="32"/>
          <w:szCs w:val="32"/>
        </w:rPr>
        <w:t>你公司应</w:t>
      </w:r>
      <w:r>
        <w:rPr>
          <w:rFonts w:hint="eastAsia" w:ascii="仿宋_GB2312" w:hAnsi="仿宋" w:eastAsia="仿宋_GB2312" w:cs="仿宋"/>
          <w:color w:val="000000"/>
          <w:sz w:val="32"/>
          <w:szCs w:val="32"/>
          <w:lang w:val="en-US" w:eastAsia="zh-CN"/>
        </w:rPr>
        <w:t>配合规划部门</w:t>
      </w:r>
      <w:r>
        <w:rPr>
          <w:rFonts w:hint="eastAsia" w:ascii="仿宋_GB2312" w:hAnsi="仿宋" w:eastAsia="仿宋_GB2312" w:cs="仿宋"/>
          <w:color w:val="000000"/>
          <w:sz w:val="32"/>
          <w:szCs w:val="32"/>
        </w:rPr>
        <w:t>，严格控制好本项目周边规划，项目卫生防护距离范围内不得新建居民住宅、学校及医院等环境敏感建筑。</w:t>
      </w:r>
    </w:p>
    <w:p>
      <w:pPr>
        <w:keepNext w:val="0"/>
        <w:keepLines w:val="0"/>
        <w:pageBreakBefore w:val="0"/>
        <w:widowControl w:val="0"/>
        <w:kinsoku/>
        <w:wordWrap/>
        <w:overflowPunct/>
        <w:topLinePunct w:val="0"/>
        <w:autoSpaceDN/>
        <w:bidi w:val="0"/>
        <w:adjustRightInd w:val="0"/>
        <w:snapToGrid w:val="0"/>
        <w:spacing w:line="520" w:lineRule="exact"/>
        <w:ind w:firstLine="640" w:firstLineChars="200"/>
        <w:textAlignment w:val="auto"/>
        <w:rPr>
          <w:rFonts w:ascii="仿宋_GB2312" w:hAnsi="仿宋" w:eastAsia="仿宋_GB2312" w:cs="仿宋"/>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九</w:t>
      </w:r>
      <w:r>
        <w:rPr>
          <w:rFonts w:hint="eastAsia" w:ascii="楷体" w:hAnsi="楷体" w:eastAsia="楷体" w:cs="楷体"/>
          <w:color w:val="000000"/>
          <w:sz w:val="32"/>
          <w:szCs w:val="32"/>
          <w:lang w:eastAsia="zh-CN"/>
        </w:rPr>
        <w:t>）信息公开要求。</w:t>
      </w:r>
      <w:r>
        <w:rPr>
          <w:rFonts w:hint="eastAsia" w:ascii="仿宋_GB2312" w:hAnsi="仿宋" w:eastAsia="仿宋_GB2312" w:cs="仿宋"/>
          <w:sz w:val="32"/>
          <w:szCs w:val="32"/>
        </w:rPr>
        <w:t>你公司应依法实施信息公开，接</w:t>
      </w:r>
      <w:r>
        <w:rPr>
          <w:rFonts w:hint="eastAsia" w:ascii="仿宋_GB2312" w:hAnsi="仿宋" w:eastAsia="仿宋_GB2312" w:cs="仿宋"/>
          <w:sz w:val="32"/>
          <w:szCs w:val="32"/>
          <w:lang w:eastAsia="zh-CN"/>
        </w:rPr>
        <w:t>受</w:t>
      </w:r>
      <w:r>
        <w:rPr>
          <w:rFonts w:hint="eastAsia" w:ascii="仿宋_GB2312" w:hAnsi="仿宋" w:eastAsia="仿宋_GB2312" w:cs="仿宋"/>
          <w:sz w:val="32"/>
          <w:szCs w:val="32"/>
        </w:rPr>
        <w:t>社会监督。项目</w:t>
      </w:r>
      <w:r>
        <w:rPr>
          <w:rFonts w:hint="eastAsia" w:ascii="仿宋_GB2312" w:hAnsi="仿宋" w:eastAsia="仿宋_GB2312" w:cs="仿宋"/>
          <w:sz w:val="32"/>
          <w:szCs w:val="32"/>
          <w:lang w:eastAsia="zh-CN"/>
        </w:rPr>
        <w:t>投产后</w:t>
      </w:r>
      <w:r>
        <w:rPr>
          <w:rFonts w:hint="eastAsia" w:ascii="仿宋_GB2312" w:hAnsi="仿宋" w:eastAsia="仿宋_GB2312" w:cs="仿宋"/>
          <w:sz w:val="32"/>
          <w:szCs w:val="32"/>
        </w:rPr>
        <w:t>应定期公示企业环境报告，公布污染物排放和环境管理情况。</w:t>
      </w:r>
    </w:p>
    <w:p>
      <w:pPr>
        <w:keepNext w:val="0"/>
        <w:keepLines w:val="0"/>
        <w:pageBreakBefore w:val="0"/>
        <w:widowControl w:val="0"/>
        <w:kinsoku/>
        <w:wordWrap/>
        <w:overflowPunct/>
        <w:topLinePunct w:val="0"/>
        <w:autoSpaceDN/>
        <w:bidi w:val="0"/>
        <w:spacing w:line="52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三、项目运行和竣工验收的环保要求</w:t>
      </w:r>
    </w:p>
    <w:p>
      <w:pPr>
        <w:keepNext w:val="0"/>
        <w:keepLines w:val="0"/>
        <w:pageBreakBefore w:val="0"/>
        <w:widowControl w:val="0"/>
        <w:kinsoku/>
        <w:wordWrap/>
        <w:overflowPunct/>
        <w:topLinePunct w:val="0"/>
        <w:autoSpaceDE w:val="0"/>
        <w:autoSpaceDN/>
        <w:bidi w:val="0"/>
        <w:spacing w:line="52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本项目建设必须严格执行环境保护设施与主体工程同时设计、同时施工、同时投入使用的环境保护“三同时”制度，落实环境影响报告书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keepNext w:val="0"/>
        <w:keepLines w:val="0"/>
        <w:pageBreakBefore w:val="0"/>
        <w:widowControl w:val="0"/>
        <w:kinsoku/>
        <w:wordWrap/>
        <w:overflowPunct/>
        <w:topLinePunct w:val="0"/>
        <w:autoSpaceDN/>
        <w:bidi w:val="0"/>
        <w:spacing w:line="52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四、其他环保要求</w:t>
      </w:r>
    </w:p>
    <w:p>
      <w:pPr>
        <w:keepNext w:val="0"/>
        <w:keepLines w:val="0"/>
        <w:pageBreakBefore w:val="0"/>
        <w:widowControl w:val="0"/>
        <w:kinsoku/>
        <w:wordWrap/>
        <w:overflowPunct/>
        <w:topLinePunct w:val="0"/>
        <w:autoSpaceDE w:val="0"/>
        <w:autoSpaceDN/>
        <w:bidi w:val="0"/>
        <w:adjustRightInd w:val="0"/>
        <w:snapToGrid w:val="0"/>
        <w:spacing w:line="520" w:lineRule="exact"/>
        <w:ind w:firstLine="640" w:firstLineChars="200"/>
        <w:textAlignment w:val="auto"/>
        <w:rPr>
          <w:rFonts w:ascii="仿宋_GB2312" w:eastAsia="仿宋_GB2312"/>
          <w:color w:val="000000"/>
          <w:sz w:val="32"/>
          <w:szCs w:val="32"/>
        </w:rPr>
      </w:pPr>
      <w:r>
        <w:rPr>
          <w:rFonts w:hint="eastAsia" w:ascii="楷体" w:hAnsi="楷体" w:eastAsia="楷体" w:cs="楷体"/>
          <w:color w:val="000000"/>
          <w:sz w:val="32"/>
          <w:szCs w:val="32"/>
        </w:rPr>
        <w:t>（一）项目变更环保要求。</w:t>
      </w:r>
      <w:r>
        <w:rPr>
          <w:rFonts w:hint="eastAsia" w:ascii="仿宋_GB2312" w:hAnsi="Calibri" w:eastAsia="仿宋_GB2312"/>
          <w:color w:val="000000"/>
          <w:sz w:val="32"/>
          <w:szCs w:val="32"/>
          <w:lang w:eastAsia="zh-CN"/>
        </w:rPr>
        <w:t>本项目批准后</w:t>
      </w:r>
      <w:r>
        <w:rPr>
          <w:rFonts w:hint="eastAsia" w:ascii="仿宋_GB2312" w:hAnsi="Calibri" w:eastAsia="仿宋_GB2312"/>
          <w:color w:val="000000"/>
          <w:sz w:val="32"/>
          <w:szCs w:val="32"/>
        </w:rPr>
        <w:t>，若项目建设性质、规模、地点、内容、采用的生产工艺或者防治污染的措施等发生重大变化应重新报批环境影响评价文件，审批后超过5年方动工建设的，应当报我局重新审核。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widowControl w:val="0"/>
        <w:kinsoku/>
        <w:wordWrap/>
        <w:overflowPunct/>
        <w:topLinePunct w:val="0"/>
        <w:autoSpaceDN/>
        <w:bidi w:val="0"/>
        <w:spacing w:line="520" w:lineRule="exact"/>
        <w:ind w:firstLine="640" w:firstLineChars="200"/>
        <w:textAlignment w:val="auto"/>
        <w:rPr>
          <w:rFonts w:hint="eastAsia" w:ascii="仿宋_GB2312" w:hAnsi="仿宋_GB2312" w:eastAsia="仿宋_GB2312" w:cs="仿宋_GB2312"/>
          <w:bCs/>
          <w:color w:val="000000"/>
          <w:sz w:val="32"/>
          <w:szCs w:val="32"/>
        </w:rPr>
      </w:pPr>
      <w:r>
        <w:rPr>
          <w:rFonts w:hint="eastAsia" w:ascii="楷体" w:hAnsi="楷体" w:eastAsia="楷体" w:cs="楷体"/>
          <w:color w:val="000000"/>
          <w:sz w:val="32"/>
          <w:szCs w:val="32"/>
        </w:rPr>
        <w:t>（二）排污许可要求。</w:t>
      </w:r>
      <w:r>
        <w:rPr>
          <w:rFonts w:hint="eastAsia" w:ascii="仿宋_GB2312" w:hAnsi="仿宋_GB2312" w:eastAsia="仿宋_GB2312" w:cs="仿宋_GB2312"/>
          <w:bCs/>
          <w:color w:val="000000"/>
          <w:sz w:val="32"/>
          <w:szCs w:val="32"/>
        </w:rPr>
        <w:t>你公司应在启动生产设施或者发生实际排污之前申请取得排污许可证或填报排污登记表。</w:t>
      </w:r>
    </w:p>
    <w:p>
      <w:pPr>
        <w:keepNext w:val="0"/>
        <w:keepLines w:val="0"/>
        <w:pageBreakBefore w:val="0"/>
        <w:widowControl w:val="0"/>
        <w:kinsoku/>
        <w:wordWrap/>
        <w:overflowPunct/>
        <w:topLinePunct w:val="0"/>
        <w:autoSpaceDE w:val="0"/>
        <w:autoSpaceDN/>
        <w:bidi w:val="0"/>
        <w:spacing w:line="520" w:lineRule="exact"/>
        <w:ind w:firstLine="640" w:firstLineChars="200"/>
        <w:textAlignment w:val="auto"/>
        <w:rPr>
          <w:rFonts w:hint="eastAsia" w:ascii="仿宋_GB2312" w:eastAsia="仿宋_GB2312"/>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三</w:t>
      </w:r>
      <w:r>
        <w:rPr>
          <w:rFonts w:hint="eastAsia" w:ascii="楷体" w:hAnsi="楷体" w:eastAsia="楷体" w:cs="楷体"/>
          <w:color w:val="000000"/>
          <w:sz w:val="32"/>
          <w:szCs w:val="32"/>
        </w:rPr>
        <w:t>）日常环保监管。</w:t>
      </w:r>
      <w:r>
        <w:rPr>
          <w:rFonts w:hint="eastAsia" w:ascii="仿宋_GB2312" w:eastAsia="仿宋_GB2312"/>
          <w:color w:val="000000"/>
          <w:sz w:val="32"/>
          <w:szCs w:val="32"/>
        </w:rPr>
        <w:t>请</w:t>
      </w:r>
      <w:r>
        <w:rPr>
          <w:rFonts w:hint="eastAsia" w:ascii="仿宋_GB2312" w:eastAsia="仿宋_GB2312"/>
          <w:color w:val="000000"/>
          <w:sz w:val="32"/>
          <w:szCs w:val="32"/>
          <w:lang w:val="en-US" w:eastAsia="zh-CN"/>
        </w:rPr>
        <w:t>宜春市生态环境保护综合执法支队和</w:t>
      </w:r>
      <w:r>
        <w:rPr>
          <w:rFonts w:hint="eastAsia" w:ascii="仿宋_GB2312" w:eastAsia="仿宋_GB2312"/>
          <w:color w:val="000000"/>
          <w:sz w:val="32"/>
          <w:szCs w:val="32"/>
        </w:rPr>
        <w:t>宜春市</w:t>
      </w:r>
      <w:r>
        <w:rPr>
          <w:rFonts w:hint="eastAsia" w:ascii="仿宋_GB2312" w:eastAsia="仿宋_GB2312"/>
          <w:color w:val="000000"/>
          <w:sz w:val="32"/>
          <w:szCs w:val="32"/>
          <w:lang w:val="en-US" w:eastAsia="zh-CN"/>
        </w:rPr>
        <w:t>高安</w:t>
      </w:r>
      <w:r>
        <w:rPr>
          <w:rFonts w:hint="eastAsia" w:ascii="仿宋_GB2312" w:eastAsia="仿宋_GB2312"/>
          <w:color w:val="000000"/>
          <w:sz w:val="32"/>
          <w:szCs w:val="32"/>
        </w:rPr>
        <w:t>生态环境局加强对该项目的环境监管，你公司应在收到本批复后20个工作日内，将批准后的</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报告书</w:t>
      </w:r>
      <w:r>
        <w:rPr>
          <w:rFonts w:hint="eastAsia" w:ascii="仿宋_GB2312" w:eastAsia="仿宋_GB2312"/>
          <w:color w:val="000000"/>
          <w:sz w:val="32"/>
          <w:szCs w:val="32"/>
          <w:lang w:eastAsia="zh-CN"/>
        </w:rPr>
        <w:t>》</w:t>
      </w:r>
      <w:r>
        <w:rPr>
          <w:rFonts w:hint="eastAsia" w:ascii="仿宋_GB2312" w:eastAsia="仿宋_GB2312"/>
          <w:color w:val="000000"/>
          <w:sz w:val="32"/>
          <w:szCs w:val="32"/>
        </w:rPr>
        <w:t>送至宜春市</w:t>
      </w:r>
      <w:r>
        <w:rPr>
          <w:rFonts w:hint="eastAsia" w:ascii="仿宋_GB2312" w:eastAsia="仿宋_GB2312"/>
          <w:color w:val="000000"/>
          <w:sz w:val="32"/>
          <w:szCs w:val="32"/>
          <w:lang w:val="en-US" w:eastAsia="zh-CN"/>
        </w:rPr>
        <w:t>高安</w:t>
      </w:r>
      <w:r>
        <w:rPr>
          <w:rFonts w:hint="eastAsia" w:ascii="仿宋_GB2312" w:eastAsia="仿宋_GB2312"/>
          <w:color w:val="000000"/>
          <w:sz w:val="32"/>
          <w:szCs w:val="32"/>
        </w:rPr>
        <w:t>生态环境局并按规定接受各级生态环境主管部门的监督检查。</w:t>
      </w:r>
    </w:p>
    <w:p>
      <w:pPr>
        <w:pStyle w:val="9"/>
        <w:keepNext w:val="0"/>
        <w:keepLines w:val="0"/>
        <w:pageBreakBefore w:val="0"/>
        <w:widowControl w:val="0"/>
        <w:kinsoku/>
        <w:wordWrap/>
        <w:overflowPunct/>
        <w:topLinePunct w:val="0"/>
        <w:autoSpaceDN/>
        <w:bidi w:val="0"/>
        <w:spacing w:line="520" w:lineRule="exact"/>
        <w:ind w:firstLine="640" w:firstLineChars="200"/>
        <w:textAlignment w:val="auto"/>
        <w:rPr>
          <w:rFonts w:hint="eastAsia" w:eastAsia="仿宋_GB2312"/>
          <w:lang w:eastAsia="zh-CN"/>
        </w:rPr>
      </w:pPr>
      <w:r>
        <w:rPr>
          <w:rFonts w:hint="eastAsia" w:ascii="楷体" w:hAnsi="楷体" w:eastAsia="楷体" w:cs="楷体"/>
          <w:color w:val="000000"/>
          <w:kern w:val="2"/>
          <w:sz w:val="32"/>
          <w:szCs w:val="32"/>
          <w:lang w:val="en-US" w:eastAsia="zh-CN" w:bidi="ar-SA"/>
        </w:rPr>
        <w:t>（四）其他管理要求</w:t>
      </w:r>
      <w:r>
        <w:rPr>
          <w:rFonts w:hint="eastAsia" w:ascii="仿宋_GB2312" w:hAnsi="仿宋_GB2312" w:eastAsia="仿宋_GB2312" w:cs="仿宋_GB2312"/>
          <w:bCs/>
          <w:color w:val="000000"/>
          <w:sz w:val="32"/>
          <w:szCs w:val="32"/>
          <w:lang w:eastAsia="zh-CN"/>
        </w:rPr>
        <w:t>。</w:t>
      </w:r>
      <w:r>
        <w:rPr>
          <w:rFonts w:hint="eastAsia" w:ascii="仿宋_GB2312" w:hAnsi="仿宋" w:eastAsia="仿宋_GB2312" w:cs="Times New Roman"/>
          <w:color w:val="000000"/>
          <w:kern w:val="0"/>
          <w:sz w:val="32"/>
          <w:szCs w:val="32"/>
          <w:lang w:val="en-US" w:eastAsia="zh-CN" w:bidi="ar-SA"/>
        </w:rPr>
        <w:t>项目产品长石粉应有明确可行的下游销售渠道。如暂时无法外售，应参照一般工业固体废物管理要求进行收集、贮存、处置，落实防雨、防渗、单独区域储存等措施，并建立专门台账，不得随意倾倒，污染环境。</w:t>
      </w:r>
    </w:p>
    <w:p>
      <w:pPr>
        <w:pageBreakBefore w:val="0"/>
        <w:widowControl w:val="0"/>
        <w:kinsoku/>
        <w:wordWrap/>
        <w:overflowPunct/>
        <w:topLinePunct w:val="0"/>
        <w:autoSpaceDN/>
        <w:bidi w:val="0"/>
        <w:spacing w:line="520" w:lineRule="exact"/>
        <w:ind w:right="1077"/>
        <w:jc w:val="right"/>
        <w:textAlignment w:val="auto"/>
        <w:rPr>
          <w:rFonts w:hint="eastAsia" w:ascii="仿宋_GB2312" w:hAnsi="华文仿宋" w:eastAsia="仿宋_GB2312"/>
          <w:sz w:val="32"/>
          <w:szCs w:val="32"/>
        </w:rPr>
      </w:pPr>
    </w:p>
    <w:p>
      <w:pPr>
        <w:pageBreakBefore w:val="0"/>
        <w:widowControl w:val="0"/>
        <w:kinsoku/>
        <w:wordWrap/>
        <w:overflowPunct/>
        <w:topLinePunct w:val="0"/>
        <w:autoSpaceDN/>
        <w:bidi w:val="0"/>
        <w:spacing w:line="520" w:lineRule="exact"/>
        <w:ind w:right="1077"/>
        <w:jc w:val="both"/>
        <w:textAlignment w:val="auto"/>
        <w:rPr>
          <w:rFonts w:hint="eastAsia" w:ascii="仿宋_GB2312" w:hAnsi="华文仿宋" w:eastAsia="仿宋_GB2312"/>
          <w:sz w:val="32"/>
          <w:szCs w:val="32"/>
        </w:rPr>
      </w:pPr>
    </w:p>
    <w:p>
      <w:pPr>
        <w:pStyle w:val="2"/>
        <w:rPr>
          <w:rFonts w:hint="eastAsia"/>
        </w:rPr>
      </w:pPr>
    </w:p>
    <w:p>
      <w:pPr>
        <w:pageBreakBefore w:val="0"/>
        <w:widowControl w:val="0"/>
        <w:kinsoku/>
        <w:wordWrap/>
        <w:overflowPunct/>
        <w:topLinePunct w:val="0"/>
        <w:autoSpaceDN/>
        <w:bidi w:val="0"/>
        <w:spacing w:line="520" w:lineRule="exact"/>
        <w:ind w:right="1077"/>
        <w:jc w:val="right"/>
        <w:textAlignment w:val="auto"/>
        <w:rPr>
          <w:rFonts w:ascii="仿宋_GB2312" w:hAnsi="华文仿宋" w:eastAsia="仿宋_GB2312"/>
          <w:sz w:val="32"/>
          <w:szCs w:val="32"/>
        </w:rPr>
      </w:pPr>
      <w:r>
        <w:rPr>
          <w:rFonts w:hint="eastAsia" w:ascii="仿宋_GB2312" w:hAnsi="华文仿宋" w:eastAsia="仿宋_GB2312"/>
          <w:sz w:val="32"/>
          <w:szCs w:val="32"/>
        </w:rPr>
        <w:t>宜春市生态环境局</w:t>
      </w:r>
    </w:p>
    <w:p>
      <w:pPr>
        <w:keepNext w:val="0"/>
        <w:keepLines w:val="0"/>
        <w:pageBreakBefore w:val="0"/>
        <w:widowControl w:val="0"/>
        <w:tabs>
          <w:tab w:val="left" w:pos="7655"/>
          <w:tab w:val="left" w:pos="7797"/>
        </w:tabs>
        <w:kinsoku/>
        <w:wordWrap/>
        <w:overflowPunct/>
        <w:topLinePunct w:val="0"/>
        <w:autoSpaceDE/>
        <w:autoSpaceDN/>
        <w:bidi w:val="0"/>
        <w:adjustRightInd/>
        <w:snapToGrid/>
        <w:spacing w:line="520" w:lineRule="exact"/>
        <w:ind w:firstLine="80" w:firstLineChars="25"/>
        <w:textAlignment w:val="auto"/>
        <w:rPr>
          <w:rFonts w:hint="eastAsia" w:ascii="仿宋_GB2312" w:hAnsi="华文仿宋"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color w:val="FF0000"/>
          <w:sz w:val="32"/>
          <w:szCs w:val="32"/>
        </w:rPr>
        <w:t xml:space="preserve"> </w:t>
      </w:r>
      <w:r>
        <w:rPr>
          <w:rFonts w:hint="eastAsia" w:ascii="仿宋_GB2312" w:hAnsi="华文仿宋" w:eastAsia="仿宋_GB2312"/>
          <w:sz w:val="32"/>
          <w:szCs w:val="32"/>
        </w:rPr>
        <w:t>2022年</w:t>
      </w:r>
      <w:r>
        <w:rPr>
          <w:rFonts w:hint="eastAsia" w:ascii="仿宋_GB2312" w:hAnsi="华文仿宋" w:eastAsia="仿宋_GB2312"/>
          <w:sz w:val="32"/>
          <w:szCs w:val="32"/>
          <w:lang w:val="en-US" w:eastAsia="zh-CN"/>
        </w:rPr>
        <w:t>11</w:t>
      </w:r>
      <w:r>
        <w:rPr>
          <w:rFonts w:hint="eastAsia" w:ascii="仿宋_GB2312" w:hAnsi="华文仿宋" w:eastAsia="仿宋_GB2312"/>
          <w:sz w:val="32"/>
          <w:szCs w:val="32"/>
        </w:rPr>
        <w:t>月</w:t>
      </w:r>
      <w:r>
        <w:rPr>
          <w:rFonts w:hint="eastAsia" w:ascii="仿宋_GB2312" w:hAnsi="华文仿宋" w:eastAsia="仿宋_GB2312"/>
          <w:sz w:val="32"/>
          <w:szCs w:val="32"/>
          <w:lang w:val="en-US" w:eastAsia="zh-CN"/>
        </w:rPr>
        <w:t>1</w:t>
      </w:r>
      <w:r>
        <w:rPr>
          <w:rFonts w:hint="eastAsia" w:ascii="仿宋_GB2312" w:hAnsi="华文仿宋" w:eastAsia="仿宋_GB2312"/>
          <w:sz w:val="32"/>
          <w:szCs w:val="32"/>
        </w:rPr>
        <w:t>日</w:t>
      </w:r>
    </w:p>
    <w:p>
      <w:pPr>
        <w:pStyle w:val="10"/>
        <w:rPr>
          <w:rFonts w:hint="eastAsia"/>
        </w:rPr>
      </w:pPr>
    </w:p>
    <w:p>
      <w:pPr>
        <w:pStyle w:val="16"/>
        <w:widowControl/>
        <w:spacing w:line="560" w:lineRule="exact"/>
        <w:ind w:right="840" w:rightChars="400" w:firstLine="640" w:firstLineChars="200"/>
        <w:rPr>
          <w:rFonts w:hint="eastAsia" w:ascii="仿宋_GB2312" w:hAnsi="仿宋" w:eastAsia="仿宋_GB2312" w:cs="仿宋"/>
          <w:color w:val="000000"/>
          <w:sz w:val="30"/>
          <w:szCs w:val="30"/>
          <w:u w:val="single"/>
        </w:rPr>
      </w:pPr>
      <w:r>
        <w:rPr>
          <w:rFonts w:hint="eastAsia" w:ascii="仿宋_GB2312" w:hAnsi="仿宋" w:eastAsia="仿宋_GB2312"/>
          <w:sz w:val="32"/>
        </w:rPr>
        <w:t>（此件</w:t>
      </w:r>
      <w:r>
        <w:rPr>
          <w:rFonts w:hint="eastAsia" w:ascii="仿宋_GB2312" w:hAnsi="仿宋" w:eastAsia="仿宋_GB2312"/>
          <w:sz w:val="32"/>
          <w:lang w:eastAsia="zh-CN"/>
        </w:rPr>
        <w:t>主动</w:t>
      </w:r>
      <w:r>
        <w:rPr>
          <w:rFonts w:hint="eastAsia" w:ascii="仿宋_GB2312" w:hAnsi="仿宋" w:eastAsia="仿宋_GB2312"/>
          <w:sz w:val="32"/>
        </w:rPr>
        <w:t>公开）</w:t>
      </w: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pStyle w:val="2"/>
        <w:rPr>
          <w:rFonts w:hint="eastAsia" w:ascii="仿宋_GB2312" w:hAnsi="仿宋" w:eastAsia="仿宋_GB2312" w:cs="仿宋"/>
          <w:color w:val="000000"/>
          <w:sz w:val="30"/>
          <w:szCs w:val="30"/>
          <w:u w:val="single"/>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p>
      <w:pPr>
        <w:spacing w:line="460" w:lineRule="exact"/>
        <w:ind w:left="910" w:leftChars="100" w:right="210" w:rightChars="100" w:hanging="700" w:hangingChars="250"/>
        <w:rPr>
          <w:rFonts w:hint="eastAsia" w:ascii="仿宋_GB2312" w:eastAsia="仿宋_GB2312"/>
          <w:spacing w:val="-6"/>
          <w:sz w:val="28"/>
          <w:szCs w:val="28"/>
        </w:rPr>
      </w:pPr>
      <w:r>
        <w:rPr>
          <w:rFonts w:hint="eastAsia" w:ascii="仿宋_GB2312" w:hAnsi="宋体" w:eastAsia="仿宋_GB2312"/>
          <w:sz w:val="28"/>
          <w:szCs w:val="28"/>
        </w:rPr>
        <w:t>抄送:</w:t>
      </w:r>
      <w:r>
        <w:rPr>
          <w:rFonts w:hint="eastAsia" w:ascii="仿宋_GB2312" w:hAnsi="宋体" w:eastAsia="仿宋_GB2312"/>
          <w:sz w:val="28"/>
          <w:szCs w:val="28"/>
          <w:lang w:eastAsia="zh-CN"/>
        </w:rPr>
        <w:t>高安市</w:t>
      </w:r>
      <w:r>
        <w:rPr>
          <w:rFonts w:hint="eastAsia" w:ascii="仿宋_GB2312" w:hAnsi="宋体" w:eastAsia="仿宋_GB2312"/>
          <w:sz w:val="28"/>
          <w:szCs w:val="28"/>
          <w:lang w:val="en-US" w:eastAsia="zh-CN"/>
        </w:rPr>
        <w:t>人民政府</w:t>
      </w:r>
      <w:r>
        <w:rPr>
          <w:rFonts w:hint="eastAsia" w:ascii="仿宋_GB2312" w:hAnsi="宋体" w:eastAsia="仿宋_GB2312"/>
          <w:sz w:val="28"/>
          <w:szCs w:val="28"/>
          <w:lang w:eastAsia="zh-CN"/>
        </w:rPr>
        <w:t>、</w:t>
      </w:r>
      <w:r>
        <w:rPr>
          <w:rFonts w:hint="eastAsia" w:ascii="仿宋_GB2312" w:hAnsi="华文仿宋" w:eastAsia="仿宋_GB2312"/>
          <w:spacing w:val="-6"/>
          <w:sz w:val="28"/>
          <w:szCs w:val="32"/>
        </w:rPr>
        <w:t>宜春市</w:t>
      </w:r>
      <w:r>
        <w:rPr>
          <w:rFonts w:hint="eastAsia" w:ascii="仿宋_GB2312" w:hAnsi="华文仿宋" w:eastAsia="仿宋_GB2312"/>
          <w:spacing w:val="-6"/>
          <w:sz w:val="28"/>
          <w:szCs w:val="32"/>
          <w:lang w:val="en-US" w:eastAsia="zh-CN"/>
        </w:rPr>
        <w:t>高安</w:t>
      </w:r>
      <w:r>
        <w:rPr>
          <w:rFonts w:hint="eastAsia" w:ascii="仿宋_GB2312" w:hAnsi="华文仿宋" w:eastAsia="仿宋_GB2312"/>
          <w:spacing w:val="-6"/>
          <w:sz w:val="28"/>
          <w:szCs w:val="32"/>
        </w:rPr>
        <w:t>生态</w:t>
      </w:r>
      <w:r>
        <w:rPr>
          <w:rFonts w:hint="eastAsia" w:ascii="仿宋_GB2312" w:eastAsia="仿宋_GB2312"/>
          <w:sz w:val="28"/>
          <w:szCs w:val="32"/>
        </w:rPr>
        <w:t>环境局，局相关科室，局直属相关单位，</w:t>
      </w:r>
      <w:r>
        <w:rPr>
          <w:rFonts w:hint="eastAsia" w:ascii="仿宋_GB2312" w:eastAsia="仿宋_GB2312"/>
          <w:sz w:val="28"/>
          <w:szCs w:val="32"/>
          <w:lang w:eastAsia="zh-CN"/>
        </w:rPr>
        <w:t>江西</w:t>
      </w:r>
      <w:r>
        <w:rPr>
          <w:rFonts w:hint="eastAsia" w:ascii="仿宋_GB2312" w:eastAsia="仿宋_GB2312"/>
          <w:sz w:val="28"/>
          <w:szCs w:val="32"/>
        </w:rPr>
        <w:t>斐然向风环保咨询有限公司</w:t>
      </w:r>
      <w:r>
        <w:rPr>
          <w:rFonts w:hint="eastAsia" w:ascii="仿宋_GB2312" w:eastAsia="仿宋_GB2312"/>
          <w:spacing w:val="-6"/>
          <w:sz w:val="28"/>
          <w:szCs w:val="28"/>
        </w:rPr>
        <w:t>。</w:t>
      </w:r>
    </w:p>
    <w:p>
      <w:pPr>
        <w:spacing w:line="140" w:lineRule="exact"/>
        <w:rPr>
          <w:rFonts w:hint="default" w:ascii="仿宋_GB2312" w:eastAsia="仿宋_GB2312"/>
          <w:sz w:val="32"/>
          <w:szCs w:val="32"/>
          <w:lang w:val="en-US" w:eastAsia="zh-CN"/>
        </w:rPr>
      </w:pP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1050" w:leftChars="100" w:right="210" w:rightChars="100" w:hanging="840" w:hangingChars="300"/>
        <w:jc w:val="left"/>
        <w:textAlignment w:val="auto"/>
        <w:rPr>
          <w:rFonts w:hint="eastAsia" w:ascii="仿宋_GB2312" w:hAnsi="仿宋" w:eastAsia="仿宋_GB2312" w:cs="仿宋"/>
          <w:color w:val="000000"/>
          <w:sz w:val="28"/>
          <w:szCs w:val="28"/>
          <w:u w:val="none"/>
        </w:rPr>
      </w:pPr>
      <w:r>
        <w:rPr>
          <w:rFonts w:hint="eastAsia" w:ascii="仿宋_GB2312" w:hAnsi="仿宋" w:eastAsia="仿宋_GB2312" w:cs="仿宋"/>
          <w:color w:val="000000"/>
          <w:sz w:val="28"/>
          <w:szCs w:val="28"/>
          <w:u w:val="none"/>
          <w:lang w:eastAsia="zh-CN"/>
        </w:rPr>
        <w:t>宜春市生态环境局秘书科</w:t>
      </w:r>
      <w:r>
        <w:rPr>
          <w:rFonts w:hint="eastAsia" w:ascii="仿宋_GB2312" w:hAnsi="仿宋" w:eastAsia="仿宋_GB2312" w:cs="仿宋"/>
          <w:color w:val="000000"/>
          <w:sz w:val="28"/>
          <w:szCs w:val="28"/>
          <w:u w:val="none"/>
          <w:lang w:val="en-US" w:eastAsia="zh-CN"/>
        </w:rPr>
        <w:t xml:space="preserve">         </w:t>
      </w:r>
      <w:bookmarkStart w:id="0" w:name="_GoBack"/>
      <w:bookmarkEnd w:id="0"/>
      <w:r>
        <w:rPr>
          <w:rFonts w:hint="eastAsia" w:ascii="仿宋_GB2312" w:hAnsi="仿宋" w:eastAsia="仿宋_GB2312" w:cs="仿宋"/>
          <w:color w:val="000000"/>
          <w:sz w:val="28"/>
          <w:szCs w:val="28"/>
          <w:u w:val="none"/>
          <w:lang w:val="en-US" w:eastAsia="zh-CN"/>
        </w:rPr>
        <w:t xml:space="preserve">         2</w:t>
      </w:r>
      <w:r>
        <w:rPr>
          <w:rFonts w:hint="eastAsia" w:ascii="仿宋_GB2312" w:hAnsi="宋体" w:eastAsia="仿宋_GB2312"/>
          <w:bCs/>
          <w:color w:val="000000" w:themeColor="text1"/>
          <w:sz w:val="28"/>
          <w:szCs w:val="32"/>
          <w:lang w:val="en-US" w:eastAsia="zh-CN"/>
          <w14:textFill>
            <w14:solidFill>
              <w14:schemeClr w14:val="tx1"/>
            </w14:solidFill>
          </w14:textFill>
        </w:rPr>
        <w:t>022年11月1日印发</w:t>
      </w:r>
    </w:p>
    <w:p>
      <w:pPr>
        <w:keepNext w:val="0"/>
        <w:keepLines w:val="0"/>
        <w:pageBreakBefore w:val="0"/>
        <w:widowControl w:val="0"/>
        <w:kinsoku/>
        <w:wordWrap/>
        <w:overflowPunct/>
        <w:topLinePunct w:val="0"/>
        <w:autoSpaceDE/>
        <w:autoSpaceDN/>
        <w:bidi w:val="0"/>
        <w:adjustRightInd/>
        <w:snapToGrid/>
        <w:spacing w:line="100" w:lineRule="exact"/>
        <w:ind w:left="0" w:hanging="1050" w:hangingChars="350"/>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sectPr>
      <w:footerReference r:id="rId3" w:type="default"/>
      <w:pgSz w:w="11906" w:h="16838"/>
      <w:pgMar w:top="2098" w:right="1587" w:bottom="1984" w:left="1587"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8"/>
    <w:family w:val="modern"/>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QJJ5fHAQAAmQMAAA4AAAAAAAAA&#10;AQAgAAAANAEAAGRycy9lMm9Eb2MueG1sUEsFBgAAAAAGAAYAWQEAAG0FAAAAAA==&#10;">
              <v:fill on="f" focussize="0,0"/>
              <v:stroke on="f"/>
              <v:imagedata o:title=""/>
              <o:lock v:ext="edit" aspectratio="f"/>
              <v:textbox inset="0mm,0mm,0mm,0mm" style="mso-fit-shape-to-text:t;">
                <w:txbxContent>
                  <w:p>
                    <w:pPr>
                      <w:pStyle w:val="1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FF4DF3"/>
    <w:multiLevelType w:val="singleLevel"/>
    <w:tmpl w:val="CBFF4DF3"/>
    <w:lvl w:ilvl="0" w:tentative="0">
      <w:start w:val="1"/>
      <w:numFmt w:val="chineseCounting"/>
      <w:suff w:val="nothing"/>
      <w:lvlText w:val="（%1）"/>
      <w:lvlJc w:val="left"/>
      <w:rPr>
        <w:rFonts w:hint="eastAsia"/>
      </w:rPr>
    </w:lvl>
  </w:abstractNum>
  <w:abstractNum w:abstractNumId="1">
    <w:nsid w:val="54B8B783"/>
    <w:multiLevelType w:val="multilevel"/>
    <w:tmpl w:val="54B8B783"/>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ascii="宋体" w:hAnsi="宋体" w:eastAsia="宋体" w:cs="宋体"/>
      </w:rPr>
    </w:lvl>
    <w:lvl w:ilvl="2" w:tentative="0">
      <w:start w:val="1"/>
      <w:numFmt w:val="decimal"/>
      <w:lvlText w:val="%1.%2.%3."/>
      <w:lvlJc w:val="left"/>
      <w:pPr>
        <w:tabs>
          <w:tab w:val="left" w:pos="709"/>
        </w:tabs>
        <w:ind w:left="709" w:hanging="709"/>
      </w:pPr>
      <w:rPr>
        <w:rFonts w:hint="default" w:ascii="宋体" w:hAnsi="宋体" w:eastAsia="宋体" w:cs="宋体"/>
      </w:rPr>
    </w:lvl>
    <w:lvl w:ilvl="3" w:tentative="0">
      <w:start w:val="1"/>
      <w:numFmt w:val="decimal"/>
      <w:pStyle w:val="6"/>
      <w:lvlText w:val="%1.%2.%3.%4."/>
      <w:lvlJc w:val="left"/>
      <w:pPr>
        <w:tabs>
          <w:tab w:val="left" w:pos="850"/>
        </w:tabs>
        <w:ind w:left="850" w:hanging="850"/>
      </w:pPr>
      <w:rPr>
        <w:rFonts w:hint="default" w:ascii="宋体" w:hAnsi="宋体" w:eastAsia="宋体" w:cs="宋体"/>
      </w:rPr>
    </w:lvl>
    <w:lvl w:ilvl="4" w:tentative="0">
      <w:start w:val="1"/>
      <w:numFmt w:val="decimal"/>
      <w:lvlText w:val="%1.%2.%3.%4.%5."/>
      <w:lvlJc w:val="left"/>
      <w:pPr>
        <w:tabs>
          <w:tab w:val="left" w:pos="991"/>
        </w:tabs>
        <w:ind w:left="991" w:hanging="991"/>
      </w:pPr>
      <w:rPr>
        <w:rFonts w:hint="default" w:ascii="宋体" w:hAnsi="宋体" w:eastAsia="宋体" w:cs="宋体"/>
      </w:rPr>
    </w:lvl>
    <w:lvl w:ilvl="5" w:tentative="0">
      <w:start w:val="1"/>
      <w:numFmt w:val="decimal"/>
      <w:lvlText w:val="%1.%2.%3.%4.%5.%6."/>
      <w:lvlJc w:val="left"/>
      <w:pPr>
        <w:tabs>
          <w:tab w:val="left" w:pos="1134"/>
        </w:tabs>
        <w:ind w:left="1134" w:hanging="1134"/>
      </w:pPr>
      <w:rPr>
        <w:rFonts w:hint="default" w:ascii="宋体" w:hAnsi="宋体" w:eastAsia="宋体" w:cs="宋体"/>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kZDQ3ZjU1ZDUxYjA3YmNjMjY4ZDVhOWQwODk2YjcifQ=="/>
  </w:docVars>
  <w:rsids>
    <w:rsidRoot w:val="006B467D"/>
    <w:rsid w:val="00041B93"/>
    <w:rsid w:val="001C3BC7"/>
    <w:rsid w:val="001F081D"/>
    <w:rsid w:val="001F4AD4"/>
    <w:rsid w:val="00231263"/>
    <w:rsid w:val="00264DFF"/>
    <w:rsid w:val="0029574C"/>
    <w:rsid w:val="002A6121"/>
    <w:rsid w:val="002D36C8"/>
    <w:rsid w:val="003A09F5"/>
    <w:rsid w:val="00460A78"/>
    <w:rsid w:val="0057560A"/>
    <w:rsid w:val="005E59AF"/>
    <w:rsid w:val="00644899"/>
    <w:rsid w:val="006B467D"/>
    <w:rsid w:val="007560D8"/>
    <w:rsid w:val="0077442E"/>
    <w:rsid w:val="00914FB4"/>
    <w:rsid w:val="009402E4"/>
    <w:rsid w:val="009B44DF"/>
    <w:rsid w:val="009C4711"/>
    <w:rsid w:val="00A37078"/>
    <w:rsid w:val="00A415B5"/>
    <w:rsid w:val="00A60CA5"/>
    <w:rsid w:val="00B31BAC"/>
    <w:rsid w:val="00B60F18"/>
    <w:rsid w:val="00B77C27"/>
    <w:rsid w:val="00B849F8"/>
    <w:rsid w:val="00BB5BB4"/>
    <w:rsid w:val="00BD2CE5"/>
    <w:rsid w:val="00C04E94"/>
    <w:rsid w:val="00C23D98"/>
    <w:rsid w:val="00D0459C"/>
    <w:rsid w:val="00D06919"/>
    <w:rsid w:val="00D22F21"/>
    <w:rsid w:val="00D406FB"/>
    <w:rsid w:val="00DF1A97"/>
    <w:rsid w:val="00E73849"/>
    <w:rsid w:val="00F704E2"/>
    <w:rsid w:val="00F74BA4"/>
    <w:rsid w:val="00FC1B12"/>
    <w:rsid w:val="012732BA"/>
    <w:rsid w:val="012F2C7B"/>
    <w:rsid w:val="01703D1E"/>
    <w:rsid w:val="0179160B"/>
    <w:rsid w:val="017C52DD"/>
    <w:rsid w:val="01860F84"/>
    <w:rsid w:val="01992B72"/>
    <w:rsid w:val="01A4060B"/>
    <w:rsid w:val="01B612A4"/>
    <w:rsid w:val="01C46E2A"/>
    <w:rsid w:val="01DD1D6E"/>
    <w:rsid w:val="01E66AA5"/>
    <w:rsid w:val="021467C2"/>
    <w:rsid w:val="025331B3"/>
    <w:rsid w:val="02591E01"/>
    <w:rsid w:val="027C0F4C"/>
    <w:rsid w:val="027F62BA"/>
    <w:rsid w:val="03026814"/>
    <w:rsid w:val="030C6980"/>
    <w:rsid w:val="03336D8A"/>
    <w:rsid w:val="035816F4"/>
    <w:rsid w:val="03842595"/>
    <w:rsid w:val="04011366"/>
    <w:rsid w:val="04032C8E"/>
    <w:rsid w:val="040844BC"/>
    <w:rsid w:val="045D155C"/>
    <w:rsid w:val="047E6FDC"/>
    <w:rsid w:val="049B7758"/>
    <w:rsid w:val="04BC26AE"/>
    <w:rsid w:val="04C06FA9"/>
    <w:rsid w:val="05075043"/>
    <w:rsid w:val="050B1C9F"/>
    <w:rsid w:val="05131E7D"/>
    <w:rsid w:val="05146604"/>
    <w:rsid w:val="055924D7"/>
    <w:rsid w:val="057D502A"/>
    <w:rsid w:val="05897CDE"/>
    <w:rsid w:val="058C31DC"/>
    <w:rsid w:val="058D3327"/>
    <w:rsid w:val="05B16C1D"/>
    <w:rsid w:val="05E730FB"/>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C169A"/>
    <w:rsid w:val="0A0A16AE"/>
    <w:rsid w:val="0A2150FA"/>
    <w:rsid w:val="0A4F6CD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89709B"/>
    <w:rsid w:val="0F8E0D44"/>
    <w:rsid w:val="0FB96372"/>
    <w:rsid w:val="0FC37304"/>
    <w:rsid w:val="0FCE6CA6"/>
    <w:rsid w:val="0FDF7909"/>
    <w:rsid w:val="0FEF586D"/>
    <w:rsid w:val="0FFED1D8"/>
    <w:rsid w:val="100E61F1"/>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F36AC7"/>
    <w:rsid w:val="13145380"/>
    <w:rsid w:val="136A680D"/>
    <w:rsid w:val="13967CA7"/>
    <w:rsid w:val="13D777E7"/>
    <w:rsid w:val="14032E0E"/>
    <w:rsid w:val="1411085C"/>
    <w:rsid w:val="14120302"/>
    <w:rsid w:val="144F64EE"/>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5F8C384"/>
    <w:rsid w:val="169D6C0C"/>
    <w:rsid w:val="16A060B1"/>
    <w:rsid w:val="16BD7BFC"/>
    <w:rsid w:val="16C00BCF"/>
    <w:rsid w:val="16C200A7"/>
    <w:rsid w:val="16C54EE5"/>
    <w:rsid w:val="16C54FCF"/>
    <w:rsid w:val="16E06F52"/>
    <w:rsid w:val="16F05CB3"/>
    <w:rsid w:val="16F7346E"/>
    <w:rsid w:val="17006955"/>
    <w:rsid w:val="1703397C"/>
    <w:rsid w:val="17125099"/>
    <w:rsid w:val="171B0308"/>
    <w:rsid w:val="172C4E9D"/>
    <w:rsid w:val="173B5E82"/>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A72"/>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4648B6"/>
    <w:rsid w:val="1B704E36"/>
    <w:rsid w:val="1B850928"/>
    <w:rsid w:val="1BA209B9"/>
    <w:rsid w:val="1BB147EF"/>
    <w:rsid w:val="1BB7CF60"/>
    <w:rsid w:val="1BBD4F55"/>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E7C7B"/>
    <w:rsid w:val="1D7F7B99"/>
    <w:rsid w:val="1DB924E9"/>
    <w:rsid w:val="1DC74215"/>
    <w:rsid w:val="1DE7DC64"/>
    <w:rsid w:val="1DF41A03"/>
    <w:rsid w:val="1DF722E9"/>
    <w:rsid w:val="1E7ED145"/>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F046"/>
    <w:rsid w:val="1FD1682D"/>
    <w:rsid w:val="1FDF234E"/>
    <w:rsid w:val="1FEDB956"/>
    <w:rsid w:val="1FEE0E62"/>
    <w:rsid w:val="1FFF9B15"/>
    <w:rsid w:val="1FFF9DF5"/>
    <w:rsid w:val="202A6496"/>
    <w:rsid w:val="202B0A86"/>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603596E"/>
    <w:rsid w:val="261457E5"/>
    <w:rsid w:val="2614741E"/>
    <w:rsid w:val="26526993"/>
    <w:rsid w:val="265C71AB"/>
    <w:rsid w:val="265E6149"/>
    <w:rsid w:val="26A2644A"/>
    <w:rsid w:val="26BF2702"/>
    <w:rsid w:val="26D72A9C"/>
    <w:rsid w:val="26D9450D"/>
    <w:rsid w:val="270B55FD"/>
    <w:rsid w:val="2718473C"/>
    <w:rsid w:val="275405E2"/>
    <w:rsid w:val="276F60D3"/>
    <w:rsid w:val="277E2115"/>
    <w:rsid w:val="278A6AED"/>
    <w:rsid w:val="27B330D3"/>
    <w:rsid w:val="27D73FB5"/>
    <w:rsid w:val="27DD1AC9"/>
    <w:rsid w:val="280E4DA9"/>
    <w:rsid w:val="2821102E"/>
    <w:rsid w:val="28360750"/>
    <w:rsid w:val="284B1866"/>
    <w:rsid w:val="28966573"/>
    <w:rsid w:val="289E7F40"/>
    <w:rsid w:val="28EE20F0"/>
    <w:rsid w:val="28F79117"/>
    <w:rsid w:val="2902463D"/>
    <w:rsid w:val="290D041C"/>
    <w:rsid w:val="291B3CEF"/>
    <w:rsid w:val="29363C40"/>
    <w:rsid w:val="29443FB0"/>
    <w:rsid w:val="29513A4C"/>
    <w:rsid w:val="296F53A2"/>
    <w:rsid w:val="29797096"/>
    <w:rsid w:val="29837114"/>
    <w:rsid w:val="29AC13BE"/>
    <w:rsid w:val="29C0187A"/>
    <w:rsid w:val="2A0D6FEB"/>
    <w:rsid w:val="2A7C3107"/>
    <w:rsid w:val="2A826B38"/>
    <w:rsid w:val="2A951FF8"/>
    <w:rsid w:val="2AB14540"/>
    <w:rsid w:val="2AFD6359"/>
    <w:rsid w:val="2B3B0C82"/>
    <w:rsid w:val="2B4F5DB3"/>
    <w:rsid w:val="2B50012B"/>
    <w:rsid w:val="2B5865A9"/>
    <w:rsid w:val="2B8A133E"/>
    <w:rsid w:val="2BAF35FD"/>
    <w:rsid w:val="2BB40893"/>
    <w:rsid w:val="2BE84C5A"/>
    <w:rsid w:val="2BEF0821"/>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97C55F"/>
    <w:rsid w:val="2FA3D559"/>
    <w:rsid w:val="2FA73A76"/>
    <w:rsid w:val="2FAD5A25"/>
    <w:rsid w:val="2FB11E53"/>
    <w:rsid w:val="2FBB31C8"/>
    <w:rsid w:val="2FBE0BB7"/>
    <w:rsid w:val="2FDED22B"/>
    <w:rsid w:val="2FE322E4"/>
    <w:rsid w:val="2FE6569A"/>
    <w:rsid w:val="2FE703D3"/>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31B0A3B"/>
    <w:rsid w:val="336F9A83"/>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A0BE8"/>
    <w:rsid w:val="35E95678"/>
    <w:rsid w:val="35ED0573"/>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B78CB"/>
    <w:rsid w:val="37FC3623"/>
    <w:rsid w:val="37FFDFE5"/>
    <w:rsid w:val="381C450D"/>
    <w:rsid w:val="38441DA0"/>
    <w:rsid w:val="385A0D73"/>
    <w:rsid w:val="385B1F92"/>
    <w:rsid w:val="386E6066"/>
    <w:rsid w:val="387442ED"/>
    <w:rsid w:val="388C7A87"/>
    <w:rsid w:val="38AF6807"/>
    <w:rsid w:val="38D53ED1"/>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71564"/>
    <w:rsid w:val="3BBF06F6"/>
    <w:rsid w:val="3BE27E23"/>
    <w:rsid w:val="3BE51489"/>
    <w:rsid w:val="3BFA93EF"/>
    <w:rsid w:val="3BFCF68E"/>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B7C61D"/>
    <w:rsid w:val="3DC11532"/>
    <w:rsid w:val="3DD26A94"/>
    <w:rsid w:val="3DE76524"/>
    <w:rsid w:val="3DF7DBA4"/>
    <w:rsid w:val="3DF906CD"/>
    <w:rsid w:val="3E03359B"/>
    <w:rsid w:val="3E1C7283"/>
    <w:rsid w:val="3E2F6D9B"/>
    <w:rsid w:val="3E4B7E5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352BC0"/>
    <w:rsid w:val="3F4E08CC"/>
    <w:rsid w:val="3F4F7DA2"/>
    <w:rsid w:val="3F4FA6F9"/>
    <w:rsid w:val="3F5A0E09"/>
    <w:rsid w:val="3F6619F5"/>
    <w:rsid w:val="3F790CB0"/>
    <w:rsid w:val="3F7B049D"/>
    <w:rsid w:val="3F7EF851"/>
    <w:rsid w:val="3F7F5C6A"/>
    <w:rsid w:val="3F8954B2"/>
    <w:rsid w:val="3F8D0899"/>
    <w:rsid w:val="3F911FB7"/>
    <w:rsid w:val="3F970855"/>
    <w:rsid w:val="3F9B8D70"/>
    <w:rsid w:val="3F9C704E"/>
    <w:rsid w:val="3F9EF683"/>
    <w:rsid w:val="3FAE6D2D"/>
    <w:rsid w:val="3FBD71D2"/>
    <w:rsid w:val="3FBD8D6B"/>
    <w:rsid w:val="3FC111A5"/>
    <w:rsid w:val="3FC767C0"/>
    <w:rsid w:val="3FCB541B"/>
    <w:rsid w:val="3FE394E7"/>
    <w:rsid w:val="3FF729DE"/>
    <w:rsid w:val="3FFB0E64"/>
    <w:rsid w:val="3FFBE772"/>
    <w:rsid w:val="3FFD09BF"/>
    <w:rsid w:val="3FFF180E"/>
    <w:rsid w:val="3FFF3C7C"/>
    <w:rsid w:val="40406848"/>
    <w:rsid w:val="40507D03"/>
    <w:rsid w:val="406F0D95"/>
    <w:rsid w:val="40A244D3"/>
    <w:rsid w:val="40CC3D01"/>
    <w:rsid w:val="410846C7"/>
    <w:rsid w:val="41170D8C"/>
    <w:rsid w:val="411E3DC1"/>
    <w:rsid w:val="415663BE"/>
    <w:rsid w:val="416F7A1E"/>
    <w:rsid w:val="417B233A"/>
    <w:rsid w:val="417F6D50"/>
    <w:rsid w:val="418F7470"/>
    <w:rsid w:val="41A1787D"/>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7654BD"/>
    <w:rsid w:val="45781435"/>
    <w:rsid w:val="458F461A"/>
    <w:rsid w:val="45A809B5"/>
    <w:rsid w:val="45B2422F"/>
    <w:rsid w:val="45B51851"/>
    <w:rsid w:val="45BD31FC"/>
    <w:rsid w:val="45BF1B18"/>
    <w:rsid w:val="45C03E43"/>
    <w:rsid w:val="45CF606B"/>
    <w:rsid w:val="45DA659D"/>
    <w:rsid w:val="45E63C2A"/>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F608B"/>
    <w:rsid w:val="49EF2AF6"/>
    <w:rsid w:val="49F6339E"/>
    <w:rsid w:val="4A146D63"/>
    <w:rsid w:val="4A4B7096"/>
    <w:rsid w:val="4A7EB2FF"/>
    <w:rsid w:val="4AB75723"/>
    <w:rsid w:val="4ABDA9E8"/>
    <w:rsid w:val="4ABF315C"/>
    <w:rsid w:val="4B080EAE"/>
    <w:rsid w:val="4B155BEE"/>
    <w:rsid w:val="4B7F6F51"/>
    <w:rsid w:val="4B855F61"/>
    <w:rsid w:val="4B975DC1"/>
    <w:rsid w:val="4BBD5DFB"/>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7D6118"/>
    <w:rsid w:val="4D968124"/>
    <w:rsid w:val="4D9C370C"/>
    <w:rsid w:val="4DA91C91"/>
    <w:rsid w:val="4DB9F78C"/>
    <w:rsid w:val="4DCA17BE"/>
    <w:rsid w:val="4DE52F92"/>
    <w:rsid w:val="4DE777E6"/>
    <w:rsid w:val="4DED67BF"/>
    <w:rsid w:val="4E6DB298"/>
    <w:rsid w:val="4E7816D4"/>
    <w:rsid w:val="4EAFD821"/>
    <w:rsid w:val="4EBC0FDC"/>
    <w:rsid w:val="4EBE67B2"/>
    <w:rsid w:val="4F260F14"/>
    <w:rsid w:val="4F3374B4"/>
    <w:rsid w:val="4F3DFD49"/>
    <w:rsid w:val="4F4F65BB"/>
    <w:rsid w:val="4F6036C3"/>
    <w:rsid w:val="4F77A3DB"/>
    <w:rsid w:val="4F7B626C"/>
    <w:rsid w:val="4FB60EB6"/>
    <w:rsid w:val="4FC9436C"/>
    <w:rsid w:val="4FD72B41"/>
    <w:rsid w:val="4FF36A56"/>
    <w:rsid w:val="4FF41F1D"/>
    <w:rsid w:val="4FFE1847"/>
    <w:rsid w:val="4FFF086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7DC0A2"/>
    <w:rsid w:val="53A928A9"/>
    <w:rsid w:val="53B2024F"/>
    <w:rsid w:val="53B83907"/>
    <w:rsid w:val="53E91301"/>
    <w:rsid w:val="53F0747B"/>
    <w:rsid w:val="545112A5"/>
    <w:rsid w:val="54756E9F"/>
    <w:rsid w:val="54BEB7BD"/>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C6473B"/>
    <w:rsid w:val="56CC6EAB"/>
    <w:rsid w:val="56D74735"/>
    <w:rsid w:val="56DE000D"/>
    <w:rsid w:val="56F33945"/>
    <w:rsid w:val="56F6DAB0"/>
    <w:rsid w:val="571D495C"/>
    <w:rsid w:val="574645BE"/>
    <w:rsid w:val="576919EA"/>
    <w:rsid w:val="57732AC1"/>
    <w:rsid w:val="577D65AF"/>
    <w:rsid w:val="577F6FDC"/>
    <w:rsid w:val="57843B76"/>
    <w:rsid w:val="57A52339"/>
    <w:rsid w:val="57AC5A1C"/>
    <w:rsid w:val="57B66A9F"/>
    <w:rsid w:val="57B95083"/>
    <w:rsid w:val="57D9D5BC"/>
    <w:rsid w:val="57DD7529"/>
    <w:rsid w:val="57DE385A"/>
    <w:rsid w:val="57DF2C92"/>
    <w:rsid w:val="57F306A6"/>
    <w:rsid w:val="57F7D34F"/>
    <w:rsid w:val="57F8EF97"/>
    <w:rsid w:val="57FD6F33"/>
    <w:rsid w:val="57FE9A6A"/>
    <w:rsid w:val="57FF410E"/>
    <w:rsid w:val="57FF62C0"/>
    <w:rsid w:val="581727A0"/>
    <w:rsid w:val="583BBBA1"/>
    <w:rsid w:val="5873337D"/>
    <w:rsid w:val="58741794"/>
    <w:rsid w:val="587E07B8"/>
    <w:rsid w:val="58AF4E41"/>
    <w:rsid w:val="58B41022"/>
    <w:rsid w:val="58B97F29"/>
    <w:rsid w:val="58C46B40"/>
    <w:rsid w:val="58DA705B"/>
    <w:rsid w:val="58E72F20"/>
    <w:rsid w:val="58FB1F94"/>
    <w:rsid w:val="592D53E5"/>
    <w:rsid w:val="59482DC3"/>
    <w:rsid w:val="594C2C9B"/>
    <w:rsid w:val="595DEFC6"/>
    <w:rsid w:val="59724B00"/>
    <w:rsid w:val="59870899"/>
    <w:rsid w:val="5992714E"/>
    <w:rsid w:val="59EA212F"/>
    <w:rsid w:val="59F271D3"/>
    <w:rsid w:val="59F87366"/>
    <w:rsid w:val="59FF35F5"/>
    <w:rsid w:val="5A04162B"/>
    <w:rsid w:val="5A145BBF"/>
    <w:rsid w:val="5A81421E"/>
    <w:rsid w:val="5A963AAD"/>
    <w:rsid w:val="5A9E2282"/>
    <w:rsid w:val="5ACFD81A"/>
    <w:rsid w:val="5AFA4BDB"/>
    <w:rsid w:val="5B3A6098"/>
    <w:rsid w:val="5B410D79"/>
    <w:rsid w:val="5B4D177D"/>
    <w:rsid w:val="5B57206F"/>
    <w:rsid w:val="5B6B7A7F"/>
    <w:rsid w:val="5B7E537A"/>
    <w:rsid w:val="5B8643BE"/>
    <w:rsid w:val="5B9752C3"/>
    <w:rsid w:val="5BA1550F"/>
    <w:rsid w:val="5BAEC8ED"/>
    <w:rsid w:val="5BB25C1D"/>
    <w:rsid w:val="5BBF10B3"/>
    <w:rsid w:val="5BCB0034"/>
    <w:rsid w:val="5BDA3F4B"/>
    <w:rsid w:val="5BDC5203"/>
    <w:rsid w:val="5BEE2622"/>
    <w:rsid w:val="5BF492AF"/>
    <w:rsid w:val="5BFC5543"/>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D7F64"/>
    <w:rsid w:val="5E0D6CBF"/>
    <w:rsid w:val="5E204EB5"/>
    <w:rsid w:val="5E253E99"/>
    <w:rsid w:val="5E2E4D2C"/>
    <w:rsid w:val="5E3B4A4A"/>
    <w:rsid w:val="5E3D3C52"/>
    <w:rsid w:val="5E4317BE"/>
    <w:rsid w:val="5E5E3E17"/>
    <w:rsid w:val="5E9AD703"/>
    <w:rsid w:val="5EB51100"/>
    <w:rsid w:val="5EBD085D"/>
    <w:rsid w:val="5EBFC788"/>
    <w:rsid w:val="5EC50CAA"/>
    <w:rsid w:val="5ECA649A"/>
    <w:rsid w:val="5ECFC980"/>
    <w:rsid w:val="5EDB06B5"/>
    <w:rsid w:val="5EE70D55"/>
    <w:rsid w:val="5EF09A9F"/>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73DE65"/>
    <w:rsid w:val="5F74F361"/>
    <w:rsid w:val="5F7EDA11"/>
    <w:rsid w:val="5F874302"/>
    <w:rsid w:val="5F8E49D3"/>
    <w:rsid w:val="5FB00E66"/>
    <w:rsid w:val="5FB6969D"/>
    <w:rsid w:val="5FB7CC16"/>
    <w:rsid w:val="5FBA3B31"/>
    <w:rsid w:val="5FBA7FDE"/>
    <w:rsid w:val="5FBFE689"/>
    <w:rsid w:val="5FC5229F"/>
    <w:rsid w:val="5FC64909"/>
    <w:rsid w:val="5FD3833D"/>
    <w:rsid w:val="5FD3DC4E"/>
    <w:rsid w:val="5FDBCECD"/>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904125"/>
    <w:rsid w:val="63B55F66"/>
    <w:rsid w:val="63D461A2"/>
    <w:rsid w:val="63F6AF09"/>
    <w:rsid w:val="63F75FE1"/>
    <w:rsid w:val="6407213A"/>
    <w:rsid w:val="64200576"/>
    <w:rsid w:val="6432530E"/>
    <w:rsid w:val="647B80EC"/>
    <w:rsid w:val="64A2696B"/>
    <w:rsid w:val="64C748BF"/>
    <w:rsid w:val="64CA6A88"/>
    <w:rsid w:val="64D709CE"/>
    <w:rsid w:val="6507390C"/>
    <w:rsid w:val="654F48C4"/>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53B605"/>
    <w:rsid w:val="6763731F"/>
    <w:rsid w:val="6772763E"/>
    <w:rsid w:val="6775352F"/>
    <w:rsid w:val="677EA2CA"/>
    <w:rsid w:val="67875BEC"/>
    <w:rsid w:val="6797C3E4"/>
    <w:rsid w:val="67981E55"/>
    <w:rsid w:val="679A30E1"/>
    <w:rsid w:val="67BB5DCF"/>
    <w:rsid w:val="67CF4B12"/>
    <w:rsid w:val="67D56C7D"/>
    <w:rsid w:val="67DB7D86"/>
    <w:rsid w:val="67EDB27E"/>
    <w:rsid w:val="67EDBDA0"/>
    <w:rsid w:val="67FF0E94"/>
    <w:rsid w:val="68835F71"/>
    <w:rsid w:val="68EE5790"/>
    <w:rsid w:val="690432A4"/>
    <w:rsid w:val="692F6DAF"/>
    <w:rsid w:val="69787C50"/>
    <w:rsid w:val="697FCD9D"/>
    <w:rsid w:val="6987583A"/>
    <w:rsid w:val="69964C41"/>
    <w:rsid w:val="69C26DD9"/>
    <w:rsid w:val="69D45A86"/>
    <w:rsid w:val="69E80CC5"/>
    <w:rsid w:val="69F63C71"/>
    <w:rsid w:val="69F6F957"/>
    <w:rsid w:val="6A1F4150"/>
    <w:rsid w:val="6A2D1CCF"/>
    <w:rsid w:val="6A7E092E"/>
    <w:rsid w:val="6A904237"/>
    <w:rsid w:val="6AB5277B"/>
    <w:rsid w:val="6AEBD79B"/>
    <w:rsid w:val="6AF040E0"/>
    <w:rsid w:val="6AF711C0"/>
    <w:rsid w:val="6AFAFFDE"/>
    <w:rsid w:val="6AFF09AC"/>
    <w:rsid w:val="6B131661"/>
    <w:rsid w:val="6B39269D"/>
    <w:rsid w:val="6B6E2ECF"/>
    <w:rsid w:val="6B744899"/>
    <w:rsid w:val="6B7D00D8"/>
    <w:rsid w:val="6B7F6011"/>
    <w:rsid w:val="6B84408B"/>
    <w:rsid w:val="6BAE6F4B"/>
    <w:rsid w:val="6BBB38C9"/>
    <w:rsid w:val="6BBD121A"/>
    <w:rsid w:val="6BBDD199"/>
    <w:rsid w:val="6BBE2EC3"/>
    <w:rsid w:val="6BD4BFFA"/>
    <w:rsid w:val="6BDDBC3F"/>
    <w:rsid w:val="6BE03964"/>
    <w:rsid w:val="6BEEC6FD"/>
    <w:rsid w:val="6BEFC8D0"/>
    <w:rsid w:val="6BFF2C4A"/>
    <w:rsid w:val="6BFF6F90"/>
    <w:rsid w:val="6C1C2C64"/>
    <w:rsid w:val="6C5DB040"/>
    <w:rsid w:val="6C6351B9"/>
    <w:rsid w:val="6C6F4811"/>
    <w:rsid w:val="6C745F04"/>
    <w:rsid w:val="6C7FDC0D"/>
    <w:rsid w:val="6C815AFB"/>
    <w:rsid w:val="6C9106CB"/>
    <w:rsid w:val="6CB392BE"/>
    <w:rsid w:val="6CEB81F2"/>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FDE98"/>
    <w:rsid w:val="6E0A0FF3"/>
    <w:rsid w:val="6E200660"/>
    <w:rsid w:val="6E3C2184"/>
    <w:rsid w:val="6E501280"/>
    <w:rsid w:val="6E541107"/>
    <w:rsid w:val="6E6D3F1C"/>
    <w:rsid w:val="6E6F13E2"/>
    <w:rsid w:val="6E7F4EDF"/>
    <w:rsid w:val="6E7FB585"/>
    <w:rsid w:val="6EBA0434"/>
    <w:rsid w:val="6EBE0B2E"/>
    <w:rsid w:val="6EBFC098"/>
    <w:rsid w:val="6EC117B0"/>
    <w:rsid w:val="6EC73413"/>
    <w:rsid w:val="6ED04039"/>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B02AE"/>
    <w:rsid w:val="6FBF5CB5"/>
    <w:rsid w:val="6FCE37D4"/>
    <w:rsid w:val="6FDF893A"/>
    <w:rsid w:val="6FE70858"/>
    <w:rsid w:val="6FE71825"/>
    <w:rsid w:val="6FEB3409"/>
    <w:rsid w:val="6FF2EFD2"/>
    <w:rsid w:val="6FF55067"/>
    <w:rsid w:val="6FF70C7C"/>
    <w:rsid w:val="6FF736B6"/>
    <w:rsid w:val="6FF9061E"/>
    <w:rsid w:val="6FFE666F"/>
    <w:rsid w:val="6FFEE4E9"/>
    <w:rsid w:val="704A5458"/>
    <w:rsid w:val="705F6570"/>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3F77A"/>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E77EFD"/>
    <w:rsid w:val="74FB735B"/>
    <w:rsid w:val="7519F0F1"/>
    <w:rsid w:val="753A75CE"/>
    <w:rsid w:val="7547410B"/>
    <w:rsid w:val="75670E1B"/>
    <w:rsid w:val="757E8488"/>
    <w:rsid w:val="759D5D2B"/>
    <w:rsid w:val="759DDA6E"/>
    <w:rsid w:val="75B57793"/>
    <w:rsid w:val="75B847FC"/>
    <w:rsid w:val="75DFB6E5"/>
    <w:rsid w:val="75E60986"/>
    <w:rsid w:val="75FFAC91"/>
    <w:rsid w:val="76067541"/>
    <w:rsid w:val="76171E85"/>
    <w:rsid w:val="761E1DD9"/>
    <w:rsid w:val="766D0A82"/>
    <w:rsid w:val="767F7BF5"/>
    <w:rsid w:val="76824B18"/>
    <w:rsid w:val="769FBAE5"/>
    <w:rsid w:val="76A357D8"/>
    <w:rsid w:val="76D76BDA"/>
    <w:rsid w:val="76E9CBF5"/>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EA7643"/>
    <w:rsid w:val="77FB1360"/>
    <w:rsid w:val="77FBF545"/>
    <w:rsid w:val="77FC65BD"/>
    <w:rsid w:val="77FD2258"/>
    <w:rsid w:val="77FDAFC9"/>
    <w:rsid w:val="77FDD67D"/>
    <w:rsid w:val="77FFAA62"/>
    <w:rsid w:val="78267840"/>
    <w:rsid w:val="7884684B"/>
    <w:rsid w:val="788F6003"/>
    <w:rsid w:val="78A6232C"/>
    <w:rsid w:val="78BE02B4"/>
    <w:rsid w:val="78BF6301"/>
    <w:rsid w:val="78FD9EBC"/>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E746F"/>
    <w:rsid w:val="7ADF8D6D"/>
    <w:rsid w:val="7ADFEA57"/>
    <w:rsid w:val="7AEF646F"/>
    <w:rsid w:val="7AF46CCC"/>
    <w:rsid w:val="7AF80114"/>
    <w:rsid w:val="7AFBA5EB"/>
    <w:rsid w:val="7B0C378D"/>
    <w:rsid w:val="7B211BE0"/>
    <w:rsid w:val="7B3604A3"/>
    <w:rsid w:val="7B64B9A8"/>
    <w:rsid w:val="7B77B281"/>
    <w:rsid w:val="7B7E3534"/>
    <w:rsid w:val="7B975221"/>
    <w:rsid w:val="7BA47726"/>
    <w:rsid w:val="7BB23E9F"/>
    <w:rsid w:val="7BBE7689"/>
    <w:rsid w:val="7BCA5CF9"/>
    <w:rsid w:val="7BCF053D"/>
    <w:rsid w:val="7BCFB8A0"/>
    <w:rsid w:val="7BDB8B1C"/>
    <w:rsid w:val="7BDE04C2"/>
    <w:rsid w:val="7BDF1B52"/>
    <w:rsid w:val="7BDFF045"/>
    <w:rsid w:val="7BE627E0"/>
    <w:rsid w:val="7BED0A2D"/>
    <w:rsid w:val="7BEF63A1"/>
    <w:rsid w:val="7BF2732B"/>
    <w:rsid w:val="7BF36A1C"/>
    <w:rsid w:val="7BF73FA3"/>
    <w:rsid w:val="7BF7FA5E"/>
    <w:rsid w:val="7BF84618"/>
    <w:rsid w:val="7BF98F73"/>
    <w:rsid w:val="7BFBE961"/>
    <w:rsid w:val="7BFCCF9A"/>
    <w:rsid w:val="7BFD23BE"/>
    <w:rsid w:val="7BFF1252"/>
    <w:rsid w:val="7BFF4CBB"/>
    <w:rsid w:val="7BFF804B"/>
    <w:rsid w:val="7BFFBEF3"/>
    <w:rsid w:val="7BFFFB61"/>
    <w:rsid w:val="7C199E8E"/>
    <w:rsid w:val="7C1E4662"/>
    <w:rsid w:val="7C51667B"/>
    <w:rsid w:val="7C6FAC73"/>
    <w:rsid w:val="7C805BDF"/>
    <w:rsid w:val="7C960D11"/>
    <w:rsid w:val="7C9D15C7"/>
    <w:rsid w:val="7CBE8518"/>
    <w:rsid w:val="7CD09542"/>
    <w:rsid w:val="7CD51442"/>
    <w:rsid w:val="7CEC546D"/>
    <w:rsid w:val="7CF11320"/>
    <w:rsid w:val="7CF81A8E"/>
    <w:rsid w:val="7CFE4646"/>
    <w:rsid w:val="7D4877F9"/>
    <w:rsid w:val="7D5F766F"/>
    <w:rsid w:val="7D772C0B"/>
    <w:rsid w:val="7D7F3FD0"/>
    <w:rsid w:val="7D804B82"/>
    <w:rsid w:val="7D841571"/>
    <w:rsid w:val="7D9E4DCD"/>
    <w:rsid w:val="7DAE0760"/>
    <w:rsid w:val="7DB44617"/>
    <w:rsid w:val="7DB912C6"/>
    <w:rsid w:val="7DCDEB79"/>
    <w:rsid w:val="7DCFA9AF"/>
    <w:rsid w:val="7DEFDD4D"/>
    <w:rsid w:val="7DF55D84"/>
    <w:rsid w:val="7DF5E540"/>
    <w:rsid w:val="7DFFD3A2"/>
    <w:rsid w:val="7E15D1C6"/>
    <w:rsid w:val="7E1861B4"/>
    <w:rsid w:val="7E1E6385"/>
    <w:rsid w:val="7E1FF0C7"/>
    <w:rsid w:val="7E3D5B49"/>
    <w:rsid w:val="7E3D6278"/>
    <w:rsid w:val="7E47238B"/>
    <w:rsid w:val="7E4F8CD2"/>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55D8"/>
    <w:rsid w:val="7EFF5995"/>
    <w:rsid w:val="7EFFCA79"/>
    <w:rsid w:val="7F0B523C"/>
    <w:rsid w:val="7F1A2ADD"/>
    <w:rsid w:val="7F1FE4C4"/>
    <w:rsid w:val="7F2E9941"/>
    <w:rsid w:val="7F3AC36D"/>
    <w:rsid w:val="7F3F0374"/>
    <w:rsid w:val="7F3F48D2"/>
    <w:rsid w:val="7F3F8307"/>
    <w:rsid w:val="7F3FBEE0"/>
    <w:rsid w:val="7F5B0192"/>
    <w:rsid w:val="7F5ECA21"/>
    <w:rsid w:val="7F661F11"/>
    <w:rsid w:val="7F666B4F"/>
    <w:rsid w:val="7F66706F"/>
    <w:rsid w:val="7F6C9FEC"/>
    <w:rsid w:val="7F753CAD"/>
    <w:rsid w:val="7F77DAA1"/>
    <w:rsid w:val="7F7AEE06"/>
    <w:rsid w:val="7F7B93FD"/>
    <w:rsid w:val="7F7D363C"/>
    <w:rsid w:val="7F7DAC06"/>
    <w:rsid w:val="7F7DB235"/>
    <w:rsid w:val="7F7DEE50"/>
    <w:rsid w:val="7F7F6CA6"/>
    <w:rsid w:val="7F7FA077"/>
    <w:rsid w:val="7F7FA806"/>
    <w:rsid w:val="7F9E5011"/>
    <w:rsid w:val="7F9FA1D3"/>
    <w:rsid w:val="7FAD3878"/>
    <w:rsid w:val="7FAF19EE"/>
    <w:rsid w:val="7FB9C803"/>
    <w:rsid w:val="7FBA1318"/>
    <w:rsid w:val="7FBBD329"/>
    <w:rsid w:val="7FBD0D9F"/>
    <w:rsid w:val="7FBD0DDC"/>
    <w:rsid w:val="7FBD3C31"/>
    <w:rsid w:val="7FBD6887"/>
    <w:rsid w:val="7FBF10A2"/>
    <w:rsid w:val="7FBF4759"/>
    <w:rsid w:val="7FC7B7AE"/>
    <w:rsid w:val="7FCB0E86"/>
    <w:rsid w:val="7FCDBC4D"/>
    <w:rsid w:val="7FCFE3A1"/>
    <w:rsid w:val="7FD7B55D"/>
    <w:rsid w:val="7FDA4A78"/>
    <w:rsid w:val="7FDBD71A"/>
    <w:rsid w:val="7FDE6D84"/>
    <w:rsid w:val="7FDF0F57"/>
    <w:rsid w:val="7FDF8A26"/>
    <w:rsid w:val="7FDF9583"/>
    <w:rsid w:val="7FE45506"/>
    <w:rsid w:val="7FE777B0"/>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5AD3"/>
    <w:rsid w:val="7FFFEDA8"/>
    <w:rsid w:val="7FFFFFF5"/>
    <w:rsid w:val="80FFD23B"/>
    <w:rsid w:val="87647AF8"/>
    <w:rsid w:val="87FBEAE8"/>
    <w:rsid w:val="8BAD3C64"/>
    <w:rsid w:val="8DFFD1AA"/>
    <w:rsid w:val="8EEFB323"/>
    <w:rsid w:val="8F3E3382"/>
    <w:rsid w:val="8F7302B9"/>
    <w:rsid w:val="8FBB9A55"/>
    <w:rsid w:val="91DFE8F5"/>
    <w:rsid w:val="93DB74AF"/>
    <w:rsid w:val="97D71DFE"/>
    <w:rsid w:val="99ED0C9D"/>
    <w:rsid w:val="99FEE736"/>
    <w:rsid w:val="9A1E0A07"/>
    <w:rsid w:val="9B1F6BC4"/>
    <w:rsid w:val="9D3EAF1C"/>
    <w:rsid w:val="9D6B2ED6"/>
    <w:rsid w:val="9D7F0DA6"/>
    <w:rsid w:val="9D9F82B4"/>
    <w:rsid w:val="9DBE3653"/>
    <w:rsid w:val="9DBF28CB"/>
    <w:rsid w:val="9DEEA1A7"/>
    <w:rsid w:val="9DFFC56B"/>
    <w:rsid w:val="9EFFBFDC"/>
    <w:rsid w:val="9F1F0774"/>
    <w:rsid w:val="9F5770BF"/>
    <w:rsid w:val="9F746438"/>
    <w:rsid w:val="9F7F0326"/>
    <w:rsid w:val="9FAE96CE"/>
    <w:rsid w:val="9FBF075C"/>
    <w:rsid w:val="9FBF926B"/>
    <w:rsid w:val="9FDFF670"/>
    <w:rsid w:val="9FF6BE78"/>
    <w:rsid w:val="9FFFBA19"/>
    <w:rsid w:val="9FFFF6C8"/>
    <w:rsid w:val="A4F29759"/>
    <w:rsid w:val="A56A5B4C"/>
    <w:rsid w:val="A5FD887E"/>
    <w:rsid w:val="A69E7D90"/>
    <w:rsid w:val="A798F561"/>
    <w:rsid w:val="A7CF7B0F"/>
    <w:rsid w:val="A7F5298F"/>
    <w:rsid w:val="A9FBD03D"/>
    <w:rsid w:val="ABF7DC2D"/>
    <w:rsid w:val="ABFDE009"/>
    <w:rsid w:val="ABFFE5E5"/>
    <w:rsid w:val="AD6D9B49"/>
    <w:rsid w:val="ADFA5E98"/>
    <w:rsid w:val="AEAF57D7"/>
    <w:rsid w:val="AEBFBB0B"/>
    <w:rsid w:val="AEF841E1"/>
    <w:rsid w:val="AF3EBA8C"/>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F78BBC"/>
    <w:rsid w:val="B6FF2A8E"/>
    <w:rsid w:val="B6FF60FB"/>
    <w:rsid w:val="B73B3728"/>
    <w:rsid w:val="B7792E3B"/>
    <w:rsid w:val="B77E4031"/>
    <w:rsid w:val="B77F9227"/>
    <w:rsid w:val="B78ED157"/>
    <w:rsid w:val="B78F4E27"/>
    <w:rsid w:val="B7A2D194"/>
    <w:rsid w:val="B7BF41DE"/>
    <w:rsid w:val="B7DC0139"/>
    <w:rsid w:val="B7DF8790"/>
    <w:rsid w:val="B7EF1635"/>
    <w:rsid w:val="B7F3D556"/>
    <w:rsid w:val="B7F59EB5"/>
    <w:rsid w:val="B82FA061"/>
    <w:rsid w:val="B8834A40"/>
    <w:rsid w:val="B8C36AD2"/>
    <w:rsid w:val="B8FB85AD"/>
    <w:rsid w:val="B94390A1"/>
    <w:rsid w:val="B9F7DB7E"/>
    <w:rsid w:val="B9FDF686"/>
    <w:rsid w:val="BABB2ACA"/>
    <w:rsid w:val="BB3E3D98"/>
    <w:rsid w:val="BB5D82F3"/>
    <w:rsid w:val="BB6D2A73"/>
    <w:rsid w:val="BB77A2D1"/>
    <w:rsid w:val="BB7916AC"/>
    <w:rsid w:val="BBB26A87"/>
    <w:rsid w:val="BBCF4FBF"/>
    <w:rsid w:val="BBDD7A8B"/>
    <w:rsid w:val="BBDEB2DA"/>
    <w:rsid w:val="BBDF3B74"/>
    <w:rsid w:val="BBDFEAAB"/>
    <w:rsid w:val="BBFE9003"/>
    <w:rsid w:val="BC35AEB4"/>
    <w:rsid w:val="BCCD3A25"/>
    <w:rsid w:val="BD6A2F93"/>
    <w:rsid w:val="BD7FB6AF"/>
    <w:rsid w:val="BDAFF17D"/>
    <w:rsid w:val="BDBB88FB"/>
    <w:rsid w:val="BDE358E1"/>
    <w:rsid w:val="BDF54444"/>
    <w:rsid w:val="BDF62983"/>
    <w:rsid w:val="BDF7AF13"/>
    <w:rsid w:val="BDFED5AD"/>
    <w:rsid w:val="BDFF0CCC"/>
    <w:rsid w:val="BDFFB0DE"/>
    <w:rsid w:val="BE2E71F8"/>
    <w:rsid w:val="BE57D109"/>
    <w:rsid w:val="BE7FE035"/>
    <w:rsid w:val="BE8E899D"/>
    <w:rsid w:val="BEBBD8C1"/>
    <w:rsid w:val="BEDB8436"/>
    <w:rsid w:val="BEF7187E"/>
    <w:rsid w:val="BEFB0E83"/>
    <w:rsid w:val="BEFFF11B"/>
    <w:rsid w:val="BF3A91C7"/>
    <w:rsid w:val="BF604D9D"/>
    <w:rsid w:val="BF6BD8BA"/>
    <w:rsid w:val="BF76AA92"/>
    <w:rsid w:val="BF76E7B0"/>
    <w:rsid w:val="BF793CE4"/>
    <w:rsid w:val="BF7E4088"/>
    <w:rsid w:val="BF7F3C1C"/>
    <w:rsid w:val="BF9A05E5"/>
    <w:rsid w:val="BFA12AD0"/>
    <w:rsid w:val="BFB75766"/>
    <w:rsid w:val="BFBD201B"/>
    <w:rsid w:val="BFBD622E"/>
    <w:rsid w:val="BFBFCBD6"/>
    <w:rsid w:val="BFDBC591"/>
    <w:rsid w:val="BFDC8098"/>
    <w:rsid w:val="BFDFF8CA"/>
    <w:rsid w:val="BFE32A1E"/>
    <w:rsid w:val="BFE7CE16"/>
    <w:rsid w:val="BFEDD8B4"/>
    <w:rsid w:val="BFEEB6FB"/>
    <w:rsid w:val="BFEF8AF5"/>
    <w:rsid w:val="BFF5BC68"/>
    <w:rsid w:val="BFF7C788"/>
    <w:rsid w:val="BFF8B842"/>
    <w:rsid w:val="BFFC6D96"/>
    <w:rsid w:val="BFFF0B13"/>
    <w:rsid w:val="BFFFF591"/>
    <w:rsid w:val="C57B30B2"/>
    <w:rsid w:val="C5923726"/>
    <w:rsid w:val="C5BF2169"/>
    <w:rsid w:val="C5DF0AA3"/>
    <w:rsid w:val="C7470024"/>
    <w:rsid w:val="CB339C4C"/>
    <w:rsid w:val="CB5FE9A0"/>
    <w:rsid w:val="CBBD9BF9"/>
    <w:rsid w:val="CBF68264"/>
    <w:rsid w:val="CBFFBB8F"/>
    <w:rsid w:val="CC6D41A8"/>
    <w:rsid w:val="CCE3DF2C"/>
    <w:rsid w:val="CD9379DD"/>
    <w:rsid w:val="CDD5C00D"/>
    <w:rsid w:val="CDEE0A57"/>
    <w:rsid w:val="CDFD62BF"/>
    <w:rsid w:val="CDFDE3EF"/>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BDE6DD"/>
    <w:rsid w:val="D3F707AB"/>
    <w:rsid w:val="D3F7AEF2"/>
    <w:rsid w:val="D3FA2600"/>
    <w:rsid w:val="D3FF6AE8"/>
    <w:rsid w:val="D45FBA60"/>
    <w:rsid w:val="D4BDA523"/>
    <w:rsid w:val="D5FD486A"/>
    <w:rsid w:val="D5FD875C"/>
    <w:rsid w:val="D5FF1039"/>
    <w:rsid w:val="D6EB4C31"/>
    <w:rsid w:val="D73FAC7A"/>
    <w:rsid w:val="D7BBF31B"/>
    <w:rsid w:val="D7D5CC6F"/>
    <w:rsid w:val="D7DE753A"/>
    <w:rsid w:val="D7E09F42"/>
    <w:rsid w:val="D7FB59A0"/>
    <w:rsid w:val="D7FED8D0"/>
    <w:rsid w:val="D7FF672B"/>
    <w:rsid w:val="D7FFF9DF"/>
    <w:rsid w:val="D8A9D188"/>
    <w:rsid w:val="D9719662"/>
    <w:rsid w:val="D9BD42E9"/>
    <w:rsid w:val="D9BE4408"/>
    <w:rsid w:val="DABFB485"/>
    <w:rsid w:val="DB1FC230"/>
    <w:rsid w:val="DB2E96B1"/>
    <w:rsid w:val="DB99523A"/>
    <w:rsid w:val="DBBFC65C"/>
    <w:rsid w:val="DBCB3E80"/>
    <w:rsid w:val="DBD5E18D"/>
    <w:rsid w:val="DBDD1800"/>
    <w:rsid w:val="DBEA5FD9"/>
    <w:rsid w:val="DBF5FCE0"/>
    <w:rsid w:val="DBF6C713"/>
    <w:rsid w:val="DBFAB6E2"/>
    <w:rsid w:val="DBFDE20D"/>
    <w:rsid w:val="DBFF2B01"/>
    <w:rsid w:val="DBFFB739"/>
    <w:rsid w:val="DC7FF3D4"/>
    <w:rsid w:val="DCBDD353"/>
    <w:rsid w:val="DCE9A5E8"/>
    <w:rsid w:val="DCEBD107"/>
    <w:rsid w:val="DCEFE6D6"/>
    <w:rsid w:val="DCF18845"/>
    <w:rsid w:val="DCFE0F4D"/>
    <w:rsid w:val="DD722B29"/>
    <w:rsid w:val="DDAB0F76"/>
    <w:rsid w:val="DDDCC728"/>
    <w:rsid w:val="DDFE9AAD"/>
    <w:rsid w:val="DEAC06F5"/>
    <w:rsid w:val="DEAF3FB5"/>
    <w:rsid w:val="DEBE04B8"/>
    <w:rsid w:val="DEBFF87C"/>
    <w:rsid w:val="DECD45E5"/>
    <w:rsid w:val="DED7F2B4"/>
    <w:rsid w:val="DEDFDF58"/>
    <w:rsid w:val="DEE54E08"/>
    <w:rsid w:val="DEE670BC"/>
    <w:rsid w:val="DEFDB41D"/>
    <w:rsid w:val="DF37A205"/>
    <w:rsid w:val="DF3F1911"/>
    <w:rsid w:val="DF6DD13C"/>
    <w:rsid w:val="DF763325"/>
    <w:rsid w:val="DF78CB1A"/>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9E5D0"/>
    <w:rsid w:val="DFDFAC6F"/>
    <w:rsid w:val="DFE73EF5"/>
    <w:rsid w:val="DFEC7A3A"/>
    <w:rsid w:val="DFEFA24D"/>
    <w:rsid w:val="DFEFFE04"/>
    <w:rsid w:val="DFF0F891"/>
    <w:rsid w:val="DFF1EC04"/>
    <w:rsid w:val="DFF30972"/>
    <w:rsid w:val="DFF72CF6"/>
    <w:rsid w:val="DFFB4111"/>
    <w:rsid w:val="DFFBC7E1"/>
    <w:rsid w:val="DFFCACE0"/>
    <w:rsid w:val="DFFF2B5D"/>
    <w:rsid w:val="DFFF3928"/>
    <w:rsid w:val="DFFFB827"/>
    <w:rsid w:val="E0FBC29F"/>
    <w:rsid w:val="E17F3390"/>
    <w:rsid w:val="E1BDB81F"/>
    <w:rsid w:val="E1EF2A08"/>
    <w:rsid w:val="E2CDAC7E"/>
    <w:rsid w:val="E2ED36E5"/>
    <w:rsid w:val="E5BFBD14"/>
    <w:rsid w:val="E5FD79EC"/>
    <w:rsid w:val="E69DB6F6"/>
    <w:rsid w:val="E6EEE5E3"/>
    <w:rsid w:val="E6FA0EAF"/>
    <w:rsid w:val="E6FF671B"/>
    <w:rsid w:val="E7BECC07"/>
    <w:rsid w:val="E7DD1255"/>
    <w:rsid w:val="E7E8552A"/>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5A0704"/>
    <w:rsid w:val="EB7E0D37"/>
    <w:rsid w:val="EBAD28DF"/>
    <w:rsid w:val="EBB6D35F"/>
    <w:rsid w:val="EBBF4A2E"/>
    <w:rsid w:val="EBBFAF58"/>
    <w:rsid w:val="EBD957CC"/>
    <w:rsid w:val="EBDFCE57"/>
    <w:rsid w:val="EBFBA9D6"/>
    <w:rsid w:val="EBFD03CE"/>
    <w:rsid w:val="EBFFD39E"/>
    <w:rsid w:val="EC75EFAF"/>
    <w:rsid w:val="EC7FA350"/>
    <w:rsid w:val="ECF1EE47"/>
    <w:rsid w:val="ECF3EF46"/>
    <w:rsid w:val="ED690673"/>
    <w:rsid w:val="ED7E040F"/>
    <w:rsid w:val="EDC312B6"/>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B99481"/>
    <w:rsid w:val="EFBAEAA7"/>
    <w:rsid w:val="EFBFFBC7"/>
    <w:rsid w:val="EFCF1850"/>
    <w:rsid w:val="EFDE05E6"/>
    <w:rsid w:val="EFDF616C"/>
    <w:rsid w:val="EFF4B0B3"/>
    <w:rsid w:val="EFF5875C"/>
    <w:rsid w:val="EFF74B30"/>
    <w:rsid w:val="EFF92E18"/>
    <w:rsid w:val="EFFB9311"/>
    <w:rsid w:val="EFFBBA0B"/>
    <w:rsid w:val="EFFBF828"/>
    <w:rsid w:val="EFFF6F19"/>
    <w:rsid w:val="F11FEDF9"/>
    <w:rsid w:val="F17F5E1A"/>
    <w:rsid w:val="F1DFE06D"/>
    <w:rsid w:val="F2899859"/>
    <w:rsid w:val="F2BF5C01"/>
    <w:rsid w:val="F2CD36F5"/>
    <w:rsid w:val="F2DCE203"/>
    <w:rsid w:val="F2FBA260"/>
    <w:rsid w:val="F32FE83B"/>
    <w:rsid w:val="F3723DB1"/>
    <w:rsid w:val="F3D7D169"/>
    <w:rsid w:val="F3EA0697"/>
    <w:rsid w:val="F3EF2933"/>
    <w:rsid w:val="F3F2F550"/>
    <w:rsid w:val="F3F5BEE9"/>
    <w:rsid w:val="F3F8EE6C"/>
    <w:rsid w:val="F3FB14F0"/>
    <w:rsid w:val="F3FF05B4"/>
    <w:rsid w:val="F3FFD2DD"/>
    <w:rsid w:val="F4571BDB"/>
    <w:rsid w:val="F4BF339E"/>
    <w:rsid w:val="F4CF00A8"/>
    <w:rsid w:val="F56D78F0"/>
    <w:rsid w:val="F57EA373"/>
    <w:rsid w:val="F5AB4465"/>
    <w:rsid w:val="F5AF1AAC"/>
    <w:rsid w:val="F5D6D416"/>
    <w:rsid w:val="F5EF5BA1"/>
    <w:rsid w:val="F5FFA048"/>
    <w:rsid w:val="F66E6811"/>
    <w:rsid w:val="F6F676D6"/>
    <w:rsid w:val="F6F715DC"/>
    <w:rsid w:val="F6FC548F"/>
    <w:rsid w:val="F6FF0645"/>
    <w:rsid w:val="F6FFF807"/>
    <w:rsid w:val="F70F4387"/>
    <w:rsid w:val="F74CB9BB"/>
    <w:rsid w:val="F75DEE87"/>
    <w:rsid w:val="F76FC34E"/>
    <w:rsid w:val="F77EAFBC"/>
    <w:rsid w:val="F79BF327"/>
    <w:rsid w:val="F7BB0BC8"/>
    <w:rsid w:val="F7BB5C28"/>
    <w:rsid w:val="F7BB7DA5"/>
    <w:rsid w:val="F7BF4B69"/>
    <w:rsid w:val="F7BFDD02"/>
    <w:rsid w:val="F7C640FC"/>
    <w:rsid w:val="F7CB3D4A"/>
    <w:rsid w:val="F7D30B5E"/>
    <w:rsid w:val="F7D5FA45"/>
    <w:rsid w:val="F7DF177A"/>
    <w:rsid w:val="F7DFD18F"/>
    <w:rsid w:val="F7EF6B7F"/>
    <w:rsid w:val="F7EFD4DB"/>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99C915"/>
    <w:rsid w:val="F9FA94DA"/>
    <w:rsid w:val="F9FFCD8A"/>
    <w:rsid w:val="F9FFE9E2"/>
    <w:rsid w:val="FA673975"/>
    <w:rsid w:val="FA6F5FA1"/>
    <w:rsid w:val="FA6F7A3B"/>
    <w:rsid w:val="FA9F3B8F"/>
    <w:rsid w:val="FABB1ADF"/>
    <w:rsid w:val="FAFB5879"/>
    <w:rsid w:val="FAFFE8B1"/>
    <w:rsid w:val="FB0FA5A1"/>
    <w:rsid w:val="FB1B2E8B"/>
    <w:rsid w:val="FB3F993E"/>
    <w:rsid w:val="FB5DDB87"/>
    <w:rsid w:val="FB5F7A41"/>
    <w:rsid w:val="FB6141D0"/>
    <w:rsid w:val="FB6DADAC"/>
    <w:rsid w:val="FB737713"/>
    <w:rsid w:val="FB7620CB"/>
    <w:rsid w:val="FBAD924E"/>
    <w:rsid w:val="FBB3B80B"/>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F537C"/>
    <w:rsid w:val="FBFF59BB"/>
    <w:rsid w:val="FBFFDD3D"/>
    <w:rsid w:val="FBFFFF9E"/>
    <w:rsid w:val="FC2F7095"/>
    <w:rsid w:val="FC45570C"/>
    <w:rsid w:val="FC5D01CF"/>
    <w:rsid w:val="FC7390B6"/>
    <w:rsid w:val="FC7D08FF"/>
    <w:rsid w:val="FCBD7C47"/>
    <w:rsid w:val="FCCAE4B4"/>
    <w:rsid w:val="FCDF586A"/>
    <w:rsid w:val="FCEF4AA4"/>
    <w:rsid w:val="FCF3C0FF"/>
    <w:rsid w:val="FCFE3BF1"/>
    <w:rsid w:val="FCFFC7AA"/>
    <w:rsid w:val="FD1F198B"/>
    <w:rsid w:val="FD3D1E0E"/>
    <w:rsid w:val="FD5A3379"/>
    <w:rsid w:val="FD7F9963"/>
    <w:rsid w:val="FD8F501F"/>
    <w:rsid w:val="FD9F4A15"/>
    <w:rsid w:val="FDAFF0EB"/>
    <w:rsid w:val="FDBE483E"/>
    <w:rsid w:val="FDCBF945"/>
    <w:rsid w:val="FDDF292B"/>
    <w:rsid w:val="FDE47190"/>
    <w:rsid w:val="FDEB5CB7"/>
    <w:rsid w:val="FDEB6716"/>
    <w:rsid w:val="FDEF2A04"/>
    <w:rsid w:val="FDF399A8"/>
    <w:rsid w:val="FDF97ECA"/>
    <w:rsid w:val="FDFD1D0F"/>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DFB70C"/>
    <w:rsid w:val="FEEF0ED8"/>
    <w:rsid w:val="FEF608EA"/>
    <w:rsid w:val="FEF7D53C"/>
    <w:rsid w:val="FEF99CBF"/>
    <w:rsid w:val="FEFC12E3"/>
    <w:rsid w:val="FEFEA587"/>
    <w:rsid w:val="FEFF7BD4"/>
    <w:rsid w:val="FF1E1442"/>
    <w:rsid w:val="FF3D390A"/>
    <w:rsid w:val="FF3E59B5"/>
    <w:rsid w:val="FF4FE9F1"/>
    <w:rsid w:val="FF5B8D7F"/>
    <w:rsid w:val="FF5D1F29"/>
    <w:rsid w:val="FF659D82"/>
    <w:rsid w:val="FF660C39"/>
    <w:rsid w:val="FF6BA83A"/>
    <w:rsid w:val="FF6C3765"/>
    <w:rsid w:val="FF6F0E8D"/>
    <w:rsid w:val="FF6FB5D7"/>
    <w:rsid w:val="FF738773"/>
    <w:rsid w:val="FF75DB73"/>
    <w:rsid w:val="FF76FAD4"/>
    <w:rsid w:val="FF7AEC13"/>
    <w:rsid w:val="FF7B056A"/>
    <w:rsid w:val="FF7B52EA"/>
    <w:rsid w:val="FF7B874E"/>
    <w:rsid w:val="FF7C84EC"/>
    <w:rsid w:val="FF7DC127"/>
    <w:rsid w:val="FF7EEB41"/>
    <w:rsid w:val="FF7F4185"/>
    <w:rsid w:val="FF7F4461"/>
    <w:rsid w:val="FF8F6649"/>
    <w:rsid w:val="FF97B671"/>
    <w:rsid w:val="FF9FA02E"/>
    <w:rsid w:val="FF9FA27F"/>
    <w:rsid w:val="FFA6D6F5"/>
    <w:rsid w:val="FFADDE42"/>
    <w:rsid w:val="FFAF5F11"/>
    <w:rsid w:val="FFAFD1D1"/>
    <w:rsid w:val="FFB2CB99"/>
    <w:rsid w:val="FFB769D4"/>
    <w:rsid w:val="FFB9A9CC"/>
    <w:rsid w:val="FFBCC349"/>
    <w:rsid w:val="FFBD8E1E"/>
    <w:rsid w:val="FFBEB8C7"/>
    <w:rsid w:val="FFBEC378"/>
    <w:rsid w:val="FFBF0390"/>
    <w:rsid w:val="FFC7C6F9"/>
    <w:rsid w:val="FFCC2759"/>
    <w:rsid w:val="FFCE4F99"/>
    <w:rsid w:val="FFCF23F3"/>
    <w:rsid w:val="FFCF688E"/>
    <w:rsid w:val="FFCF6C60"/>
    <w:rsid w:val="FFD1C576"/>
    <w:rsid w:val="FFD34341"/>
    <w:rsid w:val="FFD51B27"/>
    <w:rsid w:val="FFD55392"/>
    <w:rsid w:val="FFD73722"/>
    <w:rsid w:val="FFD9E784"/>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AC08"/>
    <w:rsid w:val="FFFAFB73"/>
    <w:rsid w:val="FFFAFE94"/>
    <w:rsid w:val="FFFB0977"/>
    <w:rsid w:val="FFFB2B15"/>
    <w:rsid w:val="FFFBAE4E"/>
    <w:rsid w:val="FFFD5F2A"/>
    <w:rsid w:val="FFFD8BDA"/>
    <w:rsid w:val="FFFDC7E6"/>
    <w:rsid w:val="FFFDDB9B"/>
    <w:rsid w:val="FFFE0AE4"/>
    <w:rsid w:val="FFFE5B9E"/>
    <w:rsid w:val="FFFEAABD"/>
    <w:rsid w:val="FFFEAF29"/>
    <w:rsid w:val="FFFECC37"/>
    <w:rsid w:val="FFFF509D"/>
    <w:rsid w:val="FFFF56D4"/>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5">
    <w:name w:val="heading 3"/>
    <w:basedOn w:val="1"/>
    <w:next w:val="1"/>
    <w:qFormat/>
    <w:uiPriority w:val="9"/>
    <w:pPr>
      <w:keepNext/>
      <w:keepLines/>
      <w:spacing w:before="260" w:after="260" w:line="416" w:lineRule="auto"/>
      <w:outlineLvl w:val="2"/>
    </w:pPr>
    <w:rPr>
      <w:bCs/>
      <w:szCs w:val="32"/>
    </w:rPr>
  </w:style>
  <w:style w:type="paragraph" w:styleId="6">
    <w:name w:val="heading 4"/>
    <w:basedOn w:val="1"/>
    <w:next w:val="1"/>
    <w:qFormat/>
    <w:uiPriority w:val="0"/>
    <w:pPr>
      <w:keepNext/>
      <w:keepLines/>
      <w:numPr>
        <w:ilvl w:val="3"/>
        <w:numId w:val="1"/>
      </w:numPr>
      <w:tabs>
        <w:tab w:val="left" w:pos="1726"/>
        <w:tab w:val="clear" w:pos="850"/>
      </w:tabs>
      <w:ind w:firstLineChars="0"/>
      <w:jc w:val="left"/>
      <w:outlineLvl w:val="3"/>
    </w:pPr>
    <w:rPr>
      <w:rFonts w:hAnsi="Arial"/>
      <w:bCs/>
      <w:szCs w:val="28"/>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0"/>
    <w:pPr>
      <w:spacing w:line="480" w:lineRule="exact"/>
      <w:ind w:firstLine="480" w:firstLineChars="200"/>
    </w:pPr>
    <w:rPr>
      <w:rFonts w:ascii="宋体" w:hAnsi="宋体"/>
      <w:color w:val="FF0000"/>
      <w:kern w:val="0"/>
      <w:sz w:val="24"/>
    </w:rPr>
  </w:style>
  <w:style w:type="paragraph" w:styleId="7">
    <w:name w:val="annotation text"/>
    <w:basedOn w:val="1"/>
    <w:link w:val="26"/>
    <w:qFormat/>
    <w:uiPriority w:val="0"/>
    <w:pPr>
      <w:jc w:val="left"/>
    </w:pPr>
  </w:style>
  <w:style w:type="paragraph" w:styleId="8">
    <w:name w:val="Body Text"/>
    <w:basedOn w:val="1"/>
    <w:next w:val="1"/>
    <w:qFormat/>
    <w:uiPriority w:val="0"/>
    <w:pPr>
      <w:spacing w:after="120"/>
    </w:pPr>
  </w:style>
  <w:style w:type="paragraph" w:styleId="9">
    <w:name w:val="Plain Text"/>
    <w:basedOn w:val="1"/>
    <w:unhideWhenUsed/>
    <w:qFormat/>
    <w:uiPriority w:val="99"/>
    <w:rPr>
      <w:rFonts w:ascii="宋体" w:hAnsi="Courier New" w:cs="Courier New"/>
    </w:rPr>
  </w:style>
  <w:style w:type="paragraph" w:styleId="10">
    <w:name w:val="Body Text Indent 2"/>
    <w:basedOn w:val="1"/>
    <w:next w:val="11"/>
    <w:qFormat/>
    <w:uiPriority w:val="0"/>
    <w:pPr>
      <w:spacing w:line="460" w:lineRule="exact"/>
      <w:ind w:firstLine="600" w:firstLineChars="200"/>
    </w:pPr>
    <w:rPr>
      <w:rFonts w:ascii="仿宋_GB2312" w:hAnsi="宋体" w:eastAsia="仿宋_GB2312"/>
      <w:sz w:val="30"/>
      <w:szCs w:val="28"/>
    </w:rPr>
  </w:style>
  <w:style w:type="paragraph" w:styleId="11">
    <w:name w:val="Body Text First Indent 2"/>
    <w:basedOn w:val="1"/>
    <w:next w:val="1"/>
    <w:unhideWhenUsed/>
    <w:qFormat/>
    <w:uiPriority w:val="0"/>
    <w:pPr>
      <w:spacing w:after="120" w:line="240" w:lineRule="auto"/>
      <w:ind w:left="420" w:leftChars="200" w:firstLine="420"/>
    </w:pPr>
  </w:style>
  <w:style w:type="paragraph" w:styleId="12">
    <w:name w:val="Balloon Text"/>
    <w:basedOn w:val="1"/>
    <w:link w:val="28"/>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6">
    <w:name w:val="Normal (Web)"/>
    <w:basedOn w:val="1"/>
    <w:qFormat/>
    <w:uiPriority w:val="0"/>
    <w:pPr>
      <w:jc w:val="left"/>
    </w:pPr>
    <w:rPr>
      <w:rFonts w:cs="Times New Roman"/>
      <w:kern w:val="0"/>
      <w:sz w:val="24"/>
    </w:rPr>
  </w:style>
  <w:style w:type="paragraph" w:styleId="17">
    <w:name w:val="annotation subject"/>
    <w:basedOn w:val="7"/>
    <w:next w:val="7"/>
    <w:link w:val="27"/>
    <w:qFormat/>
    <w:uiPriority w:val="0"/>
    <w:rPr>
      <w:b/>
      <w:bCs/>
    </w:rPr>
  </w:style>
  <w:style w:type="paragraph" w:styleId="18">
    <w:name w:val="Body Text First Indent"/>
    <w:basedOn w:val="8"/>
    <w:unhideWhenUsed/>
    <w:qFormat/>
    <w:uiPriority w:val="99"/>
    <w:pPr>
      <w:spacing w:after="120"/>
      <w:ind w:firstLine="420" w:firstLineChars="100"/>
    </w:pPr>
    <w:rPr>
      <w:rFonts w:ascii="Calibri" w:hAnsi="Calibri" w:eastAsia="宋体" w:cs="Times New Roman"/>
      <w:szCs w:val="22"/>
    </w:rPr>
  </w:style>
  <w:style w:type="character" w:styleId="21">
    <w:name w:val="annotation reference"/>
    <w:basedOn w:val="20"/>
    <w:qFormat/>
    <w:uiPriority w:val="0"/>
    <w:rPr>
      <w:sz w:val="21"/>
      <w:szCs w:val="21"/>
    </w:rPr>
  </w:style>
  <w:style w:type="paragraph" w:customStyle="1" w:styleId="22">
    <w:name w:val="Default"/>
    <w:basedOn w:val="23"/>
    <w:next w:val="11"/>
    <w:qFormat/>
    <w:uiPriority w:val="0"/>
    <w:pPr>
      <w:autoSpaceDE w:val="0"/>
      <w:autoSpaceDN w:val="0"/>
      <w:adjustRightInd w:val="0"/>
    </w:pPr>
    <w:rPr>
      <w:rFonts w:ascii="仿宋_GB2312" w:eastAsia="仿宋_GB2312" w:cs="仿宋_GB2312"/>
      <w:sz w:val="24"/>
    </w:rPr>
  </w:style>
  <w:style w:type="paragraph" w:customStyle="1" w:styleId="23">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24">
    <w:name w:val="Default1"/>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5">
    <w:name w:val="样式 标题 2"/>
    <w:basedOn w:val="4"/>
    <w:next w:val="24"/>
    <w:qFormat/>
    <w:uiPriority w:val="0"/>
    <w:pPr>
      <w:spacing w:before="50" w:after="50"/>
    </w:pPr>
    <w:rPr>
      <w:szCs w:val="28"/>
    </w:rPr>
  </w:style>
  <w:style w:type="character" w:customStyle="1" w:styleId="26">
    <w:name w:val="批注文字 Char"/>
    <w:basedOn w:val="20"/>
    <w:link w:val="7"/>
    <w:qFormat/>
    <w:uiPriority w:val="0"/>
    <w:rPr>
      <w:kern w:val="2"/>
      <w:sz w:val="21"/>
      <w:szCs w:val="24"/>
    </w:rPr>
  </w:style>
  <w:style w:type="character" w:customStyle="1" w:styleId="27">
    <w:name w:val="批注主题 Char"/>
    <w:basedOn w:val="26"/>
    <w:link w:val="17"/>
    <w:qFormat/>
    <w:uiPriority w:val="0"/>
    <w:rPr>
      <w:b/>
      <w:bCs/>
      <w:kern w:val="2"/>
      <w:sz w:val="21"/>
      <w:szCs w:val="24"/>
    </w:rPr>
  </w:style>
  <w:style w:type="character" w:customStyle="1" w:styleId="28">
    <w:name w:val="批注框文本 Char"/>
    <w:basedOn w:val="20"/>
    <w:link w:val="12"/>
    <w:qFormat/>
    <w:uiPriority w:val="0"/>
    <w:rPr>
      <w:kern w:val="2"/>
      <w:sz w:val="18"/>
      <w:szCs w:val="18"/>
    </w:rPr>
  </w:style>
  <w:style w:type="paragraph" w:customStyle="1" w:styleId="29">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30">
    <w:name w:val="List Paragraph"/>
    <w:basedOn w:val="1"/>
    <w:unhideWhenUsed/>
    <w:qFormat/>
    <w:uiPriority w:val="99"/>
    <w:pPr>
      <w:ind w:firstLine="420" w:firstLineChars="200"/>
    </w:pPr>
  </w:style>
  <w:style w:type="paragraph" w:customStyle="1" w:styleId="31">
    <w:name w:val="A0正文"/>
    <w:basedOn w:val="1"/>
    <w:qFormat/>
    <w:uiPriority w:val="0"/>
    <w:pPr>
      <w:spacing w:line="560" w:lineRule="exact"/>
      <w:ind w:firstLine="200" w:firstLineChars="200"/>
    </w:pPr>
    <w:rPr>
      <w:sz w:val="24"/>
      <w:szCs w:val="20"/>
      <w:lang w:val="zh-CN"/>
    </w:rPr>
  </w:style>
  <w:style w:type="paragraph" w:customStyle="1" w:styleId="32">
    <w:name w:val="小四+首行缩进"/>
    <w:basedOn w:val="1"/>
    <w:qFormat/>
    <w:uiPriority w:val="0"/>
    <w:pPr>
      <w:spacing w:line="360" w:lineRule="auto"/>
      <w:ind w:firstLine="482"/>
    </w:pPr>
    <w:rPr>
      <w:rFonts w:ascii="宋体" w:hAnsi="宋体"/>
      <w:kern w:val="0"/>
      <w:sz w:val="24"/>
    </w:rPr>
  </w:style>
  <w:style w:type="paragraph" w:customStyle="1" w:styleId="33">
    <w:name w:val="D正文"/>
    <w:basedOn w:val="1"/>
    <w:qFormat/>
    <w:uiPriority w:val="0"/>
    <w:pPr>
      <w:spacing w:line="360" w:lineRule="auto"/>
      <w:ind w:firstLine="480" w:firstLineChars="200"/>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Zxmsoft</Company>
  <Pages>10</Pages>
  <Words>4695</Words>
  <Characters>5262</Characters>
  <Lines>26</Lines>
  <Paragraphs>7</Paragraphs>
  <TotalTime>1</TotalTime>
  <ScaleCrop>false</ScaleCrop>
  <LinksUpToDate>false</LinksUpToDate>
  <CharactersWithSpaces>5496</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2022-03-13T09:25:00Z</dcterms:created>
  <dc:creator>Administrator</dc:creator>
  <cp:lastModifiedBy>admin123</cp:lastModifiedBy>
  <cp:lastPrinted>2022-11-02T08:18:41Z</cp:lastPrinted>
  <dcterms:modified xsi:type="dcterms:W3CDTF">2022-11-02T08:18:45Z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FCBE9B4CC0E04C92A70FAB8A4987C073</vt:lpwstr>
  </property>
</Properties>
</file>