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pacing w:line="600" w:lineRule="exact"/>
        <w:rPr>
          <w:rFonts w:hint="eastAsia" w:eastAsia="方正小标宋简体"/>
          <w:kern w:val="1"/>
          <w:sz w:val="32"/>
          <w:szCs w:val="32"/>
        </w:rPr>
      </w:pPr>
    </w:p>
    <w:p>
      <w:pPr>
        <w:adjustRightInd w:val="0"/>
        <w:spacing w:line="600" w:lineRule="exact"/>
        <w:rPr>
          <w:rFonts w:eastAsia="方正小标宋简体"/>
          <w:kern w:val="1"/>
          <w:sz w:val="32"/>
          <w:szCs w:val="32"/>
        </w:rPr>
      </w:pPr>
      <w:r>
        <w:rPr>
          <w:rFonts w:eastAsia="方正小标宋简体"/>
          <w:kern w:val="1"/>
          <w:sz w:val="32"/>
          <w:szCs w:val="32"/>
        </w:rPr>
        <mc:AlternateContent>
          <mc:Choice Requires="wps">
            <w:drawing>
              <wp:anchor distT="0" distB="0" distL="114300" distR="114300" simplePos="0" relativeHeight="251659264" behindDoc="0" locked="0" layoutInCell="1" allowOverlap="1">
                <wp:simplePos x="0" y="0"/>
                <wp:positionH relativeFrom="column">
                  <wp:posOffset>66675</wp:posOffset>
                </wp:positionH>
                <wp:positionV relativeFrom="paragraph">
                  <wp:posOffset>700405</wp:posOffset>
                </wp:positionV>
                <wp:extent cx="5459095" cy="956310"/>
                <wp:effectExtent l="9525" t="5080" r="8255" b="10160"/>
                <wp:wrapSquare wrapText="left"/>
                <wp:docPr id="1" name="文本框 1"/>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459095" cy="956310"/>
                        </a:xfrm>
                        <a:prstGeom prst="rect">
                          <a:avLst/>
                        </a:prstGeom>
                      </wps:spPr>
                      <wps:txbx>
                        <w:txbxContent>
                          <w:p>
                            <w:pPr>
                              <w:pStyle w:val="13"/>
                              <w:spacing w:before="0" w:beforeAutospacing="0" w:after="0" w:afterAutospacing="0"/>
                              <w:jc w:val="center"/>
                            </w:pPr>
                            <w:r>
                              <w:rPr>
                                <w:rFonts w:hint="eastAsia" w:ascii="方正小标宋简体" w:eastAsia="方正小标宋简体"/>
                                <w:color w:val="FF0000"/>
                                <w:sz w:val="88"/>
                                <w:szCs w:val="88"/>
                                <w14:textOutline w14:w="9525" w14:cap="flat" w14:cmpd="sng" w14:algn="ctr">
                                  <w14:solidFill>
                                    <w14:srgbClr w14:val="FF0000"/>
                                  </w14:solidFill>
                                  <w14:prstDash w14:val="solid"/>
                                  <w14:round/>
                                </w14:textOutline>
                              </w:rPr>
                              <w:t>宜春市农业农村局</w:t>
                            </w:r>
                          </w:p>
                        </w:txbxContent>
                      </wps:txbx>
                      <wps:bodyPr wrap="square" numCol="1" fromWordArt="1">
                        <a:prstTxWarp prst="textPlain">
                          <a:avLst>
                            <a:gd name="adj" fmla="val 50000"/>
                          </a:avLst>
                        </a:prstTxWarp>
                        <a:spAutoFit/>
                      </wps:bodyPr>
                    </wps:wsp>
                  </a:graphicData>
                </a:graphic>
              </wp:anchor>
            </w:drawing>
          </mc:Choice>
          <mc:Fallback>
            <w:pict>
              <v:shape id="_x0000_s1026" o:spid="_x0000_s1026" o:spt="202" type="#_x0000_t202" style="position:absolute;left:0pt;margin-left:5.25pt;margin-top:55.15pt;height:75.3pt;width:429.85pt;mso-wrap-distance-bottom:0pt;mso-wrap-distance-left:9pt;mso-wrap-distance-right:9pt;mso-wrap-distance-top:0pt;z-index:251659264;mso-width-relative:page;mso-height-relative:page;" filled="f" stroked="f" coordsize="21600,21600" o:gfxdata="UEsDBAoAAAAAAIdO4kAAAAAAAAAAAAAAAAAEAAAAZHJzL1BLAwQUAAAACACHTuJATkNZBdgAAAAK&#10;AQAADwAAAGRycy9kb3ducmV2LnhtbE2PTUvDQBCG74L/YRnBS7G7ibS2MZsiBS+CYKvodZodk9Ds&#10;bMhuP/z3jqd6Gl7m4Z1nytXZ9+pIY+wCW8imBhRxHVzHjYWP9+e7BaiYkB32gcnCD0VYVddXJRYu&#10;nHhDx21qlJRwLNBCm9JQaB3rljzGaRiIZfcdRo9J4thoN+JJyn2vc2Pm2mPHcqHFgdYt1fvtwVt4&#10;GsZP3Ps3T8svN1lPNvp19qKtvb3JzCOoROd0geFPX9ShEqddOLCLqpdsZkLKzMw9KAEWDyYHtbOQ&#10;z80SdFXq/y9Uv1BLAwQUAAAACACHTuJA4zcslyICAAApBAAADgAAAGRycy9lMm9Eb2MueG1srVPB&#10;ctMwEL0zwz9odKd2CumQTJxOaCiXAp1pmJ43khwbLK2QlNj5AfgDTly48135DlayEzrl0gM+aKTV&#10;6u17u8+zy043bKecr9EUfHSWc6aMQFmbTcE/ra5fvObMBzASGjSq4Hvl+eX8+bNZa6fqHCtspHKM&#10;QIyftrbgVQh2mmVeVEqDP0OrDF2W6DQEOrpNJh20hK6b7DzPL7IWnbQOhfKeosv+kg+I7imAWJa1&#10;UEsUW61M6FGdaiCQJF/V1vN5YluWSoSPZelVYE3BSWlIKxWh/Tqu2XwG040DW9VioABPofBIk4ba&#10;UNET1BICsK2r/4HStXDosQxnAnXWC0kdIRWj/FFv7iqwKmmhVnt7arr/f7Diw+7WsVqSEzgzoGng&#10;hx/fDz9/H359Y6PYntb6KWXdWcoL3RvsYmqU6u0Nii+eGbyqwGzUwjlsKwWS6EWwIZxErPaWkFN0&#10;pbrwVtY0iQSfPcDvi/lYad2+R0lPYBswVetKp2NVahkjCjS//Wl+hMgEBcevxpN8MuZM0N1kfPFy&#10;lAacwfT42jof3inULG4K7sgfCR12Nz6QWEo9ptAhUotsel6hW3dDP9Yo90SyJd8U3H/dglMkeKuv&#10;kGxGKkuH+p5svnBJZuQdYVfdPTg71A7E+rY5+iYRSAaSwxhAfiYg3ZAdd9CwcU5fnAdRHJIHsj1q&#10;P5EFteu6Tkoi+Z7noIQclF4Pbo8WfXhOWX//8Pk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TkNZ&#10;BdgAAAAKAQAADwAAAAAAAAABACAAAAAiAAAAZHJzL2Rvd25yZXYueG1sUEsBAhQAFAAAAAgAh07i&#10;QOM3LJciAgAAKQQAAA4AAAAAAAAAAQAgAAAAJwEAAGRycy9lMm9Eb2MueG1sUEsFBgAAAAAGAAYA&#10;WQEAALsFAAAAAA==&#10;" adj="10800">
                <v:fill on="f" focussize="0,0"/>
                <v:stroke on="f"/>
                <v:imagedata o:title=""/>
                <o:lock v:ext="edit" text="t" aspectratio="f"/>
                <v:textbox style="mso-fit-shape-to-text:t;">
                  <w:txbxContent>
                    <w:p>
                      <w:pPr>
                        <w:pStyle w:val="13"/>
                        <w:spacing w:before="0" w:beforeAutospacing="0" w:after="0" w:afterAutospacing="0"/>
                        <w:jc w:val="center"/>
                      </w:pPr>
                      <w:r>
                        <w:rPr>
                          <w:rFonts w:hint="eastAsia" w:ascii="方正小标宋简体" w:eastAsia="方正小标宋简体"/>
                          <w:color w:val="FF0000"/>
                          <w:sz w:val="88"/>
                          <w:szCs w:val="88"/>
                          <w14:textOutline w14:w="9525" w14:cap="flat" w14:cmpd="sng" w14:algn="ctr">
                            <w14:solidFill>
                              <w14:srgbClr w14:val="FF0000"/>
                            </w14:solidFill>
                            <w14:prstDash w14:val="solid"/>
                            <w14:round/>
                          </w14:textOutline>
                        </w:rPr>
                        <w:t>宜春市农业农村局</w:t>
                      </w:r>
                    </w:p>
                  </w:txbxContent>
                </v:textbox>
                <w10:wrap type="square" side="left"/>
              </v:shape>
            </w:pict>
          </mc:Fallback>
        </mc:AlternateContent>
      </w:r>
    </w:p>
    <w:p>
      <w:pPr>
        <w:adjustRightInd w:val="0"/>
        <w:spacing w:line="600" w:lineRule="exact"/>
        <w:rPr>
          <w:rFonts w:hint="eastAsia" w:eastAsia="方正小标宋简体"/>
          <w:kern w:val="1"/>
          <w:sz w:val="32"/>
          <w:szCs w:val="32"/>
        </w:rPr>
      </w:pPr>
    </w:p>
    <w:p>
      <w:pPr>
        <w:spacing w:line="600" w:lineRule="exact"/>
        <w:rPr>
          <w:rFonts w:hint="eastAsia" w:ascii="仿宋_GB2312" w:eastAsia="仿宋_GB2312"/>
          <w:sz w:val="32"/>
          <w:szCs w:val="32"/>
        </w:rPr>
      </w:pPr>
    </w:p>
    <w:p>
      <w:pPr>
        <w:spacing w:line="600" w:lineRule="exact"/>
        <w:jc w:val="center"/>
        <w:rPr>
          <w:rFonts w:ascii="仿宋_GB2312" w:eastAsia="仿宋_GB2312"/>
          <w:sz w:val="32"/>
          <w:szCs w:val="32"/>
        </w:rPr>
      </w:pPr>
      <w:r>
        <w:rPr>
          <w:rFonts w:ascii="Times New Roman" w:eastAsia="仿宋_GB2312"/>
          <w:sz w:val="32"/>
          <w:szCs w:val="32"/>
        </w:rPr>
        <w:t>宜农</w:t>
      </w:r>
      <w:r>
        <w:rPr>
          <w:rFonts w:hint="eastAsia" w:ascii="Times New Roman" w:eastAsia="仿宋_GB2312"/>
          <w:sz w:val="32"/>
          <w:szCs w:val="32"/>
        </w:rPr>
        <w:t>字</w:t>
      </w:r>
      <w:r>
        <w:rPr>
          <w:rFonts w:ascii="Times New Roman" w:eastAsia="仿宋_GB2312"/>
          <w:sz w:val="32"/>
          <w:szCs w:val="32"/>
        </w:rPr>
        <w:t>〔</w:t>
      </w:r>
      <w:r>
        <w:rPr>
          <w:rFonts w:ascii="Times New Roman" w:hAnsi="Times New Roman" w:eastAsia="仿宋_GB2312"/>
          <w:sz w:val="32"/>
          <w:szCs w:val="32"/>
        </w:rPr>
        <w:t>2022</w:t>
      </w:r>
      <w:r>
        <w:rPr>
          <w:rFonts w:ascii="Times New Roman" w:eastAsia="仿宋_GB2312"/>
          <w:sz w:val="32"/>
          <w:szCs w:val="32"/>
        </w:rPr>
        <w:t>〕</w:t>
      </w:r>
      <w:r>
        <w:rPr>
          <w:rFonts w:ascii="Times New Roman" w:hAnsi="Times New Roman" w:eastAsia="仿宋_GB2312"/>
          <w:sz w:val="32"/>
          <w:szCs w:val="32"/>
        </w:rPr>
        <w:t>9</w:t>
      </w:r>
      <w:r>
        <w:rPr>
          <w:rFonts w:ascii="Times New Roman" w:eastAsia="仿宋_GB2312"/>
          <w:sz w:val="32"/>
          <w:szCs w:val="32"/>
        </w:rPr>
        <w:t>号</w:t>
      </w:r>
    </w:p>
    <w:p>
      <w:pPr>
        <w:spacing w:line="600" w:lineRule="exact"/>
        <w:rPr>
          <w:rFonts w:ascii="仿宋_GB2312" w:hAnsi="仿宋" w:eastAsia="仿宋_GB2312"/>
          <w:b/>
          <w:sz w:val="32"/>
          <w:szCs w:val="32"/>
          <w:u w:val="thick" w:color="FF0000"/>
        </w:rPr>
      </w:pPr>
      <w:r>
        <w:rPr>
          <w:rFonts w:eastAsia="仿宋_GB2312"/>
          <w:sz w:val="32"/>
          <w:szCs w:val="32"/>
        </w:rPr>
        <w:t xml:space="preserve">   </w:t>
      </w:r>
      <w:r>
        <mc:AlternateContent>
          <mc:Choice Requires="wps">
            <w:drawing>
              <wp:anchor distT="0" distB="0" distL="114300" distR="114300" simplePos="0" relativeHeight="251660288" behindDoc="0" locked="0" layoutInCell="1" allowOverlap="1">
                <wp:simplePos x="0" y="0"/>
                <wp:positionH relativeFrom="column">
                  <wp:posOffset>-80010</wp:posOffset>
                </wp:positionH>
                <wp:positionV relativeFrom="paragraph">
                  <wp:posOffset>100330</wp:posOffset>
                </wp:positionV>
                <wp:extent cx="5793740" cy="0"/>
                <wp:effectExtent l="0" t="19050" r="35560" b="19050"/>
                <wp:wrapNone/>
                <wp:docPr id="2" name="直接连接符 2"/>
                <wp:cNvGraphicFramePr/>
                <a:graphic xmlns:a="http://schemas.openxmlformats.org/drawingml/2006/main">
                  <a:graphicData uri="http://schemas.microsoft.com/office/word/2010/wordprocessingShape">
                    <wps:wsp>
                      <wps:cNvCnPr>
                        <a:cxnSpLocks noChangeShapeType="1"/>
                      </wps:cNvCnPr>
                      <wps:spPr bwMode="auto">
                        <a:xfrm flipV="1">
                          <a:off x="0" y="0"/>
                          <a:ext cx="5793740" cy="0"/>
                        </a:xfrm>
                        <a:prstGeom prst="line">
                          <a:avLst/>
                        </a:prstGeom>
                        <a:noFill/>
                        <a:ln w="28575">
                          <a:solidFill>
                            <a:srgbClr val="FF0000"/>
                          </a:solidFill>
                          <a:round/>
                        </a:ln>
                      </wps:spPr>
                      <wps:bodyPr/>
                    </wps:wsp>
                  </a:graphicData>
                </a:graphic>
              </wp:anchor>
            </w:drawing>
          </mc:Choice>
          <mc:Fallback>
            <w:pict>
              <v:line id="_x0000_s1026" o:spid="_x0000_s1026" o:spt="20" style="position:absolute;left:0pt;flip:y;margin-left:-6.3pt;margin-top:7.9pt;height:0pt;width:456.2pt;z-index:251660288;mso-width-relative:page;mso-height-relative:page;" filled="f" stroked="t" coordsize="21600,21600" o:gfxdata="UEsDBAoAAAAAAIdO4kAAAAAAAAAAAAAAAAAEAAAAZHJzL1BLAwQUAAAACACHTuJA0ddyP9kAAAAJ&#10;AQAADwAAAGRycy9kb3ducmV2LnhtbE2PS0/DQAyE70j8h5WRuLWbVGpIQzY9oPISSIgCEsdt1iRR&#10;s3aU3T7g12PEAW62ZzT+plwefa/2OIaOyUA6TUAh1ew6agy8vlxPclAhWnK2Z0IDnxhgWZ2elLZw&#10;fKBn3K9joySEQmENtDEOhdahbtHbMOUBSbQPHr2Nso6NdqM9SLjv9SxJMu1tR/KhtQNetVhv1ztv&#10;YHX39rC6/Wocb7PHJz+/ec/vL9iY87M0uQQV8Rj/zPCDL+hQCdOGd+SC6g1M0lkmVhHmUkEM+WIh&#10;w+b3oKtS/29QfQNQSwMEFAAAAAgAh07iQML/KMnuAQAAtQMAAA4AAABkcnMvZTJvRG9jLnhtbK1T&#10;sXITMRDtmeEfNOrx2QbjcONzCntME8AzCellnc6nQdJqtLLP/gl+gBk6qCjp+RvCZ2QlO04ITQqu&#10;0Gi1u2/3vd2bnO+sYVsVUIOr+KDX50w5CbV264p/vFq8OOMMo3C1MOBUxfcK+fn0+bNJ50s1hBZM&#10;rQIjEIdl5yvexujLokDZKiuwB145cjYQrIhkhnVRB9ERujXFsN9/XXQQah9AKkR6nR+c/IgYngII&#10;TaOlmoPcWOXiATUoIyJRwlZ75NPcbdMoGT80DarITMWJacwnFaH7Kp3FdCLKdRC+1fLYgnhKC484&#10;WaEdFT1BzUUUbBP0P1BWywAITexJsMWBSFaEWAz6j7S5bIVXmQtJjf4kOv4/WPl+uwxM1xUfcuaE&#10;pYHffPn5+/O3P7++0nnz4zsbJpE6jyXFztwyJJpy5y79BchPyBzMWuHWKjd7tfeEMEgZxV8pyUBP&#10;pVbdO6gpRmwiZMV2TbCsMdpfp8QETqqwXR7R/jQitYtM0uNo/Obl+BVNT975ClEmiJToA8a3CixL&#10;l4ob7ZJ6ohTbC4yppfuQ9OxgoY3JG2Ac60iCs9F4lDMQjK6TN8VhWK9mJrCtoCVaLPr0ZYLkeRgW&#10;YOPqQxXjjvwT5YN4K6j3y3CnC00zt3PcvLQuD+2cff+3TW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0ddyP9kAAAAJAQAADwAAAAAAAAABACAAAAAiAAAAZHJzL2Rvd25yZXYueG1sUEsBAhQAFAAA&#10;AAgAh07iQML/KMnuAQAAtQMAAA4AAAAAAAAAAQAgAAAAKAEAAGRycy9lMm9Eb2MueG1sUEsFBgAA&#10;AAAGAAYAWQEAAIgFAAAAAA==&#10;">
                <v:fill on="f" focussize="0,0"/>
                <v:stroke weight="2.25pt" color="#FF0000" joinstyle="round"/>
                <v:imagedata o:title=""/>
                <o:lock v:ext="edit" aspectratio="f"/>
              </v:line>
            </w:pict>
          </mc:Fallback>
        </mc:AlternateContent>
      </w:r>
    </w:p>
    <w:p>
      <w:pPr>
        <w:spacing w:line="600" w:lineRule="exact"/>
        <w:jc w:val="center"/>
        <w:rPr>
          <w:rFonts w:ascii="方正小标宋简体" w:hAnsi="仿宋" w:eastAsia="方正小标宋简体"/>
          <w:sz w:val="44"/>
          <w:szCs w:val="44"/>
        </w:rPr>
      </w:pPr>
      <w:r>
        <w:rPr>
          <w:rFonts w:hint="eastAsia" w:ascii="方正小标宋简体" w:hAnsi="仿宋" w:eastAsia="方正小标宋简体"/>
          <w:sz w:val="44"/>
          <w:szCs w:val="44"/>
        </w:rPr>
        <w:t>关于印发《宜春市“十四五”农业农村</w:t>
      </w:r>
    </w:p>
    <w:p>
      <w:pPr>
        <w:spacing w:line="600" w:lineRule="exact"/>
        <w:jc w:val="center"/>
        <w:rPr>
          <w:rFonts w:ascii="方正小标宋简体" w:hAnsi="仿宋" w:eastAsia="方正小标宋简体"/>
          <w:sz w:val="44"/>
          <w:szCs w:val="44"/>
        </w:rPr>
      </w:pPr>
      <w:r>
        <w:rPr>
          <w:rFonts w:hint="eastAsia" w:ascii="方正小标宋简体" w:hAnsi="仿宋" w:eastAsia="方正小标宋简体"/>
          <w:sz w:val="44"/>
          <w:szCs w:val="44"/>
        </w:rPr>
        <w:t>现代化规划》的通知</w:t>
      </w:r>
    </w:p>
    <w:p>
      <w:pPr>
        <w:jc w:val="center"/>
        <w:rPr>
          <w:rFonts w:ascii="方正小标宋简体" w:hAnsi="仿宋" w:eastAsia="方正小标宋简体"/>
          <w:sz w:val="44"/>
          <w:szCs w:val="44"/>
        </w:rPr>
      </w:pPr>
    </w:p>
    <w:p>
      <w:pPr>
        <w:spacing w:line="60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各县（市、区）农业农村局、明月山温泉风景名胜区社会事业局、局机关各科站：</w:t>
      </w:r>
    </w:p>
    <w:p>
      <w:pPr>
        <w:spacing w:line="600" w:lineRule="exact"/>
        <w:ind w:firstLine="600"/>
        <w:rPr>
          <w:rFonts w:ascii="Times New Roman" w:hAnsi="Times New Roman" w:eastAsia="仿宋_GB2312" w:cs="Times New Roman"/>
          <w:sz w:val="32"/>
          <w:szCs w:val="32"/>
        </w:rPr>
      </w:pPr>
      <w:r>
        <w:rPr>
          <w:rFonts w:ascii="Times New Roman" w:hAnsi="Times New Roman" w:eastAsia="仿宋_GB2312" w:cs="Times New Roman"/>
          <w:sz w:val="32"/>
          <w:szCs w:val="32"/>
        </w:rPr>
        <w:t>现将《宜春市“十四五”农业农村现代化规划》印发给你们，请认真贯彻执行。</w:t>
      </w:r>
    </w:p>
    <w:p>
      <w:pPr>
        <w:spacing w:line="600" w:lineRule="exact"/>
        <w:ind w:firstLine="600"/>
        <w:rPr>
          <w:rFonts w:ascii="Times New Roman" w:hAnsi="Times New Roman" w:eastAsia="仿宋_GB2312" w:cs="Times New Roman"/>
          <w:sz w:val="32"/>
          <w:szCs w:val="32"/>
        </w:rPr>
      </w:pPr>
    </w:p>
    <w:p>
      <w:pPr>
        <w:spacing w:line="600" w:lineRule="exact"/>
        <w:ind w:firstLine="6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附</w:t>
      </w:r>
      <w:r>
        <w:rPr>
          <w:rFonts w:ascii="Times New Roman" w:hAnsi="Times New Roman" w:eastAsia="仿宋_GB2312" w:cs="Times New Roman"/>
          <w:sz w:val="32"/>
          <w:szCs w:val="32"/>
        </w:rPr>
        <w:t>件：宜春市“十四五”农业农村现代化规划</w:t>
      </w:r>
    </w:p>
    <w:p>
      <w:pPr>
        <w:spacing w:line="600" w:lineRule="exact"/>
        <w:ind w:firstLine="600"/>
        <w:rPr>
          <w:rFonts w:ascii="Times New Roman" w:hAnsi="Times New Roman" w:eastAsia="仿宋_GB2312" w:cs="Times New Roman"/>
          <w:sz w:val="32"/>
          <w:szCs w:val="32"/>
        </w:rPr>
      </w:pPr>
    </w:p>
    <w:p>
      <w:pPr>
        <w:spacing w:line="600" w:lineRule="exact"/>
        <w:ind w:firstLine="600"/>
        <w:rPr>
          <w:rFonts w:hint="eastAsia" w:ascii="Times New Roman" w:hAnsi="Times New Roman" w:eastAsia="仿宋_GB2312" w:cs="Times New Roman"/>
          <w:sz w:val="32"/>
          <w:szCs w:val="32"/>
        </w:rPr>
      </w:pPr>
    </w:p>
    <w:p>
      <w:pPr>
        <w:spacing w:line="600" w:lineRule="exact"/>
        <w:ind w:firstLine="60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2022年3月9日</w:t>
      </w:r>
    </w:p>
    <w:p>
      <w:pPr>
        <w:spacing w:line="600" w:lineRule="exact"/>
        <w:rPr>
          <w:rFonts w:ascii="Times New Roman" w:hAnsi="Times New Roman" w:eastAsia="仿宋_GB2312" w:cs="Times New Roman"/>
          <w:sz w:val="32"/>
          <w:szCs w:val="32"/>
        </w:rPr>
      </w:pPr>
    </w:p>
    <w:p>
      <w:pPr>
        <w:spacing w:line="600" w:lineRule="exact"/>
        <w:rPr>
          <w:rFonts w:ascii="Times New Roman" w:hAnsi="Times New Roman" w:eastAsia="仿宋_GB2312" w:cs="Times New Roman"/>
          <w:sz w:val="32"/>
          <w:szCs w:val="32"/>
        </w:rPr>
      </w:pPr>
    </w:p>
    <w:p>
      <w:pPr>
        <w:pageBreakBefore/>
        <w:jc w:val="center"/>
        <w:rPr>
          <w:rFonts w:ascii="黑体" w:hAnsi="黑体" w:eastAsia="黑体" w:cs="Times New Roman"/>
          <w:b/>
          <w:bCs/>
          <w:sz w:val="32"/>
          <w:szCs w:val="32"/>
        </w:rPr>
      </w:pPr>
      <w:r>
        <w:rPr>
          <w:rFonts w:hint="eastAsia" w:ascii="黑体" w:hAnsi="黑体" w:eastAsia="黑体" w:cs="黑体"/>
          <w:b/>
          <w:bCs/>
          <w:sz w:val="32"/>
          <w:szCs w:val="32"/>
        </w:rPr>
        <w:t>宜春市“十四五”农业农村现代化规划</w:t>
      </w:r>
    </w:p>
    <w:p>
      <w:pPr>
        <w:pStyle w:val="3"/>
        <w:jc w:val="center"/>
        <w:rPr>
          <w:rFonts w:ascii="黑体" w:hAnsi="黑体" w:eastAsia="黑体" w:cs="Times New Roman"/>
          <w:sz w:val="30"/>
          <w:szCs w:val="30"/>
        </w:rPr>
      </w:pPr>
      <w:bookmarkStart w:id="0" w:name="_Toc57879176"/>
      <w:bookmarkStart w:id="1" w:name="_Toc96329860"/>
      <w:bookmarkStart w:id="2" w:name="_Toc4462"/>
      <w:r>
        <w:rPr>
          <w:rFonts w:hint="eastAsia" w:ascii="黑体" w:hAnsi="黑体" w:eastAsia="黑体" w:cs="黑体"/>
          <w:sz w:val="30"/>
          <w:szCs w:val="30"/>
        </w:rPr>
        <w:t>前言</w:t>
      </w:r>
      <w:bookmarkEnd w:id="0"/>
      <w:bookmarkEnd w:id="1"/>
      <w:bookmarkEnd w:id="2"/>
    </w:p>
    <w:p>
      <w:pPr>
        <w:spacing w:line="360" w:lineRule="auto"/>
        <w:ind w:firstLine="600" w:firstLineChars="200"/>
        <w:rPr>
          <w:rFonts w:ascii="仿宋" w:hAnsi="仿宋" w:eastAsia="仿宋" w:cs="Times New Roman"/>
          <w:sz w:val="30"/>
          <w:szCs w:val="30"/>
        </w:rPr>
      </w:pPr>
      <w:bookmarkStart w:id="3" w:name="_Toc24931"/>
      <w:bookmarkStart w:id="4" w:name="_Toc57879177"/>
      <w:bookmarkStart w:id="5" w:name="_Hlk56874265"/>
      <w:r>
        <w:rPr>
          <w:rFonts w:hint="eastAsia" w:ascii="仿宋" w:hAnsi="仿宋" w:eastAsia="仿宋" w:cs="仿宋"/>
          <w:sz w:val="30"/>
          <w:szCs w:val="30"/>
        </w:rPr>
        <w:t>“十四五”规划是全面开启新时代中国特色社会主义现代化新征程的第一个五年规划，是推动高质量发展，着力解决发展不平衡、不充分问题的五年规划，是主动适应新形势、融入新格局、抢抓新机遇的五年规划。“十四五”期间，如期实现第一个百年奋斗目标并向第二个百年奋斗目标迈进，最艰巨最繁重的任务在农村，最广泛最深厚的基础在农村，最大潜力和后劲也在农村。</w:t>
      </w:r>
    </w:p>
    <w:p>
      <w:pPr>
        <w:spacing w:line="360" w:lineRule="auto"/>
        <w:ind w:firstLine="600" w:firstLineChars="200"/>
        <w:rPr>
          <w:rFonts w:ascii="仿宋" w:hAnsi="仿宋" w:eastAsia="仿宋" w:cs="Times New Roman"/>
          <w:sz w:val="30"/>
          <w:szCs w:val="30"/>
        </w:rPr>
      </w:pPr>
      <w:r>
        <w:rPr>
          <w:rFonts w:hint="eastAsia" w:ascii="仿宋" w:hAnsi="仿宋" w:eastAsia="仿宋" w:cs="仿宋"/>
          <w:sz w:val="30"/>
          <w:szCs w:val="30"/>
        </w:rPr>
        <w:t>《宜春市“十四五”农业农村现代化规划》立足新发展阶段，在总结“十三五”成效和主要经验的基础上，客观分析“十四五”期间宜春市农业农村面临的机遇和挑战，依据《宜春市国民经济和社会发展第十四个五年规划和二〇三五年远景目标纲要》和《宜春市乡村振兴战略规划（</w:t>
      </w:r>
      <w:r>
        <w:rPr>
          <w:rFonts w:ascii="仿宋" w:hAnsi="仿宋" w:eastAsia="仿宋" w:cs="仿宋"/>
          <w:sz w:val="30"/>
          <w:szCs w:val="30"/>
        </w:rPr>
        <w:t>2018-2022</w:t>
      </w:r>
      <w:r>
        <w:rPr>
          <w:rFonts w:hint="eastAsia" w:ascii="仿宋" w:hAnsi="仿宋" w:eastAsia="仿宋" w:cs="仿宋"/>
          <w:sz w:val="30"/>
          <w:szCs w:val="30"/>
        </w:rPr>
        <w:t>年）》的战略要求，谋划“十四五”期间宜春市农业农村现代化发展的总体任务目标和实施路径，谋求具有宜春特色的农业强市与乡村振兴之路。《规划》提出“三化一融”的整体战略框架，明确战略目标、重点任务、重大工程与重要举措，为实现农业全面升级、农村全面进步、农民全面发展提供重要依据。规划基期为</w:t>
      </w:r>
      <w:r>
        <w:rPr>
          <w:rFonts w:ascii="仿宋" w:hAnsi="仿宋" w:eastAsia="仿宋" w:cs="仿宋"/>
          <w:sz w:val="30"/>
          <w:szCs w:val="30"/>
        </w:rPr>
        <w:t>2020</w:t>
      </w:r>
      <w:r>
        <w:rPr>
          <w:rFonts w:hint="eastAsia" w:ascii="仿宋" w:hAnsi="仿宋" w:eastAsia="仿宋" w:cs="仿宋"/>
          <w:sz w:val="30"/>
          <w:szCs w:val="30"/>
        </w:rPr>
        <w:t>年，规划年限为</w:t>
      </w:r>
      <w:r>
        <w:rPr>
          <w:rFonts w:ascii="仿宋" w:hAnsi="仿宋" w:eastAsia="仿宋" w:cs="仿宋"/>
          <w:sz w:val="30"/>
          <w:szCs w:val="30"/>
        </w:rPr>
        <w:t>2021</w:t>
      </w:r>
      <w:r>
        <w:rPr>
          <w:rFonts w:hint="eastAsia" w:ascii="仿宋" w:hAnsi="仿宋" w:eastAsia="仿宋" w:cs="仿宋"/>
          <w:sz w:val="30"/>
          <w:szCs w:val="30"/>
        </w:rPr>
        <w:t>年</w:t>
      </w:r>
      <w:r>
        <w:rPr>
          <w:rFonts w:ascii="仿宋" w:hAnsi="仿宋" w:eastAsia="仿宋" w:cs="仿宋"/>
          <w:sz w:val="30"/>
          <w:szCs w:val="30"/>
        </w:rPr>
        <w:t>-2025</w:t>
      </w:r>
      <w:r>
        <w:rPr>
          <w:rFonts w:hint="eastAsia" w:ascii="仿宋" w:hAnsi="仿宋" w:eastAsia="仿宋" w:cs="仿宋"/>
          <w:sz w:val="30"/>
          <w:szCs w:val="30"/>
        </w:rPr>
        <w:t>年。</w:t>
      </w:r>
    </w:p>
    <w:p>
      <w:pPr>
        <w:pStyle w:val="3"/>
        <w:keepNext w:val="0"/>
        <w:keepLines w:val="0"/>
        <w:pageBreakBefore/>
        <w:jc w:val="center"/>
        <w:rPr>
          <w:rFonts w:ascii="黑体" w:hAnsi="黑体" w:eastAsia="黑体" w:cs="Times New Roman"/>
          <w:sz w:val="30"/>
          <w:szCs w:val="30"/>
        </w:rPr>
      </w:pPr>
      <w:bookmarkStart w:id="6" w:name="_Toc96329861"/>
      <w:r>
        <w:rPr>
          <w:rFonts w:hint="eastAsia" w:ascii="黑体" w:hAnsi="黑体" w:eastAsia="黑体" w:cs="黑体"/>
          <w:sz w:val="30"/>
          <w:szCs w:val="30"/>
        </w:rPr>
        <w:t>第一章</w:t>
      </w:r>
      <w:r>
        <w:rPr>
          <w:rFonts w:ascii="黑体" w:hAnsi="黑体" w:eastAsia="黑体" w:cs="黑体"/>
          <w:sz w:val="30"/>
          <w:szCs w:val="30"/>
        </w:rPr>
        <w:t xml:space="preserve"> </w:t>
      </w:r>
      <w:bookmarkEnd w:id="3"/>
      <w:bookmarkEnd w:id="4"/>
      <w:r>
        <w:rPr>
          <w:rFonts w:hint="eastAsia" w:ascii="黑体" w:hAnsi="黑体" w:eastAsia="黑体" w:cs="黑体"/>
          <w:sz w:val="30"/>
          <w:szCs w:val="30"/>
        </w:rPr>
        <w:t>规划背景</w:t>
      </w:r>
      <w:bookmarkEnd w:id="6"/>
    </w:p>
    <w:bookmarkEnd w:id="5"/>
    <w:p>
      <w:pPr>
        <w:pStyle w:val="2"/>
        <w:jc w:val="center"/>
        <w:rPr>
          <w:rFonts w:ascii="黑体" w:hAnsi="黑体" w:eastAsia="黑体" w:cs="Times New Roman"/>
          <w:sz w:val="30"/>
          <w:szCs w:val="30"/>
        </w:rPr>
      </w:pPr>
      <w:bookmarkStart w:id="7" w:name="_Toc57879178"/>
      <w:bookmarkStart w:id="8" w:name="_Toc27673"/>
      <w:bookmarkStart w:id="9" w:name="_Toc96329862"/>
      <w:bookmarkStart w:id="10" w:name="_Hlk56868173"/>
      <w:r>
        <w:rPr>
          <w:rFonts w:hint="eastAsia" w:ascii="黑体" w:hAnsi="黑体" w:eastAsia="黑体" w:cs="黑体"/>
          <w:sz w:val="30"/>
          <w:szCs w:val="30"/>
        </w:rPr>
        <w:t>第一节</w:t>
      </w:r>
      <w:r>
        <w:rPr>
          <w:rFonts w:ascii="黑体" w:hAnsi="黑体" w:eastAsia="黑体" w:cs="黑体"/>
          <w:sz w:val="30"/>
          <w:szCs w:val="30"/>
        </w:rPr>
        <w:t xml:space="preserve"> </w:t>
      </w:r>
      <w:bookmarkEnd w:id="7"/>
      <w:bookmarkEnd w:id="8"/>
      <w:r>
        <w:rPr>
          <w:rFonts w:hint="eastAsia" w:ascii="黑体" w:hAnsi="黑体" w:eastAsia="黑体" w:cs="黑体"/>
          <w:sz w:val="30"/>
          <w:szCs w:val="30"/>
        </w:rPr>
        <w:t>发展基础</w:t>
      </w:r>
      <w:bookmarkEnd w:id="9"/>
    </w:p>
    <w:bookmarkEnd w:id="10"/>
    <w:p>
      <w:pPr>
        <w:spacing w:line="360" w:lineRule="auto"/>
        <w:ind w:firstLine="600" w:firstLineChars="200"/>
        <w:rPr>
          <w:rFonts w:ascii="仿宋" w:hAnsi="仿宋" w:eastAsia="仿宋" w:cs="Times New Roman"/>
          <w:sz w:val="30"/>
          <w:szCs w:val="30"/>
        </w:rPr>
      </w:pPr>
      <w:r>
        <w:rPr>
          <w:rFonts w:hint="eastAsia" w:ascii="仿宋" w:hAnsi="仿宋" w:eastAsia="仿宋" w:cs="仿宋"/>
          <w:sz w:val="30"/>
          <w:szCs w:val="30"/>
        </w:rPr>
        <w:t>“十三五”时期，是全市脱贫攻坚的决胜阶段，是与全国全省同步全面建成小康社会的决胜阶段，是加快转变农业发展方式，推进农业供给侧结构性改革的攻坚时期，是正式开启农业农村现代化征程的“两个百年”历史交汇期。在“创新、协调、绿色、开放、共享”新发展理念的引领下，宜春市坚持把解决好“三农”问题作为工作重中之重，持续加大强农惠农富农政策力度，扎实推进农业农村现代化，全面深化农村改革，农业农村发展取得历史性成就，农产品供给能力明显提升，农业产业结构明显优化，特色优势农业发展明显加速，农业农村活力明显增强，农村人居环境明显改善，村容村貌焕然一新，为“十四五”农业农村现代化发展和乡村全面振兴奠定了坚实基础。</w:t>
      </w:r>
    </w:p>
    <w:p>
      <w:pPr>
        <w:pStyle w:val="4"/>
        <w:spacing w:before="0" w:after="0" w:line="360" w:lineRule="auto"/>
        <w:ind w:firstLine="643" w:firstLineChars="200"/>
        <w:rPr>
          <w:rFonts w:eastAsia="仿宋" w:cs="Times New Roman"/>
        </w:rPr>
      </w:pPr>
      <w:bookmarkStart w:id="11" w:name="_Toc32101"/>
      <w:bookmarkStart w:id="12" w:name="_Toc57879179"/>
      <w:bookmarkStart w:id="13" w:name="_Toc96329863"/>
      <w:r>
        <w:rPr>
          <w:rFonts w:hint="eastAsia" w:eastAsia="仿宋" w:cs="仿宋"/>
        </w:rPr>
        <w:t>一、农业生产步伐稳健有力</w:t>
      </w:r>
      <w:bookmarkEnd w:id="11"/>
      <w:bookmarkEnd w:id="12"/>
      <w:bookmarkEnd w:id="13"/>
    </w:p>
    <w:p>
      <w:pPr>
        <w:widowControl/>
        <w:spacing w:line="360" w:lineRule="auto"/>
        <w:ind w:firstLine="600" w:firstLineChars="200"/>
        <w:jc w:val="left"/>
        <w:rPr>
          <w:rFonts w:ascii="仿宋" w:hAnsi="仿宋" w:eastAsia="仿宋" w:cs="Times New Roman"/>
          <w:sz w:val="30"/>
          <w:szCs w:val="30"/>
          <w:lang w:val="zh-CN"/>
        </w:rPr>
      </w:pPr>
      <w:r>
        <w:rPr>
          <w:rFonts w:ascii="仿宋" w:hAnsi="仿宋" w:eastAsia="仿宋" w:cs="仿宋"/>
          <w:sz w:val="30"/>
          <w:szCs w:val="30"/>
          <w:lang w:val="zh-CN"/>
        </w:rPr>
        <w:t>2020</w:t>
      </w:r>
      <w:r>
        <w:rPr>
          <w:rFonts w:hint="eastAsia" w:ascii="仿宋" w:hAnsi="仿宋" w:eastAsia="仿宋" w:cs="仿宋"/>
          <w:sz w:val="30"/>
          <w:szCs w:val="30"/>
          <w:lang w:val="zh-CN"/>
        </w:rPr>
        <w:t>年，宜春市全年农业总产值</w:t>
      </w:r>
      <w:r>
        <w:rPr>
          <w:rFonts w:ascii="仿宋" w:hAnsi="仿宋" w:eastAsia="仿宋" w:cs="仿宋"/>
          <w:sz w:val="30"/>
          <w:szCs w:val="30"/>
          <w:lang w:val="zh-CN"/>
        </w:rPr>
        <w:t>559.4</w:t>
      </w:r>
      <w:r>
        <w:rPr>
          <w:rFonts w:hint="eastAsia" w:ascii="仿宋" w:hAnsi="仿宋" w:eastAsia="仿宋" w:cs="仿宋"/>
          <w:sz w:val="30"/>
          <w:szCs w:val="30"/>
          <w:lang w:val="zh-CN"/>
        </w:rPr>
        <w:t>亿元，粮食种植面积</w:t>
      </w:r>
      <w:r>
        <w:rPr>
          <w:rFonts w:ascii="仿宋" w:hAnsi="仿宋" w:eastAsia="仿宋" w:cs="仿宋"/>
          <w:sz w:val="30"/>
          <w:szCs w:val="30"/>
          <w:lang w:val="zh-CN"/>
        </w:rPr>
        <w:t>922.4</w:t>
      </w:r>
      <w:r>
        <w:rPr>
          <w:rFonts w:hint="eastAsia" w:ascii="仿宋" w:hAnsi="仿宋" w:eastAsia="仿宋" w:cs="仿宋"/>
          <w:sz w:val="30"/>
          <w:szCs w:val="30"/>
          <w:lang w:val="zh-CN"/>
        </w:rPr>
        <w:t>万亩，粮食总产量</w:t>
      </w:r>
      <w:r>
        <w:rPr>
          <w:rFonts w:ascii="仿宋" w:hAnsi="仿宋" w:eastAsia="仿宋" w:cs="仿宋"/>
          <w:sz w:val="30"/>
          <w:szCs w:val="30"/>
          <w:lang w:val="zh-CN"/>
        </w:rPr>
        <w:t>374.02</w:t>
      </w:r>
      <w:r>
        <w:rPr>
          <w:rFonts w:hint="eastAsia" w:ascii="仿宋" w:hAnsi="仿宋" w:eastAsia="仿宋" w:cs="仿宋"/>
          <w:sz w:val="30"/>
          <w:szCs w:val="30"/>
          <w:lang w:val="zh-CN"/>
        </w:rPr>
        <w:t>万吨，稳居全省前列，粮食主产区地位进一步巩固。蔬菜种植面积</w:t>
      </w:r>
      <w:r>
        <w:rPr>
          <w:rFonts w:ascii="仿宋" w:hAnsi="仿宋" w:eastAsia="仿宋" w:cs="仿宋"/>
          <w:sz w:val="30"/>
          <w:szCs w:val="30"/>
          <w:lang w:val="zh-CN"/>
        </w:rPr>
        <w:t>138.03</w:t>
      </w:r>
      <w:r>
        <w:rPr>
          <w:rFonts w:hint="eastAsia" w:ascii="仿宋" w:hAnsi="仿宋" w:eastAsia="仿宋" w:cs="仿宋"/>
          <w:sz w:val="30"/>
          <w:szCs w:val="30"/>
          <w:lang w:val="zh-CN"/>
        </w:rPr>
        <w:t>万亩，中药材种植面积</w:t>
      </w:r>
      <w:r>
        <w:rPr>
          <w:rFonts w:ascii="仿宋" w:hAnsi="仿宋" w:eastAsia="仿宋" w:cs="仿宋"/>
          <w:sz w:val="30"/>
          <w:szCs w:val="30"/>
          <w:lang w:val="zh-CN"/>
        </w:rPr>
        <w:t>105</w:t>
      </w:r>
      <w:r>
        <w:rPr>
          <w:rFonts w:hint="eastAsia" w:ascii="仿宋" w:hAnsi="仿宋" w:eastAsia="仿宋" w:cs="仿宋"/>
          <w:sz w:val="30"/>
          <w:szCs w:val="30"/>
          <w:lang w:val="zh-CN"/>
        </w:rPr>
        <w:t>万亩，油料作物总产</w:t>
      </w:r>
      <w:r>
        <w:rPr>
          <w:rFonts w:ascii="仿宋" w:hAnsi="仿宋" w:eastAsia="仿宋" w:cs="仿宋"/>
          <w:sz w:val="30"/>
          <w:szCs w:val="30"/>
          <w:lang w:val="zh-CN"/>
        </w:rPr>
        <w:t>23.6</w:t>
      </w:r>
      <w:r>
        <w:rPr>
          <w:rFonts w:hint="eastAsia" w:ascii="仿宋" w:hAnsi="仿宋" w:eastAsia="仿宋" w:cs="仿宋"/>
          <w:sz w:val="30"/>
          <w:szCs w:val="30"/>
          <w:lang w:val="zh-CN"/>
        </w:rPr>
        <w:t>万吨。农业现代化成果显著，全市富硒、绿色有机、肉牛、油茶、中药材、休闲农业和乡村旅游等产业进一步发展壮大。农产品质量安全水平稳步提升，</w:t>
      </w:r>
      <w:r>
        <w:rPr>
          <w:rFonts w:hint="eastAsia" w:ascii="仿宋" w:hAnsi="仿宋" w:eastAsia="仿宋" w:cs="仿宋"/>
          <w:sz w:val="30"/>
          <w:szCs w:val="30"/>
        </w:rPr>
        <w:t>“国家农产品质量安全市”成功创建，</w:t>
      </w:r>
      <w:r>
        <w:rPr>
          <w:rFonts w:hint="eastAsia" w:ascii="仿宋" w:hAnsi="仿宋" w:eastAsia="仿宋" w:cs="仿宋"/>
          <w:sz w:val="30"/>
          <w:szCs w:val="30"/>
          <w:lang w:val="zh-CN"/>
        </w:rPr>
        <w:t>建立建成监管体系队伍、基本健全检测体系、完成农产品质量安全追溯体系</w:t>
      </w:r>
      <w:r>
        <w:rPr>
          <w:rFonts w:hint="eastAsia" w:ascii="仿宋" w:hAnsi="仿宋" w:eastAsia="仿宋" w:cs="仿宋"/>
          <w:sz w:val="30"/>
          <w:szCs w:val="30"/>
        </w:rPr>
        <w:t>构建。</w:t>
      </w:r>
      <w:r>
        <w:rPr>
          <w:rFonts w:hint="eastAsia" w:ascii="仿宋" w:hAnsi="仿宋" w:eastAsia="仿宋" w:cs="仿宋"/>
          <w:sz w:val="30"/>
          <w:szCs w:val="30"/>
          <w:lang w:val="zh-CN"/>
        </w:rPr>
        <w:t>全市农机总动力突破</w:t>
      </w:r>
      <w:r>
        <w:rPr>
          <w:rFonts w:ascii="仿宋" w:hAnsi="仿宋" w:eastAsia="仿宋" w:cs="仿宋"/>
          <w:sz w:val="30"/>
          <w:szCs w:val="30"/>
          <w:lang w:val="zh-CN"/>
        </w:rPr>
        <w:t>400</w:t>
      </w:r>
      <w:r>
        <w:rPr>
          <w:rFonts w:hint="eastAsia" w:ascii="仿宋" w:hAnsi="仿宋" w:eastAsia="仿宋" w:cs="仿宋"/>
          <w:sz w:val="30"/>
          <w:szCs w:val="30"/>
          <w:lang w:val="zh-CN"/>
        </w:rPr>
        <w:t>万千瓦，</w:t>
      </w:r>
      <w:r>
        <w:rPr>
          <w:rFonts w:hint="eastAsia" w:ascii="仿宋" w:hAnsi="仿宋" w:eastAsia="仿宋" w:cs="仿宋"/>
          <w:sz w:val="30"/>
          <w:szCs w:val="30"/>
        </w:rPr>
        <w:t>居</w:t>
      </w:r>
      <w:r>
        <w:rPr>
          <w:rFonts w:hint="eastAsia" w:ascii="仿宋" w:hAnsi="仿宋" w:eastAsia="仿宋" w:cs="仿宋"/>
          <w:sz w:val="30"/>
          <w:szCs w:val="30"/>
          <w:lang w:val="zh-CN"/>
        </w:rPr>
        <w:t>全省第一；主要农作物耕种收综合机械化率和水稻耕种收综合机械化率分别达到</w:t>
      </w:r>
      <w:r>
        <w:rPr>
          <w:rFonts w:ascii="仿宋" w:hAnsi="仿宋" w:eastAsia="仿宋" w:cs="仿宋"/>
          <w:sz w:val="30"/>
          <w:szCs w:val="30"/>
          <w:lang w:val="zh-CN"/>
        </w:rPr>
        <w:t>72.64%</w:t>
      </w:r>
      <w:r>
        <w:rPr>
          <w:rFonts w:hint="eastAsia" w:ascii="仿宋" w:hAnsi="仿宋" w:eastAsia="仿宋" w:cs="仿宋"/>
          <w:sz w:val="30"/>
          <w:szCs w:val="30"/>
          <w:lang w:val="zh-CN"/>
        </w:rPr>
        <w:t>、</w:t>
      </w:r>
      <w:r>
        <w:rPr>
          <w:rFonts w:ascii="仿宋" w:hAnsi="仿宋" w:eastAsia="仿宋" w:cs="仿宋"/>
          <w:sz w:val="30"/>
          <w:szCs w:val="30"/>
          <w:lang w:val="zh-CN"/>
        </w:rPr>
        <w:t>78.4%</w:t>
      </w:r>
      <w:r>
        <w:rPr>
          <w:rFonts w:hint="eastAsia" w:ascii="仿宋" w:hAnsi="仿宋" w:eastAsia="仿宋" w:cs="仿宋"/>
          <w:sz w:val="30"/>
          <w:szCs w:val="30"/>
          <w:lang w:val="zh-CN"/>
        </w:rPr>
        <w:t>。休闲农业稳步发展，全市有休闲农业经营主体</w:t>
      </w:r>
      <w:r>
        <w:rPr>
          <w:rFonts w:ascii="仿宋" w:hAnsi="仿宋" w:eastAsia="仿宋" w:cs="仿宋"/>
          <w:sz w:val="30"/>
          <w:szCs w:val="30"/>
          <w:lang w:val="zh-CN"/>
        </w:rPr>
        <w:t>715</w:t>
      </w:r>
      <w:r>
        <w:rPr>
          <w:rFonts w:hint="eastAsia" w:ascii="仿宋" w:hAnsi="仿宋" w:eastAsia="仿宋" w:cs="仿宋"/>
          <w:sz w:val="30"/>
          <w:szCs w:val="30"/>
          <w:lang w:val="zh-CN"/>
        </w:rPr>
        <w:t>个，其中规模以上休闲观光农园（庄）</w:t>
      </w:r>
      <w:r>
        <w:rPr>
          <w:rFonts w:ascii="仿宋" w:hAnsi="仿宋" w:eastAsia="仿宋" w:cs="仿宋"/>
          <w:sz w:val="30"/>
          <w:szCs w:val="30"/>
          <w:lang w:val="zh-CN"/>
        </w:rPr>
        <w:t>136</w:t>
      </w:r>
      <w:r>
        <w:rPr>
          <w:rFonts w:hint="eastAsia" w:ascii="仿宋" w:hAnsi="仿宋" w:eastAsia="仿宋" w:cs="仿宋"/>
          <w:sz w:val="30"/>
          <w:szCs w:val="30"/>
          <w:lang w:val="zh-CN"/>
        </w:rPr>
        <w:t>个、农家乐</w:t>
      </w:r>
      <w:r>
        <w:rPr>
          <w:rFonts w:ascii="仿宋" w:hAnsi="仿宋" w:eastAsia="仿宋" w:cs="仿宋"/>
          <w:sz w:val="30"/>
          <w:szCs w:val="30"/>
          <w:lang w:val="zh-CN"/>
        </w:rPr>
        <w:t>579</w:t>
      </w:r>
      <w:r>
        <w:rPr>
          <w:rFonts w:hint="eastAsia" w:ascii="仿宋" w:hAnsi="仿宋" w:eastAsia="仿宋" w:cs="仿宋"/>
          <w:sz w:val="30"/>
          <w:szCs w:val="30"/>
          <w:lang w:val="zh-CN"/>
        </w:rPr>
        <w:t>家，接待旅游人数超</w:t>
      </w:r>
      <w:r>
        <w:rPr>
          <w:rFonts w:ascii="仿宋" w:hAnsi="仿宋" w:eastAsia="仿宋" w:cs="仿宋"/>
          <w:sz w:val="30"/>
          <w:szCs w:val="30"/>
          <w:lang w:val="zh-CN"/>
        </w:rPr>
        <w:t>300</w:t>
      </w:r>
      <w:r>
        <w:rPr>
          <w:rFonts w:hint="eastAsia" w:ascii="仿宋" w:hAnsi="仿宋" w:eastAsia="仿宋" w:cs="仿宋"/>
          <w:sz w:val="30"/>
          <w:szCs w:val="30"/>
          <w:lang w:val="zh-CN"/>
        </w:rPr>
        <w:t>万人次。</w:t>
      </w:r>
    </w:p>
    <w:p>
      <w:pPr>
        <w:pStyle w:val="4"/>
        <w:spacing w:before="0" w:after="0" w:line="360" w:lineRule="auto"/>
        <w:ind w:firstLine="643" w:firstLineChars="200"/>
        <w:rPr>
          <w:rFonts w:ascii="仿宋" w:hAnsi="仿宋" w:eastAsia="仿宋" w:cs="Times New Roman"/>
          <w:sz w:val="30"/>
          <w:szCs w:val="30"/>
        </w:rPr>
      </w:pPr>
      <w:bookmarkStart w:id="14" w:name="_Toc96329864"/>
      <w:bookmarkStart w:id="15" w:name="_Toc57879185"/>
      <w:bookmarkStart w:id="16" w:name="_Toc19084"/>
      <w:r>
        <w:rPr>
          <w:rFonts w:hint="eastAsia" w:eastAsia="仿宋" w:cs="仿宋"/>
        </w:rPr>
        <w:t>二</w:t>
      </w:r>
      <w:r>
        <w:rPr>
          <w:rFonts w:hint="eastAsia" w:ascii="仿宋" w:hAnsi="仿宋" w:eastAsia="仿宋" w:cs="仿宋"/>
          <w:sz w:val="30"/>
          <w:szCs w:val="30"/>
        </w:rPr>
        <w:t>、农业绿色转型稳步推进</w:t>
      </w:r>
      <w:bookmarkEnd w:id="14"/>
    </w:p>
    <w:p>
      <w:pPr>
        <w:spacing w:line="360" w:lineRule="auto"/>
        <w:ind w:firstLine="602" w:firstLineChars="200"/>
        <w:rPr>
          <w:rFonts w:ascii="仿宋" w:hAnsi="仿宋" w:eastAsia="仿宋" w:cs="Times New Roman"/>
          <w:sz w:val="30"/>
          <w:szCs w:val="30"/>
        </w:rPr>
      </w:pPr>
      <w:r>
        <w:rPr>
          <w:rFonts w:hint="eastAsia" w:ascii="仿宋" w:hAnsi="仿宋" w:eastAsia="仿宋" w:cs="仿宋"/>
          <w:b/>
          <w:bCs/>
          <w:sz w:val="30"/>
          <w:szCs w:val="30"/>
        </w:rPr>
        <w:t>一是</w:t>
      </w:r>
      <w:r>
        <w:rPr>
          <w:rFonts w:hint="eastAsia" w:ascii="仿宋" w:hAnsi="仿宋" w:eastAsia="仿宋" w:cs="仿宋"/>
          <w:sz w:val="30"/>
          <w:szCs w:val="30"/>
        </w:rPr>
        <w:t>推进结构转绿。全域创建富硒绿色有机农产品大市迈出坚实步伐，大力发展富硒、绿色有机、中药材、油茶、肉牛等特色产业，获评世界硒养之都、全国富硒农业示范基地、全国硒资源变硒产业十佳地区等多个荣誉，建成富硒农产品基地</w:t>
      </w:r>
      <w:r>
        <w:rPr>
          <w:rFonts w:ascii="仿宋" w:hAnsi="仿宋" w:eastAsia="仿宋" w:cs="仿宋"/>
          <w:sz w:val="30"/>
          <w:szCs w:val="30"/>
        </w:rPr>
        <w:t>150.1</w:t>
      </w:r>
      <w:r>
        <w:rPr>
          <w:rFonts w:hint="eastAsia" w:ascii="仿宋" w:hAnsi="仿宋" w:eastAsia="仿宋" w:cs="仿宋"/>
          <w:sz w:val="30"/>
          <w:szCs w:val="30"/>
        </w:rPr>
        <w:t>万亩、绿色食品原料基地</w:t>
      </w:r>
      <w:r>
        <w:rPr>
          <w:rFonts w:ascii="仿宋" w:hAnsi="仿宋" w:eastAsia="仿宋" w:cs="仿宋"/>
          <w:sz w:val="30"/>
          <w:szCs w:val="30"/>
        </w:rPr>
        <w:t>193.4</w:t>
      </w:r>
      <w:r>
        <w:rPr>
          <w:rFonts w:hint="eastAsia" w:ascii="仿宋" w:hAnsi="仿宋" w:eastAsia="仿宋" w:cs="仿宋"/>
          <w:sz w:val="30"/>
          <w:szCs w:val="30"/>
        </w:rPr>
        <w:t>万亩、有机农产品基地</w:t>
      </w:r>
      <w:r>
        <w:rPr>
          <w:rFonts w:ascii="仿宋" w:hAnsi="仿宋" w:eastAsia="仿宋" w:cs="仿宋"/>
          <w:sz w:val="30"/>
          <w:szCs w:val="30"/>
        </w:rPr>
        <w:t>210.5</w:t>
      </w:r>
      <w:r>
        <w:rPr>
          <w:rFonts w:hint="eastAsia" w:ascii="仿宋" w:hAnsi="仿宋" w:eastAsia="仿宋" w:cs="仿宋"/>
          <w:sz w:val="30"/>
          <w:szCs w:val="30"/>
        </w:rPr>
        <w:t>万亩，有效增加绿色有机优质农产品供给。</w:t>
      </w:r>
      <w:r>
        <w:rPr>
          <w:rFonts w:hint="eastAsia" w:ascii="仿宋" w:hAnsi="仿宋" w:eastAsia="仿宋" w:cs="仿宋"/>
          <w:b/>
          <w:bCs/>
          <w:sz w:val="30"/>
          <w:szCs w:val="30"/>
        </w:rPr>
        <w:t>二是</w:t>
      </w:r>
      <w:r>
        <w:rPr>
          <w:rFonts w:hint="eastAsia" w:ascii="仿宋" w:hAnsi="仿宋" w:eastAsia="仿宋" w:cs="仿宋"/>
          <w:sz w:val="30"/>
          <w:szCs w:val="30"/>
        </w:rPr>
        <w:t>推进环境整绿。深入推进“绿色生态农业十大行动”，全市拥有“省级绿色有机农产品示范县”</w:t>
      </w:r>
      <w:r>
        <w:rPr>
          <w:rFonts w:ascii="仿宋" w:hAnsi="仿宋" w:eastAsia="仿宋" w:cs="仿宋"/>
          <w:sz w:val="30"/>
          <w:szCs w:val="30"/>
        </w:rPr>
        <w:t>5</w:t>
      </w:r>
      <w:r>
        <w:rPr>
          <w:rFonts w:hint="eastAsia" w:ascii="仿宋" w:hAnsi="仿宋" w:eastAsia="仿宋" w:cs="仿宋"/>
          <w:sz w:val="30"/>
          <w:szCs w:val="30"/>
        </w:rPr>
        <w:t>个，占全省的</w:t>
      </w:r>
      <w:r>
        <w:rPr>
          <w:rFonts w:ascii="仿宋" w:hAnsi="仿宋" w:eastAsia="仿宋" w:cs="仿宋"/>
          <w:sz w:val="30"/>
          <w:szCs w:val="30"/>
        </w:rPr>
        <w:t>1/5</w:t>
      </w:r>
      <w:r>
        <w:rPr>
          <w:rFonts w:hint="eastAsia" w:ascii="仿宋" w:hAnsi="仿宋" w:eastAsia="仿宋" w:cs="仿宋"/>
          <w:sz w:val="30"/>
          <w:szCs w:val="30"/>
        </w:rPr>
        <w:t>。重点推进畜禽养殖、水产养殖污染治理，推进农药化肥减量治理等绿色行动。</w:t>
      </w:r>
      <w:r>
        <w:rPr>
          <w:rFonts w:hint="eastAsia" w:ascii="仿宋" w:hAnsi="仿宋" w:eastAsia="仿宋" w:cs="仿宋"/>
          <w:b/>
          <w:bCs/>
          <w:sz w:val="30"/>
          <w:szCs w:val="30"/>
        </w:rPr>
        <w:t>三是</w:t>
      </w:r>
      <w:r>
        <w:rPr>
          <w:rFonts w:hint="eastAsia" w:ascii="仿宋" w:hAnsi="仿宋" w:eastAsia="仿宋" w:cs="仿宋"/>
          <w:sz w:val="30"/>
          <w:szCs w:val="30"/>
        </w:rPr>
        <w:t>推进科技创绿。通过大力推广粮油绿色高效主推技术、大力促进设施农业发展、全力推进智慧农业建设，实现了用一批新技术、新装备“武装”农业，引领现代农业绿色发展。</w:t>
      </w:r>
      <w:r>
        <w:rPr>
          <w:rFonts w:hint="eastAsia" w:ascii="仿宋" w:hAnsi="仿宋" w:eastAsia="仿宋" w:cs="仿宋"/>
          <w:b/>
          <w:bCs/>
          <w:sz w:val="30"/>
          <w:szCs w:val="30"/>
        </w:rPr>
        <w:t>四是</w:t>
      </w:r>
      <w:r>
        <w:rPr>
          <w:rFonts w:hint="eastAsia" w:ascii="仿宋" w:hAnsi="仿宋" w:eastAsia="仿宋" w:cs="仿宋"/>
          <w:sz w:val="30"/>
          <w:szCs w:val="30"/>
        </w:rPr>
        <w:t>推进品牌做绿。全市坚持质量兴农、绿色兴农、品牌强农，实现由“有没有”向“好不好”转变；全市“两品一标”认证数</w:t>
      </w:r>
      <w:r>
        <w:rPr>
          <w:rFonts w:ascii="仿宋" w:hAnsi="仿宋" w:eastAsia="仿宋" w:cs="仿宋"/>
          <w:sz w:val="30"/>
          <w:szCs w:val="30"/>
        </w:rPr>
        <w:t>776</w:t>
      </w:r>
      <w:r>
        <w:rPr>
          <w:rFonts w:hint="eastAsia" w:ascii="仿宋" w:hAnsi="仿宋" w:eastAsia="仿宋" w:cs="仿宋"/>
          <w:sz w:val="30"/>
          <w:szCs w:val="30"/>
        </w:rPr>
        <w:t>个，居全省第一。聚力打造一批如“宜春大米”、“袁州山茶油”、“樟树中药材”、“奉新猕猴桃”、“高安腐竹”、“靖安白茶”、“铜鼓黄精”等原产地地理标志保护品牌，全市农业类省著名商标达</w:t>
      </w:r>
      <w:r>
        <w:rPr>
          <w:rFonts w:ascii="仿宋" w:hAnsi="仿宋" w:eastAsia="仿宋" w:cs="仿宋"/>
          <w:sz w:val="30"/>
          <w:szCs w:val="30"/>
        </w:rPr>
        <w:t>95</w:t>
      </w:r>
      <w:r>
        <w:rPr>
          <w:rFonts w:hint="eastAsia" w:ascii="仿宋" w:hAnsi="仿宋" w:eastAsia="仿宋" w:cs="仿宋"/>
          <w:sz w:val="30"/>
          <w:szCs w:val="30"/>
        </w:rPr>
        <w:t>个、农业类中国驰名商标达</w:t>
      </w:r>
      <w:r>
        <w:rPr>
          <w:rFonts w:ascii="仿宋" w:hAnsi="仿宋" w:eastAsia="仿宋" w:cs="仿宋"/>
          <w:sz w:val="30"/>
          <w:szCs w:val="30"/>
        </w:rPr>
        <w:t>21</w:t>
      </w:r>
      <w:r>
        <w:rPr>
          <w:rFonts w:hint="eastAsia" w:ascii="仿宋" w:hAnsi="仿宋" w:eastAsia="仿宋" w:cs="仿宋"/>
          <w:sz w:val="30"/>
          <w:szCs w:val="30"/>
        </w:rPr>
        <w:t>个，“高安腐竹”入选</w:t>
      </w:r>
      <w:r>
        <w:rPr>
          <w:rFonts w:ascii="仿宋" w:hAnsi="仿宋" w:eastAsia="仿宋" w:cs="仿宋"/>
          <w:sz w:val="30"/>
          <w:szCs w:val="30"/>
        </w:rPr>
        <w:t>2020</w:t>
      </w:r>
      <w:r>
        <w:rPr>
          <w:rFonts w:hint="eastAsia" w:ascii="仿宋" w:hAnsi="仿宋" w:eastAsia="仿宋" w:cs="仿宋"/>
          <w:sz w:val="30"/>
          <w:szCs w:val="30"/>
        </w:rPr>
        <w:t>全国区域品牌（地理标志产品）百强榜。</w:t>
      </w:r>
    </w:p>
    <w:p>
      <w:pPr>
        <w:pStyle w:val="4"/>
        <w:spacing w:before="0" w:after="0" w:line="360" w:lineRule="auto"/>
        <w:ind w:firstLine="602" w:firstLineChars="200"/>
        <w:rPr>
          <w:rFonts w:ascii="仿宋" w:hAnsi="仿宋" w:eastAsia="仿宋" w:cs="Times New Roman"/>
          <w:sz w:val="30"/>
          <w:szCs w:val="30"/>
        </w:rPr>
      </w:pPr>
      <w:bookmarkStart w:id="17" w:name="_Toc1752"/>
      <w:bookmarkStart w:id="18" w:name="_Toc57879181"/>
      <w:bookmarkStart w:id="19" w:name="_Toc96329865"/>
      <w:bookmarkStart w:id="20" w:name="_Toc9992"/>
      <w:r>
        <w:rPr>
          <w:rFonts w:hint="eastAsia" w:ascii="仿宋" w:hAnsi="仿宋" w:eastAsia="仿宋" w:cs="仿宋"/>
          <w:sz w:val="30"/>
          <w:szCs w:val="30"/>
        </w:rPr>
        <w:t>三、一二三产融合初有成效</w:t>
      </w:r>
      <w:bookmarkEnd w:id="17"/>
      <w:bookmarkEnd w:id="18"/>
      <w:bookmarkEnd w:id="19"/>
      <w:bookmarkEnd w:id="20"/>
    </w:p>
    <w:p>
      <w:pPr>
        <w:spacing w:line="360" w:lineRule="auto"/>
        <w:ind w:firstLine="600" w:firstLineChars="200"/>
        <w:rPr>
          <w:rFonts w:ascii="仿宋" w:hAnsi="仿宋" w:eastAsia="仿宋" w:cs="Times New Roman"/>
          <w:sz w:val="30"/>
          <w:szCs w:val="30"/>
        </w:rPr>
      </w:pPr>
      <w:r>
        <w:rPr>
          <w:rFonts w:hint="eastAsia" w:ascii="仿宋" w:hAnsi="仿宋" w:eastAsia="仿宋" w:cs="仿宋"/>
          <w:sz w:val="30"/>
          <w:szCs w:val="30"/>
        </w:rPr>
        <w:t>全市积极推进“三产”融合，加速农业发展方式转变。</w:t>
      </w:r>
      <w:r>
        <w:rPr>
          <w:rFonts w:hint="eastAsia" w:ascii="仿宋" w:hAnsi="仿宋" w:eastAsia="仿宋" w:cs="仿宋"/>
          <w:b/>
          <w:bCs/>
          <w:sz w:val="30"/>
          <w:szCs w:val="30"/>
        </w:rPr>
        <w:t>一是</w:t>
      </w:r>
      <w:r>
        <w:rPr>
          <w:rFonts w:hint="eastAsia" w:ascii="仿宋" w:hAnsi="仿宋" w:eastAsia="仿宋" w:cs="仿宋"/>
          <w:sz w:val="30"/>
          <w:szCs w:val="30"/>
        </w:rPr>
        <w:t>“两园一体”建设迅速推进。现有国家现代农业示范区</w:t>
      </w:r>
      <w:r>
        <w:rPr>
          <w:rFonts w:ascii="仿宋" w:hAnsi="仿宋" w:eastAsia="仿宋" w:cs="仿宋"/>
          <w:sz w:val="30"/>
          <w:szCs w:val="30"/>
        </w:rPr>
        <w:t>1</w:t>
      </w:r>
      <w:r>
        <w:rPr>
          <w:rFonts w:hint="eastAsia" w:ascii="仿宋" w:hAnsi="仿宋" w:eastAsia="仿宋" w:cs="仿宋"/>
          <w:sz w:val="30"/>
          <w:szCs w:val="30"/>
        </w:rPr>
        <w:t>个、田园综合体试点项目</w:t>
      </w:r>
      <w:r>
        <w:rPr>
          <w:rFonts w:ascii="仿宋" w:hAnsi="仿宋" w:eastAsia="仿宋" w:cs="仿宋"/>
          <w:sz w:val="30"/>
          <w:szCs w:val="30"/>
        </w:rPr>
        <w:t>1</w:t>
      </w:r>
      <w:r>
        <w:rPr>
          <w:rFonts w:hint="eastAsia" w:ascii="仿宋" w:hAnsi="仿宋" w:eastAsia="仿宋" w:cs="仿宋"/>
          <w:sz w:val="30"/>
          <w:szCs w:val="30"/>
        </w:rPr>
        <w:t>个、农村产业融合发展示范园</w:t>
      </w:r>
      <w:r>
        <w:rPr>
          <w:rFonts w:ascii="仿宋" w:hAnsi="仿宋" w:eastAsia="仿宋" w:cs="仿宋"/>
          <w:sz w:val="30"/>
          <w:szCs w:val="30"/>
        </w:rPr>
        <w:t>1</w:t>
      </w:r>
      <w:r>
        <w:rPr>
          <w:rFonts w:hint="eastAsia" w:ascii="仿宋" w:hAnsi="仿宋" w:eastAsia="仿宋" w:cs="仿宋"/>
          <w:sz w:val="30"/>
          <w:szCs w:val="30"/>
        </w:rPr>
        <w:t>个、国家现代农业产业园</w:t>
      </w:r>
      <w:r>
        <w:rPr>
          <w:rFonts w:ascii="仿宋" w:hAnsi="仿宋" w:eastAsia="仿宋" w:cs="仿宋"/>
          <w:sz w:val="30"/>
          <w:szCs w:val="30"/>
        </w:rPr>
        <w:t>1</w:t>
      </w:r>
      <w:r>
        <w:rPr>
          <w:rFonts w:hint="eastAsia" w:ascii="仿宋" w:hAnsi="仿宋" w:eastAsia="仿宋" w:cs="仿宋"/>
          <w:sz w:val="30"/>
          <w:szCs w:val="30"/>
        </w:rPr>
        <w:t>个，省级现代农业示范园</w:t>
      </w:r>
      <w:r>
        <w:rPr>
          <w:rFonts w:ascii="仿宋" w:hAnsi="仿宋" w:eastAsia="仿宋" w:cs="仿宋"/>
          <w:sz w:val="30"/>
          <w:szCs w:val="30"/>
        </w:rPr>
        <w:t>35</w:t>
      </w:r>
      <w:r>
        <w:rPr>
          <w:rFonts w:hint="eastAsia" w:ascii="仿宋" w:hAnsi="仿宋" w:eastAsia="仿宋" w:cs="仿宋"/>
          <w:sz w:val="30"/>
          <w:szCs w:val="30"/>
        </w:rPr>
        <w:t>个、省级田园综合体</w:t>
      </w:r>
      <w:r>
        <w:rPr>
          <w:rFonts w:ascii="仿宋" w:hAnsi="仿宋" w:eastAsia="仿宋" w:cs="仿宋"/>
          <w:sz w:val="30"/>
          <w:szCs w:val="30"/>
        </w:rPr>
        <w:t>8</w:t>
      </w:r>
      <w:r>
        <w:rPr>
          <w:rFonts w:hint="eastAsia" w:ascii="仿宋" w:hAnsi="仿宋" w:eastAsia="仿宋" w:cs="仿宋"/>
          <w:sz w:val="30"/>
          <w:szCs w:val="30"/>
        </w:rPr>
        <w:t>个。</w:t>
      </w:r>
      <w:r>
        <w:rPr>
          <w:rFonts w:hint="eastAsia" w:ascii="仿宋" w:hAnsi="仿宋" w:eastAsia="仿宋" w:cs="仿宋"/>
          <w:b/>
          <w:bCs/>
          <w:sz w:val="30"/>
          <w:szCs w:val="30"/>
        </w:rPr>
        <w:t>二是</w:t>
      </w:r>
      <w:r>
        <w:rPr>
          <w:rFonts w:hint="eastAsia" w:ascii="仿宋" w:hAnsi="仿宋" w:eastAsia="仿宋" w:cs="仿宋"/>
          <w:sz w:val="30"/>
          <w:szCs w:val="30"/>
        </w:rPr>
        <w:t>产品加工能力稳步提升。全市规模以上农产品加工龙头企业</w:t>
      </w:r>
      <w:r>
        <w:rPr>
          <w:rFonts w:ascii="仿宋" w:hAnsi="仿宋" w:eastAsia="仿宋" w:cs="仿宋"/>
          <w:sz w:val="30"/>
          <w:szCs w:val="30"/>
        </w:rPr>
        <w:t>225</w:t>
      </w:r>
      <w:r>
        <w:rPr>
          <w:rFonts w:hint="eastAsia" w:ascii="仿宋" w:hAnsi="仿宋" w:eastAsia="仿宋" w:cs="仿宋"/>
          <w:sz w:val="30"/>
          <w:szCs w:val="30"/>
        </w:rPr>
        <w:t>家，占龙头企业总数的</w:t>
      </w:r>
      <w:r>
        <w:rPr>
          <w:rFonts w:ascii="仿宋" w:hAnsi="仿宋" w:eastAsia="仿宋" w:cs="仿宋"/>
          <w:sz w:val="30"/>
          <w:szCs w:val="30"/>
        </w:rPr>
        <w:t>60%</w:t>
      </w:r>
      <w:r>
        <w:rPr>
          <w:rFonts w:hint="eastAsia" w:ascii="仿宋" w:hAnsi="仿宋" w:eastAsia="仿宋" w:cs="仿宋"/>
          <w:sz w:val="30"/>
          <w:szCs w:val="30"/>
        </w:rPr>
        <w:t>，初步形成了粮油、油茶、禽蛋、中药材、竹材、有机农产品等六大加工企业集群。</w:t>
      </w:r>
      <w:r>
        <w:rPr>
          <w:rFonts w:hint="eastAsia" w:ascii="仿宋" w:hAnsi="仿宋" w:eastAsia="仿宋" w:cs="仿宋"/>
          <w:b/>
          <w:bCs/>
          <w:sz w:val="30"/>
          <w:szCs w:val="30"/>
        </w:rPr>
        <w:t>三是</w:t>
      </w:r>
      <w:r>
        <w:rPr>
          <w:rFonts w:hint="eastAsia" w:ascii="仿宋" w:hAnsi="仿宋" w:eastAsia="仿宋" w:cs="仿宋"/>
          <w:sz w:val="30"/>
          <w:szCs w:val="30"/>
        </w:rPr>
        <w:t>新型经营主体蓬勃发展。全市市级以上龙头企业达</w:t>
      </w:r>
      <w:r>
        <w:rPr>
          <w:rFonts w:ascii="仿宋" w:hAnsi="仿宋" w:eastAsia="仿宋" w:cs="仿宋"/>
          <w:sz w:val="30"/>
          <w:szCs w:val="30"/>
        </w:rPr>
        <w:t>428</w:t>
      </w:r>
      <w:r>
        <w:rPr>
          <w:rFonts w:hint="eastAsia" w:ascii="仿宋" w:hAnsi="仿宋" w:eastAsia="仿宋" w:cs="仿宋"/>
          <w:sz w:val="30"/>
          <w:szCs w:val="30"/>
        </w:rPr>
        <w:t>家，其中国家级</w:t>
      </w:r>
      <w:r>
        <w:rPr>
          <w:rFonts w:ascii="仿宋" w:hAnsi="仿宋" w:eastAsia="仿宋" w:cs="仿宋"/>
          <w:sz w:val="30"/>
          <w:szCs w:val="30"/>
        </w:rPr>
        <w:t>6</w:t>
      </w:r>
      <w:r>
        <w:rPr>
          <w:rFonts w:hint="eastAsia" w:ascii="仿宋" w:hAnsi="仿宋" w:eastAsia="仿宋" w:cs="仿宋"/>
          <w:sz w:val="30"/>
          <w:szCs w:val="30"/>
        </w:rPr>
        <w:t>家、省级</w:t>
      </w:r>
      <w:r>
        <w:rPr>
          <w:rFonts w:ascii="仿宋" w:hAnsi="仿宋" w:eastAsia="仿宋" w:cs="仿宋"/>
          <w:sz w:val="30"/>
          <w:szCs w:val="30"/>
        </w:rPr>
        <w:t>108</w:t>
      </w:r>
      <w:r>
        <w:rPr>
          <w:rFonts w:hint="eastAsia" w:ascii="仿宋" w:hAnsi="仿宋" w:eastAsia="仿宋" w:cs="仿宋"/>
          <w:sz w:val="30"/>
          <w:szCs w:val="30"/>
        </w:rPr>
        <w:t>家。围绕主导产业、特色产业，坚持规范与发展并重，家庭农场、农民合作社分别达到</w:t>
      </w:r>
      <w:r>
        <w:rPr>
          <w:rFonts w:ascii="仿宋" w:hAnsi="仿宋" w:eastAsia="仿宋" w:cs="仿宋"/>
          <w:sz w:val="30"/>
          <w:szCs w:val="30"/>
        </w:rPr>
        <w:t>2748</w:t>
      </w:r>
      <w:r>
        <w:rPr>
          <w:rFonts w:hint="eastAsia" w:ascii="仿宋" w:hAnsi="仿宋" w:eastAsia="仿宋" w:cs="仿宋"/>
          <w:sz w:val="30"/>
          <w:szCs w:val="30"/>
        </w:rPr>
        <w:t>家、</w:t>
      </w:r>
      <w:r>
        <w:rPr>
          <w:rFonts w:ascii="仿宋" w:hAnsi="仿宋" w:eastAsia="仿宋" w:cs="仿宋"/>
          <w:sz w:val="30"/>
          <w:szCs w:val="30"/>
        </w:rPr>
        <w:t>10394</w:t>
      </w:r>
      <w:r>
        <w:rPr>
          <w:rFonts w:hint="eastAsia" w:ascii="仿宋" w:hAnsi="仿宋" w:eastAsia="仿宋" w:cs="仿宋"/>
          <w:sz w:val="30"/>
          <w:szCs w:val="30"/>
        </w:rPr>
        <w:t>家，总数居全省第三。市级以上农民合作社示范社达到</w:t>
      </w:r>
      <w:r>
        <w:rPr>
          <w:rFonts w:ascii="仿宋" w:hAnsi="仿宋" w:eastAsia="仿宋" w:cs="仿宋"/>
          <w:sz w:val="30"/>
          <w:szCs w:val="30"/>
        </w:rPr>
        <w:t>537</w:t>
      </w:r>
      <w:r>
        <w:rPr>
          <w:rFonts w:hint="eastAsia" w:ascii="仿宋" w:hAnsi="仿宋" w:eastAsia="仿宋" w:cs="仿宋"/>
          <w:sz w:val="30"/>
          <w:szCs w:val="30"/>
        </w:rPr>
        <w:t>家，其中国家级</w:t>
      </w:r>
      <w:r>
        <w:rPr>
          <w:rFonts w:ascii="仿宋" w:hAnsi="仿宋" w:eastAsia="仿宋" w:cs="仿宋"/>
          <w:sz w:val="30"/>
          <w:szCs w:val="30"/>
        </w:rPr>
        <w:t>41</w:t>
      </w:r>
      <w:r>
        <w:rPr>
          <w:rFonts w:hint="eastAsia" w:ascii="仿宋" w:hAnsi="仿宋" w:eastAsia="仿宋" w:cs="仿宋"/>
          <w:sz w:val="30"/>
          <w:szCs w:val="30"/>
        </w:rPr>
        <w:t>家、省级</w:t>
      </w:r>
      <w:r>
        <w:rPr>
          <w:rFonts w:ascii="仿宋" w:hAnsi="仿宋" w:eastAsia="仿宋" w:cs="仿宋"/>
          <w:sz w:val="30"/>
          <w:szCs w:val="30"/>
        </w:rPr>
        <w:t>146</w:t>
      </w:r>
      <w:r>
        <w:rPr>
          <w:rFonts w:hint="eastAsia" w:ascii="仿宋" w:hAnsi="仿宋" w:eastAsia="仿宋" w:cs="仿宋"/>
          <w:sz w:val="30"/>
          <w:szCs w:val="30"/>
        </w:rPr>
        <w:t>家，示范比例达到</w:t>
      </w:r>
      <w:r>
        <w:rPr>
          <w:rFonts w:ascii="仿宋" w:hAnsi="仿宋" w:eastAsia="仿宋" w:cs="仿宋"/>
          <w:sz w:val="30"/>
          <w:szCs w:val="30"/>
        </w:rPr>
        <w:t>7%</w:t>
      </w:r>
      <w:r>
        <w:rPr>
          <w:rFonts w:hint="eastAsia" w:ascii="仿宋" w:hAnsi="仿宋" w:eastAsia="仿宋" w:cs="仿宋"/>
          <w:sz w:val="30"/>
          <w:szCs w:val="30"/>
        </w:rPr>
        <w:t>。市级以上示范性家庭农场达到</w:t>
      </w:r>
      <w:r>
        <w:rPr>
          <w:rFonts w:ascii="仿宋" w:hAnsi="仿宋" w:eastAsia="仿宋" w:cs="仿宋"/>
          <w:sz w:val="30"/>
          <w:szCs w:val="30"/>
        </w:rPr>
        <w:t>171</w:t>
      </w:r>
      <w:r>
        <w:rPr>
          <w:rFonts w:hint="eastAsia" w:ascii="仿宋" w:hAnsi="仿宋" w:eastAsia="仿宋" w:cs="仿宋"/>
          <w:sz w:val="30"/>
          <w:szCs w:val="30"/>
        </w:rPr>
        <w:t>家，其中省级</w:t>
      </w:r>
      <w:r>
        <w:rPr>
          <w:rFonts w:ascii="仿宋" w:hAnsi="仿宋" w:eastAsia="仿宋" w:cs="仿宋"/>
          <w:sz w:val="30"/>
          <w:szCs w:val="30"/>
        </w:rPr>
        <w:t>66</w:t>
      </w:r>
      <w:r>
        <w:rPr>
          <w:rFonts w:hint="eastAsia" w:ascii="仿宋" w:hAnsi="仿宋" w:eastAsia="仿宋" w:cs="仿宋"/>
          <w:sz w:val="30"/>
          <w:szCs w:val="30"/>
        </w:rPr>
        <w:t>家、市级</w:t>
      </w:r>
      <w:r>
        <w:rPr>
          <w:rFonts w:ascii="仿宋" w:hAnsi="仿宋" w:eastAsia="仿宋" w:cs="仿宋"/>
          <w:sz w:val="30"/>
          <w:szCs w:val="30"/>
        </w:rPr>
        <w:t>105</w:t>
      </w:r>
      <w:r>
        <w:rPr>
          <w:rFonts w:hint="eastAsia" w:ascii="仿宋" w:hAnsi="仿宋" w:eastAsia="仿宋" w:cs="仿宋"/>
          <w:sz w:val="30"/>
          <w:szCs w:val="30"/>
        </w:rPr>
        <w:t>家，示范比例达到</w:t>
      </w:r>
      <w:r>
        <w:rPr>
          <w:rFonts w:ascii="仿宋" w:hAnsi="仿宋" w:eastAsia="仿宋" w:cs="仿宋"/>
          <w:sz w:val="30"/>
          <w:szCs w:val="30"/>
        </w:rPr>
        <w:t>6%</w:t>
      </w:r>
      <w:r>
        <w:rPr>
          <w:rFonts w:hint="eastAsia" w:ascii="仿宋" w:hAnsi="仿宋" w:eastAsia="仿宋" w:cs="仿宋"/>
          <w:sz w:val="30"/>
          <w:szCs w:val="30"/>
        </w:rPr>
        <w:t>。</w:t>
      </w:r>
    </w:p>
    <w:p>
      <w:pPr>
        <w:pStyle w:val="4"/>
        <w:spacing w:before="0" w:after="0" w:line="360" w:lineRule="auto"/>
        <w:ind w:firstLine="602" w:firstLineChars="200"/>
        <w:rPr>
          <w:rFonts w:ascii="仿宋" w:hAnsi="仿宋" w:eastAsia="仿宋" w:cs="Times New Roman"/>
          <w:sz w:val="30"/>
          <w:szCs w:val="30"/>
        </w:rPr>
      </w:pPr>
      <w:bookmarkStart w:id="21" w:name="_Toc57879182"/>
      <w:bookmarkStart w:id="22" w:name="_Toc96329866"/>
      <w:bookmarkStart w:id="23" w:name="_Toc12370"/>
      <w:bookmarkStart w:id="24" w:name="_Toc7656"/>
      <w:r>
        <w:rPr>
          <w:rFonts w:hint="eastAsia" w:ascii="仿宋" w:hAnsi="仿宋" w:eastAsia="仿宋" w:cs="仿宋"/>
          <w:sz w:val="30"/>
          <w:szCs w:val="30"/>
        </w:rPr>
        <w:t>四、生态宜居建设扎实</w:t>
      </w:r>
      <w:bookmarkEnd w:id="21"/>
      <w:r>
        <w:rPr>
          <w:rFonts w:hint="eastAsia" w:ascii="仿宋" w:hAnsi="仿宋" w:eastAsia="仿宋" w:cs="仿宋"/>
          <w:sz w:val="30"/>
          <w:szCs w:val="30"/>
        </w:rPr>
        <w:t>有效</w:t>
      </w:r>
      <w:bookmarkEnd w:id="22"/>
      <w:bookmarkEnd w:id="23"/>
      <w:bookmarkEnd w:id="24"/>
    </w:p>
    <w:p>
      <w:pPr>
        <w:spacing w:line="360" w:lineRule="auto"/>
        <w:ind w:firstLine="600" w:firstLineChars="200"/>
        <w:rPr>
          <w:rFonts w:ascii="仿宋" w:hAnsi="仿宋" w:eastAsia="仿宋" w:cs="Times New Roman"/>
          <w:sz w:val="30"/>
          <w:szCs w:val="30"/>
        </w:rPr>
      </w:pPr>
      <w:r>
        <w:rPr>
          <w:rFonts w:hint="eastAsia" w:ascii="仿宋" w:hAnsi="仿宋" w:eastAsia="仿宋" w:cs="仿宋"/>
          <w:sz w:val="30"/>
          <w:szCs w:val="30"/>
        </w:rPr>
        <w:t>全市通过深入开展村庄清洁行动、农村生活垃圾治理、农村生活污水治理、农村“厕所革命”等，“整洁美丽、和谐宜居”新农村建设成效显著，共完成</w:t>
      </w:r>
      <w:r>
        <w:rPr>
          <w:rFonts w:ascii="仿宋" w:hAnsi="仿宋" w:eastAsia="仿宋" w:cs="仿宋"/>
          <w:sz w:val="30"/>
          <w:szCs w:val="30"/>
        </w:rPr>
        <w:t>2.56</w:t>
      </w:r>
      <w:r>
        <w:rPr>
          <w:rFonts w:hint="eastAsia" w:ascii="仿宋" w:hAnsi="仿宋" w:eastAsia="仿宋" w:cs="仿宋"/>
          <w:sz w:val="30"/>
          <w:szCs w:val="30"/>
        </w:rPr>
        <w:t>万个村点整治建设，全市村庄整治覆盖率达到</w:t>
      </w:r>
      <w:r>
        <w:rPr>
          <w:rFonts w:ascii="仿宋" w:hAnsi="仿宋" w:eastAsia="仿宋" w:cs="仿宋"/>
          <w:sz w:val="30"/>
          <w:szCs w:val="30"/>
        </w:rPr>
        <w:t>80%</w:t>
      </w:r>
      <w:r>
        <w:rPr>
          <w:rFonts w:hint="eastAsia" w:ascii="仿宋" w:hAnsi="仿宋" w:eastAsia="仿宋" w:cs="仿宋"/>
          <w:sz w:val="30"/>
          <w:szCs w:val="30"/>
        </w:rPr>
        <w:t>以上；靖安县、铜鼓县荣获全省第一批美丽宜居示范县荣誉称号；高质量创建了</w:t>
      </w:r>
      <w:r>
        <w:rPr>
          <w:rFonts w:ascii="仿宋" w:hAnsi="仿宋" w:eastAsia="仿宋" w:cs="仿宋"/>
          <w:sz w:val="30"/>
          <w:szCs w:val="30"/>
        </w:rPr>
        <w:t>15</w:t>
      </w:r>
      <w:r>
        <w:rPr>
          <w:rFonts w:hint="eastAsia" w:ascii="仿宋" w:hAnsi="仿宋" w:eastAsia="仿宋" w:cs="仿宋"/>
          <w:sz w:val="30"/>
          <w:szCs w:val="30"/>
        </w:rPr>
        <w:t>条美丽宜居示范线、</w:t>
      </w:r>
      <w:r>
        <w:rPr>
          <w:rFonts w:ascii="仿宋" w:hAnsi="仿宋" w:eastAsia="仿宋" w:cs="仿宋"/>
          <w:sz w:val="30"/>
          <w:szCs w:val="30"/>
        </w:rPr>
        <w:t>48</w:t>
      </w:r>
      <w:r>
        <w:rPr>
          <w:rFonts w:hint="eastAsia" w:ascii="仿宋" w:hAnsi="仿宋" w:eastAsia="仿宋" w:cs="仿宋"/>
          <w:sz w:val="30"/>
          <w:szCs w:val="30"/>
        </w:rPr>
        <w:t>个美丽宜居示范乡镇、</w:t>
      </w:r>
      <w:r>
        <w:rPr>
          <w:rFonts w:ascii="仿宋" w:hAnsi="仿宋" w:eastAsia="仿宋" w:cs="仿宋"/>
          <w:sz w:val="30"/>
          <w:szCs w:val="30"/>
        </w:rPr>
        <w:t>454</w:t>
      </w:r>
      <w:r>
        <w:rPr>
          <w:rFonts w:hint="eastAsia" w:ascii="仿宋" w:hAnsi="仿宋" w:eastAsia="仿宋" w:cs="仿宋"/>
          <w:sz w:val="30"/>
          <w:szCs w:val="30"/>
        </w:rPr>
        <w:t>个美丽宜居示范村庄和</w:t>
      </w:r>
      <w:r>
        <w:rPr>
          <w:rFonts w:ascii="仿宋" w:hAnsi="仿宋" w:eastAsia="仿宋" w:cs="仿宋"/>
          <w:sz w:val="30"/>
          <w:szCs w:val="30"/>
        </w:rPr>
        <w:t>4.37</w:t>
      </w:r>
      <w:r>
        <w:rPr>
          <w:rFonts w:hint="eastAsia" w:ascii="仿宋" w:hAnsi="仿宋" w:eastAsia="仿宋" w:cs="仿宋"/>
          <w:sz w:val="30"/>
          <w:szCs w:val="30"/>
        </w:rPr>
        <w:t>万个美丽宜居示范农户庭院。</w:t>
      </w:r>
      <w:r>
        <w:rPr>
          <w:rFonts w:ascii="仿宋" w:hAnsi="仿宋" w:eastAsia="仿宋" w:cs="仿宋"/>
          <w:sz w:val="30"/>
          <w:szCs w:val="30"/>
        </w:rPr>
        <w:t>95%</w:t>
      </w:r>
      <w:r>
        <w:rPr>
          <w:rFonts w:hint="eastAsia" w:ascii="仿宋" w:hAnsi="仿宋" w:eastAsia="仿宋" w:cs="仿宋"/>
          <w:sz w:val="30"/>
          <w:szCs w:val="30"/>
        </w:rPr>
        <w:t>以上农村生活垃圾得到有效治理，累计完成</w:t>
      </w:r>
      <w:r>
        <w:rPr>
          <w:rFonts w:ascii="仿宋" w:hAnsi="仿宋" w:eastAsia="仿宋" w:cs="仿宋"/>
          <w:sz w:val="30"/>
          <w:szCs w:val="30"/>
        </w:rPr>
        <w:t>265</w:t>
      </w:r>
      <w:r>
        <w:rPr>
          <w:rFonts w:hint="eastAsia" w:ascii="仿宋" w:hAnsi="仿宋" w:eastAsia="仿宋" w:cs="仿宋"/>
          <w:sz w:val="30"/>
          <w:szCs w:val="30"/>
        </w:rPr>
        <w:t>个自然村的农村生活污水处理设施建设；农村卫生厕所普及率达</w:t>
      </w:r>
      <w:r>
        <w:rPr>
          <w:rFonts w:ascii="仿宋" w:hAnsi="仿宋" w:eastAsia="仿宋" w:cs="仿宋"/>
          <w:sz w:val="30"/>
          <w:szCs w:val="30"/>
        </w:rPr>
        <w:t>91.79%</w:t>
      </w:r>
      <w:r>
        <w:rPr>
          <w:rFonts w:hint="eastAsia" w:ascii="仿宋" w:hAnsi="仿宋" w:eastAsia="仿宋" w:cs="仿宋"/>
          <w:sz w:val="30"/>
          <w:szCs w:val="30"/>
        </w:rPr>
        <w:t>。乡村人居环境和农业生态环境进一步改善，农业面源污染防治取得初步成效。大力实施七大专项行动，各级环保督察反馈的问题全面整改到位。农药使用量继续保持“负增长”，农药利用率提高到</w:t>
      </w:r>
      <w:r>
        <w:rPr>
          <w:rFonts w:ascii="仿宋" w:hAnsi="仿宋" w:eastAsia="仿宋" w:cs="仿宋"/>
          <w:sz w:val="30"/>
          <w:szCs w:val="30"/>
        </w:rPr>
        <w:t>42.5%</w:t>
      </w:r>
      <w:r>
        <w:rPr>
          <w:rFonts w:hint="eastAsia" w:ascii="仿宋" w:hAnsi="仿宋" w:eastAsia="仿宋" w:cs="仿宋"/>
          <w:sz w:val="30"/>
          <w:szCs w:val="30"/>
        </w:rPr>
        <w:t>；持续推进化肥减量增效，耕地质量稳步提升，</w:t>
      </w:r>
      <w:r>
        <w:rPr>
          <w:rFonts w:ascii="仿宋" w:hAnsi="仿宋" w:eastAsia="仿宋" w:cs="仿宋"/>
          <w:sz w:val="30"/>
          <w:szCs w:val="30"/>
        </w:rPr>
        <w:t>2014-2018</w:t>
      </w:r>
      <w:r>
        <w:rPr>
          <w:rFonts w:hint="eastAsia" w:ascii="仿宋" w:hAnsi="仿宋" w:eastAsia="仿宋" w:cs="仿宋"/>
          <w:sz w:val="30"/>
          <w:szCs w:val="30"/>
        </w:rPr>
        <w:t>年全市耕地质量等级由</w:t>
      </w:r>
      <w:r>
        <w:rPr>
          <w:rFonts w:ascii="仿宋" w:hAnsi="仿宋" w:eastAsia="仿宋" w:cs="仿宋"/>
          <w:sz w:val="30"/>
          <w:szCs w:val="30"/>
        </w:rPr>
        <w:t>5.15</w:t>
      </w:r>
      <w:r>
        <w:rPr>
          <w:rFonts w:hint="eastAsia" w:ascii="仿宋" w:hAnsi="仿宋" w:eastAsia="仿宋" w:cs="仿宋"/>
          <w:sz w:val="30"/>
          <w:szCs w:val="30"/>
        </w:rPr>
        <w:t>等提升到</w:t>
      </w:r>
      <w:r>
        <w:rPr>
          <w:rFonts w:ascii="仿宋" w:hAnsi="仿宋" w:eastAsia="仿宋" w:cs="仿宋"/>
          <w:sz w:val="30"/>
          <w:szCs w:val="30"/>
        </w:rPr>
        <w:t>5.04</w:t>
      </w:r>
      <w:r>
        <w:rPr>
          <w:rFonts w:hint="eastAsia" w:ascii="仿宋" w:hAnsi="仿宋" w:eastAsia="仿宋" w:cs="仿宋"/>
          <w:sz w:val="30"/>
          <w:szCs w:val="30"/>
        </w:rPr>
        <w:t>等，助力绿色农业高质量发展；全市畜禽规模养殖场粪污处理设施装备配套率达</w:t>
      </w:r>
      <w:r>
        <w:rPr>
          <w:rFonts w:ascii="仿宋" w:hAnsi="仿宋" w:eastAsia="仿宋" w:cs="仿宋"/>
          <w:sz w:val="30"/>
          <w:szCs w:val="30"/>
        </w:rPr>
        <w:t>96.6%</w:t>
      </w:r>
      <w:r>
        <w:rPr>
          <w:rFonts w:hint="eastAsia" w:ascii="仿宋" w:hAnsi="仿宋" w:eastAsia="仿宋" w:cs="仿宋"/>
          <w:sz w:val="30"/>
          <w:szCs w:val="30"/>
        </w:rPr>
        <w:t>，畜禽粪污综合利用率达</w:t>
      </w:r>
      <w:r>
        <w:rPr>
          <w:rFonts w:ascii="仿宋" w:hAnsi="仿宋" w:eastAsia="仿宋" w:cs="仿宋"/>
          <w:sz w:val="30"/>
          <w:szCs w:val="30"/>
        </w:rPr>
        <w:t>93.6%</w:t>
      </w:r>
      <w:r>
        <w:rPr>
          <w:rFonts w:hint="eastAsia" w:ascii="仿宋" w:hAnsi="仿宋" w:eastAsia="仿宋" w:cs="仿宋"/>
          <w:sz w:val="30"/>
          <w:szCs w:val="30"/>
        </w:rPr>
        <w:t>，共有</w:t>
      </w:r>
      <w:r>
        <w:rPr>
          <w:rFonts w:ascii="仿宋" w:hAnsi="仿宋" w:eastAsia="仿宋" w:cs="仿宋"/>
          <w:sz w:val="30"/>
          <w:szCs w:val="30"/>
        </w:rPr>
        <w:t>7</w:t>
      </w:r>
      <w:r>
        <w:rPr>
          <w:rFonts w:hint="eastAsia" w:ascii="仿宋" w:hAnsi="仿宋" w:eastAsia="仿宋" w:cs="仿宋"/>
          <w:sz w:val="30"/>
          <w:szCs w:val="30"/>
        </w:rPr>
        <w:t>个县（市）获国家畜禽粪污资源化利用整县推进项目，实现生猪调出大县全覆盖。</w:t>
      </w:r>
    </w:p>
    <w:p>
      <w:pPr>
        <w:pStyle w:val="4"/>
        <w:spacing w:before="0" w:after="0" w:line="360" w:lineRule="auto"/>
        <w:ind w:firstLine="602" w:firstLineChars="200"/>
        <w:rPr>
          <w:rFonts w:ascii="仿宋" w:hAnsi="仿宋" w:eastAsia="仿宋" w:cs="Times New Roman"/>
          <w:sz w:val="30"/>
          <w:szCs w:val="30"/>
        </w:rPr>
      </w:pPr>
      <w:bookmarkStart w:id="25" w:name="_Toc96329867"/>
      <w:bookmarkStart w:id="26" w:name="_Toc14462"/>
      <w:bookmarkStart w:id="27" w:name="_Toc7985"/>
      <w:bookmarkStart w:id="28" w:name="_Toc57879183"/>
      <w:r>
        <w:rPr>
          <w:rFonts w:hint="eastAsia" w:ascii="仿宋" w:hAnsi="仿宋" w:eastAsia="仿宋" w:cs="仿宋"/>
          <w:sz w:val="30"/>
          <w:szCs w:val="30"/>
        </w:rPr>
        <w:t>五、农业发展动能加快释放</w:t>
      </w:r>
      <w:bookmarkEnd w:id="25"/>
      <w:bookmarkEnd w:id="26"/>
      <w:bookmarkEnd w:id="27"/>
      <w:bookmarkEnd w:id="28"/>
    </w:p>
    <w:p>
      <w:pPr>
        <w:pStyle w:val="5"/>
        <w:spacing w:line="360" w:lineRule="auto"/>
        <w:ind w:firstLine="602" w:firstLineChars="200"/>
        <w:rPr>
          <w:rFonts w:ascii="仿宋" w:hAnsi="仿宋" w:eastAsia="仿宋" w:cs="Times New Roman"/>
          <w:sz w:val="30"/>
          <w:szCs w:val="30"/>
        </w:rPr>
      </w:pPr>
      <w:r>
        <w:rPr>
          <w:rFonts w:hint="eastAsia" w:ascii="仿宋" w:hAnsi="仿宋" w:eastAsia="仿宋" w:cs="仿宋"/>
          <w:b/>
          <w:bCs/>
          <w:sz w:val="30"/>
          <w:szCs w:val="30"/>
        </w:rPr>
        <w:t>一是</w:t>
      </w:r>
      <w:r>
        <w:rPr>
          <w:rFonts w:hint="eastAsia" w:ascii="仿宋" w:hAnsi="仿宋" w:eastAsia="仿宋" w:cs="仿宋"/>
          <w:sz w:val="30"/>
          <w:szCs w:val="30"/>
        </w:rPr>
        <w:t>全市进一步深化集体产权制度改革，盘活村集体资产，增强农村基层组织的凝聚力和战斗力。全市</w:t>
      </w:r>
      <w:r>
        <w:rPr>
          <w:rFonts w:ascii="仿宋" w:hAnsi="仿宋" w:eastAsia="仿宋" w:cs="仿宋"/>
          <w:sz w:val="30"/>
          <w:szCs w:val="30"/>
        </w:rPr>
        <w:t>2327</w:t>
      </w:r>
      <w:r>
        <w:rPr>
          <w:rFonts w:hint="eastAsia" w:ascii="仿宋" w:hAnsi="仿宋" w:eastAsia="仿宋" w:cs="仿宋"/>
          <w:sz w:val="30"/>
          <w:szCs w:val="30"/>
        </w:rPr>
        <w:t>个村、</w:t>
      </w:r>
      <w:r>
        <w:rPr>
          <w:rFonts w:ascii="仿宋" w:hAnsi="仿宋" w:eastAsia="仿宋" w:cs="仿宋"/>
          <w:sz w:val="30"/>
          <w:szCs w:val="30"/>
        </w:rPr>
        <w:t>24976</w:t>
      </w:r>
      <w:r>
        <w:rPr>
          <w:rFonts w:hint="eastAsia" w:ascii="仿宋" w:hAnsi="仿宋" w:eastAsia="仿宋" w:cs="仿宋"/>
          <w:sz w:val="30"/>
          <w:szCs w:val="30"/>
        </w:rPr>
        <w:t>个村小组开展了资产清产核资。全市共建立农村集体经济（股份）合作社</w:t>
      </w:r>
      <w:r>
        <w:rPr>
          <w:rFonts w:ascii="仿宋" w:hAnsi="仿宋" w:eastAsia="仿宋" w:cs="仿宋"/>
          <w:sz w:val="30"/>
          <w:szCs w:val="30"/>
        </w:rPr>
        <w:t>2193</w:t>
      </w:r>
      <w:r>
        <w:rPr>
          <w:rFonts w:hint="eastAsia" w:ascii="仿宋" w:hAnsi="仿宋" w:eastAsia="仿宋" w:cs="仿宋"/>
          <w:sz w:val="30"/>
          <w:szCs w:val="30"/>
        </w:rPr>
        <w:t>个。探索发展产业带动型、资源开发型、兴办物业型、农旅融合型、能源助力型、抱团发展型等六类村级集体经济，基本消除</w:t>
      </w:r>
      <w:r>
        <w:rPr>
          <w:rFonts w:ascii="仿宋" w:hAnsi="仿宋" w:eastAsia="仿宋" w:cs="仿宋"/>
          <w:sz w:val="30"/>
          <w:szCs w:val="30"/>
        </w:rPr>
        <w:t>5</w:t>
      </w:r>
      <w:r>
        <w:rPr>
          <w:rFonts w:hint="eastAsia" w:ascii="仿宋" w:hAnsi="仿宋" w:eastAsia="仿宋" w:cs="仿宋"/>
          <w:sz w:val="30"/>
          <w:szCs w:val="30"/>
        </w:rPr>
        <w:t>万元以下的村级“薄弱村”，集体收益</w:t>
      </w:r>
      <w:r>
        <w:rPr>
          <w:rFonts w:ascii="仿宋" w:hAnsi="仿宋" w:eastAsia="仿宋" w:cs="仿宋"/>
          <w:sz w:val="30"/>
          <w:szCs w:val="30"/>
        </w:rPr>
        <w:t>5</w:t>
      </w:r>
      <w:r>
        <w:rPr>
          <w:rFonts w:hint="eastAsia" w:ascii="仿宋" w:hAnsi="仿宋" w:eastAsia="仿宋" w:cs="仿宋"/>
          <w:sz w:val="30"/>
          <w:szCs w:val="30"/>
        </w:rPr>
        <w:t>万元以上的村占比达到</w:t>
      </w:r>
      <w:r>
        <w:rPr>
          <w:rFonts w:ascii="仿宋" w:hAnsi="仿宋" w:eastAsia="仿宋" w:cs="仿宋"/>
          <w:sz w:val="30"/>
          <w:szCs w:val="30"/>
        </w:rPr>
        <w:t>85%</w:t>
      </w:r>
      <w:r>
        <w:rPr>
          <w:rFonts w:hint="eastAsia" w:ascii="仿宋" w:hAnsi="仿宋" w:eastAsia="仿宋" w:cs="仿宋"/>
          <w:sz w:val="30"/>
          <w:szCs w:val="30"/>
        </w:rPr>
        <w:t>。</w:t>
      </w:r>
      <w:r>
        <w:rPr>
          <w:rFonts w:hint="eastAsia" w:ascii="仿宋" w:hAnsi="仿宋" w:eastAsia="仿宋" w:cs="仿宋"/>
          <w:b/>
          <w:bCs/>
          <w:sz w:val="30"/>
          <w:szCs w:val="30"/>
        </w:rPr>
        <w:t>二是</w:t>
      </w:r>
      <w:r>
        <w:rPr>
          <w:rFonts w:hint="eastAsia" w:ascii="仿宋" w:hAnsi="仿宋" w:eastAsia="仿宋" w:cs="仿宋"/>
          <w:sz w:val="30"/>
          <w:szCs w:val="30"/>
        </w:rPr>
        <w:t>进一步深化“三权分置”改革。在落实集体所有权、保护农户承包权的基础上，加快放活土地经营权，积极探索更多放活土地经营权的有效途径和形式，发展多种形式的适度规模经营，全市土地经营权流转</w:t>
      </w:r>
      <w:r>
        <w:rPr>
          <w:rFonts w:ascii="仿宋" w:hAnsi="仿宋" w:eastAsia="仿宋" w:cs="仿宋"/>
          <w:sz w:val="30"/>
          <w:szCs w:val="30"/>
        </w:rPr>
        <w:t>332</w:t>
      </w:r>
      <w:r>
        <w:rPr>
          <w:rFonts w:hint="eastAsia" w:ascii="仿宋" w:hAnsi="仿宋" w:eastAsia="仿宋" w:cs="仿宋"/>
          <w:sz w:val="30"/>
          <w:szCs w:val="30"/>
        </w:rPr>
        <w:t>万亩，土地流转率达到</w:t>
      </w:r>
      <w:r>
        <w:rPr>
          <w:rFonts w:ascii="仿宋" w:hAnsi="仿宋" w:eastAsia="仿宋" w:cs="仿宋"/>
          <w:sz w:val="30"/>
          <w:szCs w:val="30"/>
        </w:rPr>
        <w:t>53.2%</w:t>
      </w:r>
      <w:r>
        <w:rPr>
          <w:rFonts w:hint="eastAsia" w:ascii="仿宋" w:hAnsi="仿宋" w:eastAsia="仿宋" w:cs="仿宋"/>
          <w:sz w:val="30"/>
          <w:szCs w:val="30"/>
        </w:rPr>
        <w:t>。</w:t>
      </w:r>
      <w:r>
        <w:rPr>
          <w:rFonts w:hint="eastAsia" w:ascii="仿宋" w:hAnsi="仿宋" w:eastAsia="仿宋" w:cs="仿宋"/>
          <w:b/>
          <w:bCs/>
          <w:sz w:val="30"/>
          <w:szCs w:val="30"/>
        </w:rPr>
        <w:t>三是</w:t>
      </w:r>
      <w:r>
        <w:rPr>
          <w:rFonts w:hint="eastAsia" w:ascii="仿宋" w:hAnsi="仿宋" w:eastAsia="仿宋" w:cs="仿宋"/>
          <w:sz w:val="30"/>
          <w:szCs w:val="30"/>
        </w:rPr>
        <w:t>进一步深化农垦改革。全市垦区完成工农业总产值</w:t>
      </w:r>
      <w:r>
        <w:rPr>
          <w:rFonts w:ascii="仿宋" w:hAnsi="仿宋" w:eastAsia="仿宋" w:cs="仿宋"/>
          <w:sz w:val="30"/>
          <w:szCs w:val="30"/>
        </w:rPr>
        <w:t>43.54</w:t>
      </w:r>
      <w:r>
        <w:rPr>
          <w:rFonts w:hint="eastAsia" w:ascii="仿宋" w:hAnsi="仿宋" w:eastAsia="仿宋" w:cs="仿宋"/>
          <w:sz w:val="30"/>
          <w:szCs w:val="30"/>
        </w:rPr>
        <w:t>亿元，年人均纯收入达</w:t>
      </w:r>
      <w:r>
        <w:rPr>
          <w:rFonts w:ascii="仿宋" w:hAnsi="仿宋" w:eastAsia="仿宋" w:cs="仿宋"/>
          <w:sz w:val="30"/>
          <w:szCs w:val="30"/>
        </w:rPr>
        <w:t>14800</w:t>
      </w:r>
      <w:r>
        <w:rPr>
          <w:rFonts w:hint="eastAsia" w:ascii="仿宋" w:hAnsi="仿宋" w:eastAsia="仿宋" w:cs="仿宋"/>
          <w:sz w:val="30"/>
          <w:szCs w:val="30"/>
        </w:rPr>
        <w:t>元，确权登记发证工作基本完成，垦区危旧房改造全面完成，垦区成为乡村振兴示范区。</w:t>
      </w:r>
      <w:r>
        <w:rPr>
          <w:rFonts w:hint="eastAsia" w:ascii="仿宋" w:hAnsi="仿宋" w:eastAsia="仿宋" w:cs="仿宋"/>
          <w:b/>
          <w:bCs/>
          <w:sz w:val="30"/>
          <w:szCs w:val="30"/>
        </w:rPr>
        <w:t>四是</w:t>
      </w:r>
      <w:r>
        <w:rPr>
          <w:rFonts w:hint="eastAsia" w:ascii="仿宋" w:hAnsi="仿宋" w:eastAsia="仿宋" w:cs="仿宋"/>
          <w:sz w:val="30"/>
          <w:szCs w:val="30"/>
        </w:rPr>
        <w:t>农村基本公共服务水平大幅提升，教育、医疗卫生、文化等社会事业快速发展，基层组织和民主法制建设不断加强。</w:t>
      </w:r>
    </w:p>
    <w:p>
      <w:pPr>
        <w:pStyle w:val="4"/>
        <w:spacing w:before="0" w:after="0" w:line="360" w:lineRule="auto"/>
        <w:ind w:firstLine="602" w:firstLineChars="200"/>
        <w:rPr>
          <w:rFonts w:ascii="仿宋" w:hAnsi="仿宋" w:eastAsia="仿宋" w:cs="Times New Roman"/>
          <w:sz w:val="30"/>
          <w:szCs w:val="30"/>
        </w:rPr>
      </w:pPr>
      <w:bookmarkStart w:id="29" w:name="_Toc57879184"/>
      <w:bookmarkStart w:id="30" w:name="_Toc29520"/>
      <w:bookmarkStart w:id="31" w:name="_Toc11608"/>
      <w:bookmarkStart w:id="32" w:name="_Toc96329868"/>
      <w:r>
        <w:rPr>
          <w:rFonts w:hint="eastAsia" w:ascii="仿宋" w:hAnsi="仿宋" w:eastAsia="仿宋" w:cs="仿宋"/>
          <w:sz w:val="30"/>
          <w:szCs w:val="30"/>
        </w:rPr>
        <w:t>六、脱贫攻坚</w:t>
      </w:r>
      <w:bookmarkEnd w:id="29"/>
      <w:r>
        <w:rPr>
          <w:rFonts w:hint="eastAsia" w:ascii="仿宋" w:hAnsi="仿宋" w:eastAsia="仿宋" w:cs="仿宋"/>
          <w:sz w:val="30"/>
          <w:szCs w:val="30"/>
        </w:rPr>
        <w:t>交出优异答卷</w:t>
      </w:r>
      <w:bookmarkEnd w:id="30"/>
      <w:bookmarkEnd w:id="31"/>
      <w:bookmarkEnd w:id="32"/>
    </w:p>
    <w:p>
      <w:pPr>
        <w:spacing w:line="360" w:lineRule="auto"/>
        <w:ind w:firstLine="600" w:firstLineChars="200"/>
        <w:rPr>
          <w:rFonts w:ascii="仿宋" w:hAnsi="仿宋" w:eastAsia="仿宋" w:cs="Times New Roman"/>
          <w:sz w:val="30"/>
          <w:szCs w:val="30"/>
        </w:rPr>
      </w:pPr>
      <w:r>
        <w:rPr>
          <w:rFonts w:hint="eastAsia" w:ascii="仿宋" w:hAnsi="仿宋" w:eastAsia="仿宋" w:cs="仿宋"/>
          <w:sz w:val="30"/>
          <w:szCs w:val="30"/>
        </w:rPr>
        <w:t>现行标准下，全市</w:t>
      </w:r>
      <w:r>
        <w:rPr>
          <w:rFonts w:ascii="仿宋" w:hAnsi="仿宋" w:eastAsia="仿宋" w:cs="仿宋"/>
          <w:sz w:val="30"/>
          <w:szCs w:val="30"/>
        </w:rPr>
        <w:t>146</w:t>
      </w:r>
      <w:r>
        <w:rPr>
          <w:rFonts w:hint="eastAsia" w:ascii="仿宋" w:hAnsi="仿宋" w:eastAsia="仿宋" w:cs="仿宋"/>
          <w:sz w:val="30"/>
          <w:szCs w:val="30"/>
        </w:rPr>
        <w:t>个贫困村全部退出，</w:t>
      </w:r>
      <w:r>
        <w:rPr>
          <w:rFonts w:ascii="仿宋" w:hAnsi="仿宋" w:eastAsia="仿宋" w:cs="仿宋"/>
          <w:sz w:val="30"/>
          <w:szCs w:val="30"/>
        </w:rPr>
        <w:t>57190</w:t>
      </w:r>
      <w:r>
        <w:rPr>
          <w:rFonts w:hint="eastAsia" w:ascii="仿宋" w:hAnsi="仿宋" w:eastAsia="仿宋" w:cs="仿宋"/>
          <w:sz w:val="30"/>
          <w:szCs w:val="30"/>
        </w:rPr>
        <w:t>户</w:t>
      </w:r>
      <w:r>
        <w:rPr>
          <w:rFonts w:ascii="仿宋" w:hAnsi="仿宋" w:eastAsia="仿宋" w:cs="仿宋"/>
          <w:sz w:val="30"/>
          <w:szCs w:val="30"/>
        </w:rPr>
        <w:t>164754</w:t>
      </w:r>
      <w:r>
        <w:rPr>
          <w:rFonts w:hint="eastAsia" w:ascii="仿宋" w:hAnsi="仿宋" w:eastAsia="仿宋" w:cs="仿宋"/>
          <w:sz w:val="30"/>
          <w:szCs w:val="30"/>
        </w:rPr>
        <w:t>人建档立卡贫困户全部脱贫，一个不落同步迈入小康社会。</w:t>
      </w:r>
      <w:r>
        <w:rPr>
          <w:rFonts w:hint="eastAsia" w:ascii="仿宋" w:hAnsi="仿宋" w:eastAsia="仿宋" w:cs="仿宋"/>
          <w:b/>
          <w:bCs/>
          <w:sz w:val="30"/>
          <w:szCs w:val="30"/>
        </w:rPr>
        <w:t>一是</w:t>
      </w:r>
      <w:r>
        <w:rPr>
          <w:rFonts w:hint="eastAsia" w:ascii="仿宋" w:hAnsi="仿宋" w:eastAsia="仿宋" w:cs="仿宋"/>
          <w:sz w:val="30"/>
          <w:szCs w:val="30"/>
        </w:rPr>
        <w:t>打造了“一支不走的扶贫工作队”。全市共有</w:t>
      </w:r>
      <w:r>
        <w:rPr>
          <w:rFonts w:ascii="仿宋" w:hAnsi="仿宋" w:eastAsia="仿宋" w:cs="仿宋"/>
          <w:sz w:val="30"/>
          <w:szCs w:val="30"/>
        </w:rPr>
        <w:t xml:space="preserve"> 1257 </w:t>
      </w:r>
      <w:r>
        <w:rPr>
          <w:rFonts w:hint="eastAsia" w:ascii="仿宋" w:hAnsi="仿宋" w:eastAsia="仿宋" w:cs="仿宋"/>
          <w:sz w:val="30"/>
          <w:szCs w:val="30"/>
        </w:rPr>
        <w:t>个省市县单位开展结对帮扶，</w:t>
      </w:r>
      <w:r>
        <w:rPr>
          <w:rFonts w:ascii="仿宋" w:hAnsi="仿宋" w:eastAsia="仿宋" w:cs="仿宋"/>
          <w:sz w:val="30"/>
          <w:szCs w:val="30"/>
        </w:rPr>
        <w:t>7394</w:t>
      </w:r>
      <w:r>
        <w:rPr>
          <w:rFonts w:hint="eastAsia" w:ascii="仿宋" w:hAnsi="仿宋" w:eastAsia="仿宋" w:cs="仿宋"/>
          <w:sz w:val="30"/>
          <w:szCs w:val="30"/>
        </w:rPr>
        <w:t>名第一书记和驻村工作队员，常年驻扎在一线。</w:t>
      </w:r>
      <w:r>
        <w:rPr>
          <w:rFonts w:ascii="仿宋" w:hAnsi="仿宋" w:eastAsia="仿宋" w:cs="仿宋"/>
          <w:sz w:val="30"/>
          <w:szCs w:val="30"/>
        </w:rPr>
        <w:t>290</w:t>
      </w:r>
      <w:r>
        <w:rPr>
          <w:rFonts w:hint="eastAsia" w:ascii="仿宋" w:hAnsi="仿宋" w:eastAsia="仿宋" w:cs="仿宋"/>
          <w:sz w:val="30"/>
          <w:szCs w:val="30"/>
        </w:rPr>
        <w:t>家民营企业（商会）投入帮扶资金</w:t>
      </w:r>
      <w:r>
        <w:rPr>
          <w:rFonts w:ascii="仿宋" w:hAnsi="仿宋" w:eastAsia="仿宋" w:cs="仿宋"/>
          <w:sz w:val="30"/>
          <w:szCs w:val="30"/>
        </w:rPr>
        <w:t>1.51</w:t>
      </w:r>
      <w:r>
        <w:rPr>
          <w:rFonts w:hint="eastAsia" w:ascii="仿宋" w:hAnsi="仿宋" w:eastAsia="仿宋" w:cs="仿宋"/>
          <w:sz w:val="30"/>
          <w:szCs w:val="30"/>
        </w:rPr>
        <w:t>亿元，实施帮扶项目</w:t>
      </w:r>
      <w:r>
        <w:rPr>
          <w:rFonts w:ascii="仿宋" w:hAnsi="仿宋" w:eastAsia="仿宋" w:cs="仿宋"/>
          <w:sz w:val="30"/>
          <w:szCs w:val="30"/>
        </w:rPr>
        <w:t>683</w:t>
      </w:r>
      <w:r>
        <w:rPr>
          <w:rFonts w:hint="eastAsia" w:ascii="仿宋" w:hAnsi="仿宋" w:eastAsia="仿宋" w:cs="仿宋"/>
          <w:sz w:val="30"/>
          <w:szCs w:val="30"/>
        </w:rPr>
        <w:t>个，带动贫困人口</w:t>
      </w:r>
      <w:r>
        <w:rPr>
          <w:rFonts w:ascii="仿宋" w:hAnsi="仿宋" w:eastAsia="仿宋" w:cs="仿宋"/>
          <w:sz w:val="30"/>
          <w:szCs w:val="30"/>
        </w:rPr>
        <w:t>3.44</w:t>
      </w:r>
      <w:r>
        <w:rPr>
          <w:rFonts w:hint="eastAsia" w:ascii="仿宋" w:hAnsi="仿宋" w:eastAsia="仿宋" w:cs="仿宋"/>
          <w:sz w:val="30"/>
          <w:szCs w:val="30"/>
        </w:rPr>
        <w:t>万人。培育了创业致富带头人</w:t>
      </w:r>
      <w:r>
        <w:rPr>
          <w:rFonts w:ascii="仿宋" w:hAnsi="仿宋" w:eastAsia="仿宋" w:cs="仿宋"/>
          <w:sz w:val="30"/>
          <w:szCs w:val="30"/>
        </w:rPr>
        <w:t>2834</w:t>
      </w:r>
      <w:r>
        <w:rPr>
          <w:rFonts w:hint="eastAsia" w:ascii="仿宋" w:hAnsi="仿宋" w:eastAsia="仿宋" w:cs="仿宋"/>
          <w:sz w:val="30"/>
          <w:szCs w:val="30"/>
        </w:rPr>
        <w:t>名。</w:t>
      </w:r>
      <w:r>
        <w:rPr>
          <w:rFonts w:hint="eastAsia" w:ascii="仿宋" w:hAnsi="仿宋" w:eastAsia="仿宋" w:cs="仿宋"/>
          <w:b/>
          <w:bCs/>
          <w:sz w:val="30"/>
          <w:szCs w:val="30"/>
        </w:rPr>
        <w:t>二是</w:t>
      </w:r>
      <w:r>
        <w:rPr>
          <w:rFonts w:hint="eastAsia" w:ascii="仿宋" w:hAnsi="仿宋" w:eastAsia="仿宋" w:cs="仿宋"/>
          <w:sz w:val="30"/>
          <w:szCs w:val="30"/>
        </w:rPr>
        <w:t>解决了贫困群众的“两不愁三保障”和饮水安全。“十三五”期间累计发放贫困学生资助金</w:t>
      </w:r>
      <w:r>
        <w:rPr>
          <w:rFonts w:ascii="仿宋" w:hAnsi="仿宋" w:eastAsia="仿宋" w:cs="仿宋"/>
          <w:sz w:val="30"/>
          <w:szCs w:val="30"/>
        </w:rPr>
        <w:t>7.43</w:t>
      </w:r>
      <w:r>
        <w:rPr>
          <w:rFonts w:hint="eastAsia" w:ascii="仿宋" w:hAnsi="仿宋" w:eastAsia="仿宋" w:cs="仿宋"/>
          <w:sz w:val="30"/>
          <w:szCs w:val="30"/>
        </w:rPr>
        <w:t>亿元，资助贫困学生</w:t>
      </w:r>
      <w:r>
        <w:rPr>
          <w:rFonts w:ascii="仿宋" w:hAnsi="仿宋" w:eastAsia="仿宋" w:cs="仿宋"/>
          <w:sz w:val="30"/>
          <w:szCs w:val="30"/>
        </w:rPr>
        <w:t>110</w:t>
      </w:r>
      <w:r>
        <w:rPr>
          <w:rFonts w:hint="eastAsia" w:ascii="仿宋" w:hAnsi="仿宋" w:eastAsia="仿宋" w:cs="仿宋"/>
          <w:sz w:val="30"/>
          <w:szCs w:val="30"/>
        </w:rPr>
        <w:t>余万人次。建档立卡贫困患者累计报销住院医疗费用</w:t>
      </w:r>
      <w:r>
        <w:rPr>
          <w:rFonts w:ascii="仿宋" w:hAnsi="仿宋" w:eastAsia="仿宋" w:cs="仿宋"/>
          <w:sz w:val="30"/>
          <w:szCs w:val="30"/>
        </w:rPr>
        <w:t>17.87</w:t>
      </w:r>
      <w:r>
        <w:rPr>
          <w:rFonts w:hint="eastAsia" w:ascii="仿宋" w:hAnsi="仿宋" w:eastAsia="仿宋" w:cs="仿宋"/>
          <w:sz w:val="30"/>
          <w:szCs w:val="30"/>
        </w:rPr>
        <w:t>亿元，确保贫困患者住院个人自付比例始终控制在</w:t>
      </w:r>
      <w:r>
        <w:rPr>
          <w:rFonts w:ascii="仿宋" w:hAnsi="仿宋" w:eastAsia="仿宋" w:cs="仿宋"/>
          <w:sz w:val="30"/>
          <w:szCs w:val="30"/>
        </w:rPr>
        <w:t>10%</w:t>
      </w:r>
      <w:r>
        <w:rPr>
          <w:rFonts w:hint="eastAsia" w:ascii="仿宋" w:hAnsi="仿宋" w:eastAsia="仿宋" w:cs="仿宋"/>
          <w:sz w:val="30"/>
          <w:szCs w:val="30"/>
        </w:rPr>
        <w:t>的适度比例。投入财政资金</w:t>
      </w:r>
      <w:r>
        <w:rPr>
          <w:rFonts w:ascii="仿宋" w:hAnsi="仿宋" w:eastAsia="仿宋" w:cs="仿宋"/>
          <w:sz w:val="30"/>
          <w:szCs w:val="30"/>
        </w:rPr>
        <w:t>4.9</w:t>
      </w:r>
      <w:r>
        <w:rPr>
          <w:rFonts w:hint="eastAsia" w:ascii="仿宋" w:hAnsi="仿宋" w:eastAsia="仿宋" w:cs="仿宋"/>
          <w:sz w:val="30"/>
          <w:szCs w:val="30"/>
        </w:rPr>
        <w:t>亿元对农户危房做到“应改尽改”。投入农村饮水工程建设资金</w:t>
      </w:r>
      <w:r>
        <w:rPr>
          <w:rFonts w:ascii="仿宋" w:hAnsi="仿宋" w:eastAsia="仿宋" w:cs="仿宋"/>
          <w:sz w:val="30"/>
          <w:szCs w:val="30"/>
        </w:rPr>
        <w:t>5.83</w:t>
      </w:r>
      <w:r>
        <w:rPr>
          <w:rFonts w:hint="eastAsia" w:ascii="仿宋" w:hAnsi="仿宋" w:eastAsia="仿宋" w:cs="仿宋"/>
          <w:sz w:val="30"/>
          <w:szCs w:val="30"/>
        </w:rPr>
        <w:t>亿元，建成农村集中供水工程</w:t>
      </w:r>
      <w:r>
        <w:rPr>
          <w:rFonts w:ascii="仿宋" w:hAnsi="仿宋" w:eastAsia="仿宋" w:cs="仿宋"/>
          <w:sz w:val="30"/>
          <w:szCs w:val="30"/>
        </w:rPr>
        <w:t>2220</w:t>
      </w:r>
      <w:r>
        <w:rPr>
          <w:rFonts w:hint="eastAsia" w:ascii="仿宋" w:hAnsi="仿宋" w:eastAsia="仿宋" w:cs="仿宋"/>
          <w:sz w:val="30"/>
          <w:szCs w:val="30"/>
        </w:rPr>
        <w:t>处，农村饮水安全覆盖率</w:t>
      </w:r>
      <w:r>
        <w:rPr>
          <w:rFonts w:ascii="仿宋" w:hAnsi="仿宋" w:eastAsia="仿宋" w:cs="仿宋"/>
          <w:sz w:val="30"/>
          <w:szCs w:val="30"/>
        </w:rPr>
        <w:t>100%</w:t>
      </w:r>
      <w:r>
        <w:rPr>
          <w:rFonts w:hint="eastAsia" w:ascii="仿宋" w:hAnsi="仿宋" w:eastAsia="仿宋" w:cs="仿宋"/>
          <w:sz w:val="30"/>
          <w:szCs w:val="30"/>
        </w:rPr>
        <w:t>，整体上解决了农村饮水不安全问题。</w:t>
      </w:r>
      <w:r>
        <w:rPr>
          <w:rFonts w:hint="eastAsia" w:ascii="仿宋" w:hAnsi="仿宋" w:eastAsia="仿宋" w:cs="仿宋"/>
          <w:b/>
          <w:bCs/>
          <w:sz w:val="30"/>
          <w:szCs w:val="30"/>
        </w:rPr>
        <w:t>三是</w:t>
      </w:r>
      <w:r>
        <w:rPr>
          <w:rFonts w:hint="eastAsia" w:ascii="仿宋" w:hAnsi="仿宋" w:eastAsia="仿宋" w:cs="仿宋"/>
          <w:sz w:val="30"/>
          <w:szCs w:val="30"/>
        </w:rPr>
        <w:t>贫困村村庄整治任务全面完成。在贫困村中共安排新农村建设点</w:t>
      </w:r>
      <w:r>
        <w:rPr>
          <w:rFonts w:ascii="仿宋" w:hAnsi="仿宋" w:eastAsia="仿宋" w:cs="仿宋"/>
          <w:sz w:val="30"/>
          <w:szCs w:val="30"/>
        </w:rPr>
        <w:t>1196</w:t>
      </w:r>
      <w:r>
        <w:rPr>
          <w:rFonts w:hint="eastAsia" w:ascii="仿宋" w:hAnsi="仿宋" w:eastAsia="仿宋" w:cs="仿宋"/>
          <w:sz w:val="30"/>
          <w:szCs w:val="30"/>
        </w:rPr>
        <w:t>个，用于推进完善贫困村“七改三网”基础设施建设，确保贫困村实现了村庄整治建设“全覆盖”；对照《宜春市贫困村退出评分细则（修订）》，全市</w:t>
      </w:r>
      <w:r>
        <w:rPr>
          <w:rFonts w:ascii="仿宋" w:hAnsi="仿宋" w:eastAsia="仿宋" w:cs="仿宋"/>
          <w:sz w:val="30"/>
          <w:szCs w:val="30"/>
        </w:rPr>
        <w:t>146</w:t>
      </w:r>
      <w:r>
        <w:rPr>
          <w:rFonts w:hint="eastAsia" w:ascii="仿宋" w:hAnsi="仿宋" w:eastAsia="仿宋" w:cs="仿宋"/>
          <w:sz w:val="30"/>
          <w:szCs w:val="30"/>
        </w:rPr>
        <w:t>个贫困村已全部顺利退出。</w:t>
      </w:r>
      <w:r>
        <w:rPr>
          <w:rFonts w:hint="eastAsia" w:ascii="仿宋" w:hAnsi="仿宋" w:eastAsia="仿宋" w:cs="仿宋"/>
          <w:b/>
          <w:bCs/>
          <w:sz w:val="30"/>
          <w:szCs w:val="30"/>
        </w:rPr>
        <w:t>四是</w:t>
      </w:r>
      <w:r>
        <w:rPr>
          <w:rFonts w:hint="eastAsia" w:ascii="仿宋" w:hAnsi="仿宋" w:eastAsia="仿宋" w:cs="仿宋"/>
          <w:sz w:val="30"/>
          <w:szCs w:val="30"/>
        </w:rPr>
        <w:t>打下了高质量稳定脱贫的坚实基础。全市获得产业发展扶持的贫困户达到</w:t>
      </w:r>
      <w:r>
        <w:rPr>
          <w:rFonts w:ascii="仿宋" w:hAnsi="仿宋" w:eastAsia="仿宋" w:cs="仿宋"/>
          <w:sz w:val="30"/>
          <w:szCs w:val="30"/>
        </w:rPr>
        <w:t>5.72</w:t>
      </w:r>
      <w:r>
        <w:rPr>
          <w:rFonts w:hint="eastAsia" w:ascii="仿宋" w:hAnsi="仿宋" w:eastAsia="仿宋" w:cs="仿宋"/>
          <w:sz w:val="30"/>
          <w:szCs w:val="30"/>
        </w:rPr>
        <w:t>万户，每个贫困村至少有</w:t>
      </w:r>
      <w:r>
        <w:rPr>
          <w:rFonts w:ascii="仿宋" w:hAnsi="仿宋" w:eastAsia="仿宋" w:cs="仿宋"/>
          <w:sz w:val="30"/>
          <w:szCs w:val="30"/>
        </w:rPr>
        <w:t>1</w:t>
      </w:r>
      <w:r>
        <w:rPr>
          <w:rFonts w:hint="eastAsia" w:ascii="仿宋" w:hAnsi="仿宋" w:eastAsia="仿宋" w:cs="仿宋"/>
          <w:sz w:val="30"/>
          <w:szCs w:val="30"/>
        </w:rPr>
        <w:t>个以上新型经营主体和产业扶贫示范基地，带动贫困户年均增收</w:t>
      </w:r>
      <w:r>
        <w:rPr>
          <w:rFonts w:ascii="仿宋" w:hAnsi="仿宋" w:eastAsia="仿宋" w:cs="仿宋"/>
          <w:sz w:val="30"/>
          <w:szCs w:val="30"/>
        </w:rPr>
        <w:t>1264</w:t>
      </w:r>
      <w:r>
        <w:rPr>
          <w:rFonts w:hint="eastAsia" w:ascii="仿宋" w:hAnsi="仿宋" w:eastAsia="仿宋" w:cs="仿宋"/>
          <w:sz w:val="30"/>
          <w:szCs w:val="30"/>
        </w:rPr>
        <w:t>元。</w:t>
      </w:r>
      <w:r>
        <w:rPr>
          <w:rFonts w:ascii="仿宋" w:hAnsi="仿宋" w:eastAsia="仿宋" w:cs="仿宋"/>
          <w:sz w:val="30"/>
          <w:szCs w:val="30"/>
        </w:rPr>
        <w:t>2017</w:t>
      </w:r>
      <w:r>
        <w:rPr>
          <w:rFonts w:hint="eastAsia" w:ascii="仿宋" w:hAnsi="仿宋" w:eastAsia="仿宋" w:cs="仿宋"/>
          <w:sz w:val="30"/>
          <w:szCs w:val="30"/>
        </w:rPr>
        <w:t>年以来，贫困人口人均可支配收入年均增幅保持在</w:t>
      </w:r>
      <w:r>
        <w:rPr>
          <w:rFonts w:ascii="仿宋" w:hAnsi="仿宋" w:eastAsia="仿宋" w:cs="仿宋"/>
          <w:sz w:val="30"/>
          <w:szCs w:val="30"/>
        </w:rPr>
        <w:t>30%</w:t>
      </w:r>
      <w:r>
        <w:rPr>
          <w:rFonts w:hint="eastAsia" w:ascii="仿宋" w:hAnsi="仿宋" w:eastAsia="仿宋" w:cs="仿宋"/>
          <w:sz w:val="30"/>
          <w:szCs w:val="30"/>
        </w:rPr>
        <w:t>以上，</w:t>
      </w:r>
      <w:r>
        <w:rPr>
          <w:rFonts w:ascii="仿宋" w:hAnsi="仿宋" w:eastAsia="仿宋" w:cs="仿宋"/>
          <w:sz w:val="30"/>
          <w:szCs w:val="30"/>
        </w:rPr>
        <w:t>2020</w:t>
      </w:r>
      <w:r>
        <w:rPr>
          <w:rFonts w:hint="eastAsia" w:ascii="仿宋" w:hAnsi="仿宋" w:eastAsia="仿宋" w:cs="仿宋"/>
          <w:sz w:val="30"/>
          <w:szCs w:val="30"/>
        </w:rPr>
        <w:t>年贫困户人均纯收入达</w:t>
      </w:r>
      <w:r>
        <w:rPr>
          <w:rFonts w:ascii="仿宋" w:hAnsi="仿宋" w:eastAsia="仿宋" w:cs="仿宋"/>
          <w:sz w:val="30"/>
          <w:szCs w:val="30"/>
        </w:rPr>
        <w:t>13105.31</w:t>
      </w:r>
      <w:r>
        <w:rPr>
          <w:rFonts w:hint="eastAsia" w:ascii="仿宋" w:hAnsi="仿宋" w:eastAsia="仿宋" w:cs="仿宋"/>
          <w:sz w:val="30"/>
          <w:szCs w:val="30"/>
        </w:rPr>
        <w:t>元。通过实施易地扶贫搬迁工程，帮助</w:t>
      </w:r>
      <w:r>
        <w:rPr>
          <w:rFonts w:ascii="仿宋" w:hAnsi="仿宋" w:eastAsia="仿宋" w:cs="仿宋"/>
          <w:sz w:val="30"/>
          <w:szCs w:val="30"/>
        </w:rPr>
        <w:t>10583</w:t>
      </w:r>
      <w:r>
        <w:rPr>
          <w:rFonts w:hint="eastAsia" w:ascii="仿宋" w:hAnsi="仿宋" w:eastAsia="仿宋" w:cs="仿宋"/>
          <w:sz w:val="30"/>
          <w:szCs w:val="30"/>
        </w:rPr>
        <w:t>名贫困人口“乔迁新居”，实现了“搬得出、稳得住、逐步能致富”，铜鼓县的易地扶贫搬迁经验做法获得国家评估核查验收组的高度评价。宜春市坚持扶智扶志并举，持续开展“感党恩听党话跟党走”、“爱心超市”积分、“三讲一评”等活动，贫困群众内生动力得到有效激发。</w:t>
      </w:r>
    </w:p>
    <w:p>
      <w:pPr>
        <w:pStyle w:val="2"/>
        <w:jc w:val="center"/>
        <w:rPr>
          <w:rFonts w:ascii="黑体" w:hAnsi="黑体" w:eastAsia="黑体" w:cs="Times New Roman"/>
          <w:sz w:val="30"/>
          <w:szCs w:val="30"/>
        </w:rPr>
      </w:pPr>
      <w:bookmarkStart w:id="33" w:name="_Toc96329869"/>
      <w:r>
        <w:rPr>
          <w:rFonts w:hint="eastAsia" w:ascii="黑体" w:hAnsi="黑体" w:eastAsia="黑体" w:cs="黑体"/>
          <w:sz w:val="30"/>
          <w:szCs w:val="30"/>
        </w:rPr>
        <w:t>第二节</w:t>
      </w:r>
      <w:r>
        <w:rPr>
          <w:rFonts w:ascii="黑体" w:hAnsi="黑体" w:eastAsia="黑体" w:cs="黑体"/>
          <w:sz w:val="30"/>
          <w:szCs w:val="30"/>
        </w:rPr>
        <w:t xml:space="preserve"> </w:t>
      </w:r>
      <w:r>
        <w:rPr>
          <w:rFonts w:hint="eastAsia" w:ascii="黑体" w:hAnsi="黑体" w:eastAsia="黑体" w:cs="黑体"/>
          <w:sz w:val="30"/>
          <w:szCs w:val="30"/>
        </w:rPr>
        <w:t>发展挑战</w:t>
      </w:r>
      <w:bookmarkEnd w:id="15"/>
      <w:bookmarkEnd w:id="16"/>
      <w:bookmarkEnd w:id="33"/>
    </w:p>
    <w:p>
      <w:pPr>
        <w:spacing w:line="360" w:lineRule="auto"/>
        <w:ind w:firstLine="600" w:firstLineChars="200"/>
        <w:rPr>
          <w:rFonts w:ascii="仿宋" w:hAnsi="仿宋" w:eastAsia="仿宋" w:cs="Times New Roman"/>
          <w:sz w:val="30"/>
          <w:szCs w:val="30"/>
        </w:rPr>
      </w:pPr>
      <w:r>
        <w:rPr>
          <w:rFonts w:hint="eastAsia" w:ascii="仿宋" w:hAnsi="仿宋" w:eastAsia="仿宋" w:cs="仿宋"/>
          <w:sz w:val="30"/>
          <w:szCs w:val="30"/>
        </w:rPr>
        <w:t>“十四五”时期，实现农业农村现代化，全面推进乡村振兴，需要在充分认清国内外形势的基础上，坚持系统思维，坚持问题导向，统筹谋划，科学推进，奋力开创乡村发展新局面。当前，宜春现代农业农村发展势头强劲，取得了显著成效。然而，新冠肺炎疫情常态化、全球自然和非自然灾害频发形势下，世界经济下行风险加剧，国际形势复杂多变，不稳定不确定因素显著增加，加剧了粮食等重要农产品稳产保供压力，同时，也给“十四五”时期宜春市农业农村发展带来新的困难和挑战。</w:t>
      </w:r>
    </w:p>
    <w:p>
      <w:pPr>
        <w:pStyle w:val="4"/>
        <w:spacing w:before="0" w:after="0" w:line="360" w:lineRule="auto"/>
        <w:ind w:firstLine="602" w:firstLineChars="200"/>
        <w:rPr>
          <w:rFonts w:ascii="仿宋" w:hAnsi="仿宋" w:eastAsia="仿宋" w:cs="Times New Roman"/>
          <w:sz w:val="30"/>
          <w:szCs w:val="30"/>
        </w:rPr>
      </w:pPr>
      <w:bookmarkStart w:id="34" w:name="_Toc96329870"/>
      <w:bookmarkStart w:id="35" w:name="_Toc26801"/>
      <w:bookmarkStart w:id="36" w:name="_Toc57879186"/>
      <w:r>
        <w:rPr>
          <w:rFonts w:hint="eastAsia" w:ascii="仿宋" w:hAnsi="仿宋" w:eastAsia="仿宋" w:cs="仿宋"/>
          <w:sz w:val="30"/>
          <w:szCs w:val="30"/>
        </w:rPr>
        <w:t>一、比较效益低下仍是农业农村发展的突出矛盾</w:t>
      </w:r>
      <w:bookmarkEnd w:id="34"/>
      <w:bookmarkEnd w:id="35"/>
    </w:p>
    <w:p>
      <w:pPr>
        <w:widowControl/>
        <w:spacing w:line="360" w:lineRule="auto"/>
        <w:ind w:firstLine="600" w:firstLineChars="200"/>
        <w:jc w:val="left"/>
        <w:rPr>
          <w:rFonts w:ascii="仿宋" w:hAnsi="仿宋" w:eastAsia="仿宋" w:cs="Times New Roman"/>
          <w:sz w:val="30"/>
          <w:szCs w:val="30"/>
          <w:lang w:val="zh-CN"/>
        </w:rPr>
      </w:pPr>
      <w:r>
        <w:rPr>
          <w:rFonts w:hint="eastAsia" w:ascii="仿宋" w:hAnsi="仿宋" w:eastAsia="仿宋" w:cs="仿宋"/>
          <w:sz w:val="30"/>
          <w:szCs w:val="30"/>
          <w:lang w:val="zh-CN"/>
        </w:rPr>
        <w:t>长期以来，宜春市农业发展仍以数量扩张为主，粗放型发展方式未得到根本改变，农业“小、散、低”的格局没有打破，农业基础不牢、结构不优、加工不深、品牌不响、规模集约化程度不大、发展质量不高等问题仍然存在，农业“靠天吃饭”的局面依然存在。</w:t>
      </w:r>
    </w:p>
    <w:p>
      <w:pPr>
        <w:pStyle w:val="4"/>
        <w:spacing w:before="0" w:after="0" w:line="360" w:lineRule="auto"/>
        <w:ind w:firstLine="602" w:firstLineChars="200"/>
        <w:rPr>
          <w:rFonts w:ascii="仿宋" w:hAnsi="仿宋" w:eastAsia="仿宋" w:cs="Times New Roman"/>
          <w:sz w:val="30"/>
          <w:szCs w:val="30"/>
        </w:rPr>
      </w:pPr>
      <w:bookmarkStart w:id="37" w:name="_Toc96329871"/>
      <w:bookmarkStart w:id="38" w:name="_Toc12771"/>
      <w:r>
        <w:rPr>
          <w:rFonts w:hint="eastAsia" w:ascii="仿宋" w:hAnsi="仿宋" w:eastAsia="仿宋" w:cs="仿宋"/>
          <w:sz w:val="30"/>
          <w:szCs w:val="30"/>
        </w:rPr>
        <w:t>二、现代化程度不高仍是农业农村的基本农情</w:t>
      </w:r>
      <w:bookmarkEnd w:id="37"/>
      <w:bookmarkEnd w:id="38"/>
    </w:p>
    <w:p>
      <w:pPr>
        <w:widowControl/>
        <w:spacing w:line="360" w:lineRule="auto"/>
        <w:ind w:firstLine="600" w:firstLineChars="200"/>
        <w:jc w:val="left"/>
        <w:rPr>
          <w:rFonts w:cs="Times New Roman"/>
        </w:rPr>
      </w:pPr>
      <w:r>
        <w:rPr>
          <w:rFonts w:hint="eastAsia" w:ascii="仿宋" w:hAnsi="仿宋" w:eastAsia="仿宋" w:cs="仿宋"/>
          <w:sz w:val="30"/>
          <w:szCs w:val="30"/>
        </w:rPr>
        <w:t>当前，宜春市多数农产品以初级产品为主，精深加工产品较少，农业产业链条短，三产融合不紧密，产业附加值低，带动农民增收有限。</w:t>
      </w:r>
      <w:r>
        <w:rPr>
          <w:rFonts w:hint="eastAsia" w:ascii="仿宋" w:hAnsi="仿宋" w:eastAsia="仿宋" w:cs="仿宋"/>
          <w:sz w:val="30"/>
          <w:szCs w:val="30"/>
          <w:lang w:val="zh-CN"/>
        </w:rPr>
        <w:t>工业对农业、城市对农村资源的“虹吸效应”比较明显，土地、资金和劳动力等生产要素大量流向城市，“城乡二元结构和剪刀差”仍然没有得到根本性转变。</w:t>
      </w:r>
    </w:p>
    <w:p>
      <w:pPr>
        <w:pStyle w:val="4"/>
        <w:spacing w:before="0" w:after="0" w:line="360" w:lineRule="auto"/>
        <w:ind w:firstLine="602" w:firstLineChars="200"/>
        <w:rPr>
          <w:rFonts w:ascii="仿宋" w:hAnsi="仿宋" w:eastAsia="仿宋" w:cs="Times New Roman"/>
          <w:sz w:val="30"/>
          <w:szCs w:val="30"/>
        </w:rPr>
      </w:pPr>
      <w:bookmarkStart w:id="39" w:name="_Toc32217"/>
      <w:bookmarkStart w:id="40" w:name="_Toc96329872"/>
      <w:r>
        <w:rPr>
          <w:rFonts w:hint="eastAsia" w:ascii="仿宋" w:hAnsi="仿宋" w:eastAsia="仿宋" w:cs="仿宋"/>
          <w:sz w:val="30"/>
          <w:szCs w:val="30"/>
        </w:rPr>
        <w:t>三、产业化相对滞后仍是农业农村的根本现实</w:t>
      </w:r>
      <w:bookmarkEnd w:id="39"/>
      <w:bookmarkEnd w:id="40"/>
    </w:p>
    <w:p>
      <w:pPr>
        <w:widowControl/>
        <w:spacing w:line="360" w:lineRule="auto"/>
        <w:ind w:firstLine="600" w:firstLineChars="200"/>
        <w:jc w:val="left"/>
        <w:rPr>
          <w:rFonts w:ascii="仿宋" w:hAnsi="仿宋" w:eastAsia="仿宋" w:cs="Times New Roman"/>
          <w:sz w:val="30"/>
          <w:szCs w:val="30"/>
        </w:rPr>
      </w:pPr>
      <w:r>
        <w:rPr>
          <w:rFonts w:hint="eastAsia" w:ascii="仿宋" w:hAnsi="仿宋" w:eastAsia="仿宋" w:cs="仿宋"/>
          <w:sz w:val="30"/>
          <w:szCs w:val="30"/>
          <w:lang w:val="zh-CN"/>
        </w:rPr>
        <w:t>宜春市农业产业主体实力不强，全产业链存在不少断点和难点，“农业大而不强，农产品</w:t>
      </w:r>
      <w:r>
        <w:rPr>
          <w:rFonts w:hint="eastAsia" w:ascii="仿宋" w:hAnsi="仿宋" w:eastAsia="仿宋" w:cs="仿宋"/>
          <w:sz w:val="30"/>
          <w:szCs w:val="30"/>
        </w:rPr>
        <w:t>优而不特、特而不名</w:t>
      </w:r>
      <w:r>
        <w:rPr>
          <w:rFonts w:hint="eastAsia" w:ascii="仿宋" w:hAnsi="仿宋" w:eastAsia="仿宋" w:cs="仿宋"/>
          <w:sz w:val="30"/>
          <w:szCs w:val="30"/>
          <w:lang w:val="zh-CN"/>
        </w:rPr>
        <w:t>”的发展格局没有得到根本转变。</w:t>
      </w:r>
      <w:r>
        <w:rPr>
          <w:rFonts w:hint="eastAsia" w:ascii="仿宋" w:hAnsi="仿宋" w:eastAsia="仿宋" w:cs="仿宋"/>
          <w:sz w:val="30"/>
          <w:szCs w:val="30"/>
        </w:rPr>
        <w:t>进入</w:t>
      </w:r>
      <w:r>
        <w:rPr>
          <w:rFonts w:ascii="仿宋" w:hAnsi="仿宋" w:eastAsia="仿宋" w:cs="仿宋"/>
          <w:sz w:val="30"/>
          <w:szCs w:val="30"/>
        </w:rPr>
        <w:t>2019</w:t>
      </w:r>
      <w:r>
        <w:rPr>
          <w:rFonts w:hint="eastAsia" w:ascii="仿宋" w:hAnsi="仿宋" w:eastAsia="仿宋" w:cs="仿宋"/>
          <w:sz w:val="30"/>
          <w:szCs w:val="30"/>
        </w:rPr>
        <w:t>年中国农产品区域公用品牌榜单的有宜春大米、靖安白茶、宜丰蜂蜜，但多数农产品同质化现象严重，不仅不能满足消费者的需求，而且严重影响了农产品价值链的提升，不利于产业兴旺、农民增收。</w:t>
      </w:r>
    </w:p>
    <w:p>
      <w:pPr>
        <w:pStyle w:val="4"/>
        <w:spacing w:before="0" w:after="0" w:line="360" w:lineRule="auto"/>
        <w:ind w:firstLine="602" w:firstLineChars="200"/>
        <w:rPr>
          <w:rFonts w:ascii="仿宋" w:hAnsi="仿宋" w:eastAsia="仿宋" w:cs="Times New Roman"/>
          <w:sz w:val="30"/>
          <w:szCs w:val="30"/>
        </w:rPr>
      </w:pPr>
      <w:bookmarkStart w:id="41" w:name="_Toc96329873"/>
      <w:bookmarkStart w:id="42" w:name="_Toc11273"/>
      <w:r>
        <w:rPr>
          <w:rFonts w:hint="eastAsia" w:ascii="仿宋" w:hAnsi="仿宋" w:eastAsia="仿宋" w:cs="仿宋"/>
          <w:sz w:val="30"/>
          <w:szCs w:val="30"/>
        </w:rPr>
        <w:t>四、产业帮扶与乡村振兴战略衔接仍是农业农村的发展难点</w:t>
      </w:r>
      <w:bookmarkEnd w:id="41"/>
      <w:bookmarkEnd w:id="42"/>
    </w:p>
    <w:p>
      <w:pPr>
        <w:widowControl/>
        <w:spacing w:line="360" w:lineRule="auto"/>
        <w:ind w:firstLine="600" w:firstLineChars="200"/>
        <w:rPr>
          <w:rFonts w:ascii="仿宋" w:hAnsi="仿宋" w:eastAsia="仿宋" w:cs="Times New Roman"/>
          <w:sz w:val="30"/>
          <w:szCs w:val="30"/>
          <w:lang w:val="zh-CN"/>
        </w:rPr>
      </w:pPr>
      <w:r>
        <w:rPr>
          <w:rFonts w:hint="eastAsia" w:ascii="仿宋" w:hAnsi="仿宋" w:eastAsia="仿宋" w:cs="仿宋"/>
          <w:sz w:val="30"/>
          <w:szCs w:val="30"/>
          <w:lang w:val="zh-CN"/>
        </w:rPr>
        <w:t>不少地方在推进产业</w:t>
      </w:r>
      <w:r>
        <w:rPr>
          <w:rFonts w:hint="eastAsia" w:ascii="仿宋" w:hAnsi="仿宋" w:eastAsia="仿宋" w:cs="仿宋"/>
          <w:sz w:val="30"/>
          <w:szCs w:val="30"/>
        </w:rPr>
        <w:t>帮扶</w:t>
      </w:r>
      <w:r>
        <w:rPr>
          <w:rFonts w:hint="eastAsia" w:ascii="仿宋" w:hAnsi="仿宋" w:eastAsia="仿宋" w:cs="仿宋"/>
          <w:sz w:val="30"/>
          <w:szCs w:val="30"/>
          <w:lang w:val="zh-CN"/>
        </w:rPr>
        <w:t>过程中出现了产业趋同现象，新型农业经营主体的扶贫带动功能有待进一步提高。部分区域由于缺乏资金和技术支撑，基础设施不完善，未能充分带动资金、土地、科技、人才等城乡资源要素进入农村，农村三产融合减贫功能没有充分发挥。产业</w:t>
      </w:r>
      <w:r>
        <w:rPr>
          <w:rFonts w:hint="eastAsia" w:ascii="仿宋" w:hAnsi="仿宋" w:eastAsia="仿宋" w:cs="仿宋"/>
          <w:sz w:val="30"/>
          <w:szCs w:val="30"/>
        </w:rPr>
        <w:t>帮扶</w:t>
      </w:r>
      <w:r>
        <w:rPr>
          <w:rFonts w:hint="eastAsia" w:ascii="仿宋" w:hAnsi="仿宋" w:eastAsia="仿宋" w:cs="仿宋"/>
          <w:sz w:val="30"/>
          <w:szCs w:val="30"/>
          <w:lang w:val="zh-CN"/>
        </w:rPr>
        <w:t>与脱贫户的多种类型利益联结机制存在不稳定等问题。</w:t>
      </w:r>
    </w:p>
    <w:p>
      <w:pPr>
        <w:pStyle w:val="4"/>
        <w:spacing w:before="0" w:after="0" w:line="360" w:lineRule="auto"/>
        <w:ind w:firstLine="602" w:firstLineChars="200"/>
        <w:rPr>
          <w:rFonts w:ascii="仿宋" w:hAnsi="仿宋" w:eastAsia="仿宋" w:cs="Times New Roman"/>
          <w:sz w:val="30"/>
          <w:szCs w:val="30"/>
        </w:rPr>
      </w:pPr>
      <w:bookmarkStart w:id="43" w:name="_Toc96329874"/>
      <w:bookmarkStart w:id="44" w:name="_Toc4406"/>
      <w:r>
        <w:rPr>
          <w:rFonts w:hint="eastAsia" w:ascii="仿宋" w:hAnsi="仿宋" w:eastAsia="仿宋" w:cs="仿宋"/>
          <w:sz w:val="30"/>
          <w:szCs w:val="30"/>
        </w:rPr>
        <w:t>五、资源利用和保护不充分仍是农业农村的发展短板</w:t>
      </w:r>
      <w:bookmarkEnd w:id="43"/>
      <w:bookmarkEnd w:id="44"/>
    </w:p>
    <w:p>
      <w:pPr>
        <w:widowControl/>
        <w:spacing w:line="360" w:lineRule="auto"/>
        <w:ind w:firstLine="600" w:firstLineChars="200"/>
        <w:jc w:val="left"/>
        <w:rPr>
          <w:rFonts w:ascii="仿宋" w:hAnsi="仿宋" w:eastAsia="仿宋" w:cs="Times New Roman"/>
          <w:sz w:val="30"/>
          <w:szCs w:val="30"/>
          <w:lang w:val="zh-CN"/>
        </w:rPr>
      </w:pPr>
      <w:r>
        <w:rPr>
          <w:rFonts w:hint="eastAsia" w:ascii="仿宋" w:hAnsi="仿宋" w:eastAsia="仿宋" w:cs="仿宋"/>
          <w:sz w:val="30"/>
          <w:szCs w:val="30"/>
          <w:lang w:val="zh-CN"/>
        </w:rPr>
        <w:t>宜春作为农业大市，生态资源丰富，走绿色发展之路具有得天独厚的自然条件。但受传统经济发展理念的影响，农业发展主要依靠土地、劳动力、农药化肥等资源的持续投入，是一种典型的资源依赖型经济发展模式。当前，随着耕地资源的紧缺，环境压力的不断增大，人口红利的慢慢消失，这种发展模式越来越难以实现农业的可持续发展。</w:t>
      </w:r>
    </w:p>
    <w:p>
      <w:pPr>
        <w:pStyle w:val="4"/>
        <w:spacing w:before="0" w:after="0" w:line="360" w:lineRule="auto"/>
        <w:ind w:firstLine="602" w:firstLineChars="200"/>
        <w:rPr>
          <w:rFonts w:ascii="仿宋" w:hAnsi="仿宋" w:eastAsia="仿宋" w:cs="Times New Roman"/>
          <w:sz w:val="30"/>
          <w:szCs w:val="30"/>
        </w:rPr>
      </w:pPr>
      <w:bookmarkStart w:id="45" w:name="_Toc24742"/>
      <w:bookmarkStart w:id="46" w:name="_Toc96329875"/>
      <w:r>
        <w:rPr>
          <w:rFonts w:hint="eastAsia" w:ascii="仿宋" w:hAnsi="仿宋" w:eastAsia="仿宋" w:cs="仿宋"/>
          <w:sz w:val="30"/>
          <w:szCs w:val="30"/>
        </w:rPr>
        <w:t>六、新时代“五美”乡村建设仍是农业农村的艰巨任务</w:t>
      </w:r>
      <w:bookmarkEnd w:id="45"/>
      <w:bookmarkEnd w:id="46"/>
    </w:p>
    <w:bookmarkEnd w:id="36"/>
    <w:p>
      <w:pPr>
        <w:widowControl/>
        <w:spacing w:line="360" w:lineRule="auto"/>
        <w:ind w:firstLine="600" w:firstLineChars="200"/>
        <w:jc w:val="left"/>
        <w:rPr>
          <w:rFonts w:cs="Times New Roman"/>
        </w:rPr>
      </w:pPr>
      <w:bookmarkStart w:id="47" w:name="_Toc19169"/>
      <w:bookmarkStart w:id="48" w:name="_Toc57879190"/>
      <w:r>
        <w:rPr>
          <w:rFonts w:hint="eastAsia" w:ascii="仿宋" w:hAnsi="仿宋" w:eastAsia="仿宋" w:cs="仿宋"/>
          <w:sz w:val="30"/>
          <w:szCs w:val="30"/>
        </w:rPr>
        <w:t>新时代“五美”乡村既要促进农业高质高效，也要实现乡村宜居宜业、农民富裕富足。而现在的乡村处于一个变革的阶段，乡村越来越空心化，家庭越来越空巢化，农民越来越老龄化，成为我国推进农业农村现代化建设必须面对和解决的重大课题。乡村治理方法依然较为单一，乡村基础设施建设和县乡村一体化的公共服务体系尚未完善，农村社会事业发展存在“堵点”“盲点”。村民的集体意识存在淡化、弱化的情况，村级集体经济薄弱，农村要素发展活力尚未充分激发。</w:t>
      </w:r>
    </w:p>
    <w:p>
      <w:pPr>
        <w:pStyle w:val="2"/>
        <w:jc w:val="center"/>
        <w:rPr>
          <w:rFonts w:ascii="黑体" w:hAnsi="黑体" w:eastAsia="黑体" w:cs="Times New Roman"/>
          <w:sz w:val="30"/>
          <w:szCs w:val="30"/>
        </w:rPr>
      </w:pPr>
      <w:bookmarkStart w:id="49" w:name="_Toc96329876"/>
      <w:r>
        <w:rPr>
          <w:rFonts w:hint="eastAsia" w:ascii="黑体" w:hAnsi="黑体" w:eastAsia="黑体" w:cs="黑体"/>
          <w:sz w:val="30"/>
          <w:szCs w:val="30"/>
        </w:rPr>
        <w:t>第三节</w:t>
      </w:r>
      <w:r>
        <w:rPr>
          <w:rFonts w:ascii="黑体" w:hAnsi="黑体" w:eastAsia="黑体" w:cs="黑体"/>
          <w:sz w:val="30"/>
          <w:szCs w:val="30"/>
        </w:rPr>
        <w:t xml:space="preserve"> </w:t>
      </w:r>
      <w:bookmarkEnd w:id="47"/>
      <w:bookmarkEnd w:id="48"/>
      <w:r>
        <w:rPr>
          <w:rFonts w:hint="eastAsia" w:ascii="黑体" w:hAnsi="黑体" w:eastAsia="黑体" w:cs="黑体"/>
          <w:sz w:val="30"/>
          <w:szCs w:val="30"/>
        </w:rPr>
        <w:t>发展机遇</w:t>
      </w:r>
      <w:bookmarkEnd w:id="49"/>
    </w:p>
    <w:p>
      <w:pPr>
        <w:ind w:firstLine="600"/>
        <w:rPr>
          <w:rFonts w:cs="Times New Roman"/>
        </w:rPr>
      </w:pPr>
      <w:r>
        <w:rPr>
          <w:rFonts w:ascii="仿宋" w:hAnsi="仿宋" w:eastAsia="仿宋" w:cs="仿宋"/>
          <w:sz w:val="30"/>
          <w:szCs w:val="30"/>
        </w:rPr>
        <w:t xml:space="preserve">  </w:t>
      </w:r>
      <w:r>
        <w:rPr>
          <w:rFonts w:hint="eastAsia" w:ascii="仿宋" w:hAnsi="仿宋" w:eastAsia="仿宋" w:cs="仿宋"/>
          <w:sz w:val="30"/>
          <w:szCs w:val="30"/>
        </w:rPr>
        <w:t>“十四五”时期，恰逢“两个百年目标”交接、精准脱贫与乡村振兴衔接、供给侧结构性改革深化等重要历史节点，我国农业农村现代化面临“五期交汇”。同时，随着长江经济带、粤港澳大湾区、长三角一体化、长株潭城市群、“一带一路”、大南昌都市圈等一系列重大区域发展战略叠加辐射，宜春市农业农村现代化发展恰逢其时。在此背景下，“十四五”时期，宜春市农业农村现代化发展必须认真贯彻落实省委省政府、市委市政府的重要部署，在有力应对各种风险挑战中积极寻求发展机遇。</w:t>
      </w:r>
    </w:p>
    <w:p>
      <w:pPr>
        <w:pStyle w:val="4"/>
        <w:numPr>
          <w:ilvl w:val="0"/>
          <w:numId w:val="1"/>
        </w:numPr>
        <w:spacing w:before="0" w:after="0" w:line="360" w:lineRule="auto"/>
        <w:ind w:firstLine="602" w:firstLineChars="200"/>
        <w:rPr>
          <w:rFonts w:ascii="仿宋" w:hAnsi="仿宋" w:eastAsia="仿宋" w:cs="Times New Roman"/>
          <w:sz w:val="30"/>
          <w:szCs w:val="30"/>
        </w:rPr>
      </w:pPr>
      <w:bookmarkStart w:id="50" w:name="_Toc96329877"/>
      <w:r>
        <w:rPr>
          <w:rFonts w:hint="eastAsia" w:ascii="仿宋" w:hAnsi="仿宋" w:eastAsia="仿宋" w:cs="仿宋"/>
          <w:sz w:val="30"/>
          <w:szCs w:val="30"/>
        </w:rPr>
        <w:t>全域创建富硒绿色有机农产品大市将加速农业生产方式转变</w:t>
      </w:r>
      <w:bookmarkEnd w:id="50"/>
    </w:p>
    <w:p>
      <w:pPr>
        <w:ind w:firstLine="600" w:firstLineChars="200"/>
        <w:rPr>
          <w:rFonts w:cs="Times New Roman"/>
        </w:rPr>
      </w:pPr>
      <w:r>
        <w:rPr>
          <w:rFonts w:hint="eastAsia" w:ascii="仿宋" w:hAnsi="仿宋" w:eastAsia="仿宋" w:cs="仿宋"/>
          <w:sz w:val="30"/>
          <w:szCs w:val="30"/>
        </w:rPr>
        <w:t>随着农业增长与农业资源短缺矛盾日益突出，“十四五”时期，中央“三农”政策导向将更加突出农业“三生功能”，注重绿色、生态、可持续发展导向。“十四五”时期，宜春市将以富硒产业为引领，围绕全域创建富硒绿色有机农产品大市的目标，有效推动农业发展转向集约化生产、产业化经营；坚持以农业高产高效优质发展为导向，充分利用制度变革和技术变革对农业的促进作用，优化要素投入，促进农业生产由增产向提质转变，加速实现农业高质高效发展。</w:t>
      </w:r>
    </w:p>
    <w:p>
      <w:pPr>
        <w:pStyle w:val="4"/>
        <w:spacing w:before="0" w:after="0" w:line="360" w:lineRule="auto"/>
        <w:ind w:firstLine="602" w:firstLineChars="200"/>
        <w:rPr>
          <w:rFonts w:ascii="仿宋" w:hAnsi="仿宋" w:eastAsia="仿宋" w:cs="Times New Roman"/>
          <w:sz w:val="30"/>
          <w:szCs w:val="30"/>
        </w:rPr>
      </w:pPr>
      <w:bookmarkStart w:id="51" w:name="_Toc15096"/>
      <w:bookmarkStart w:id="52" w:name="_Toc96329878"/>
      <w:bookmarkStart w:id="53" w:name="_Toc29389"/>
      <w:r>
        <w:rPr>
          <w:rFonts w:hint="eastAsia" w:ascii="仿宋" w:hAnsi="仿宋" w:eastAsia="仿宋" w:cs="仿宋"/>
          <w:sz w:val="30"/>
          <w:szCs w:val="30"/>
        </w:rPr>
        <w:t>二、绿色食品（富硒）产业链链长制将深入推进三产融合发展</w:t>
      </w:r>
      <w:bookmarkEnd w:id="51"/>
      <w:bookmarkEnd w:id="52"/>
      <w:bookmarkEnd w:id="53"/>
    </w:p>
    <w:p>
      <w:pPr>
        <w:ind w:firstLine="600" w:firstLineChars="200"/>
        <w:rPr>
          <w:rFonts w:ascii="仿宋" w:hAnsi="仿宋" w:eastAsia="仿宋" w:cs="Times New Roman"/>
          <w:sz w:val="30"/>
          <w:szCs w:val="30"/>
        </w:rPr>
      </w:pPr>
      <w:r>
        <w:rPr>
          <w:rFonts w:hint="eastAsia" w:ascii="仿宋" w:hAnsi="仿宋" w:eastAsia="仿宋" w:cs="仿宋"/>
          <w:sz w:val="30"/>
          <w:szCs w:val="30"/>
        </w:rPr>
        <w:t>农业农村现代化的实现不仅包括农业现代化还包括农村现代化。“十四五”时期，宜春市将通过实施全市绿色食品（富硒）产业链链长制，进一步延伸产业链、提升价值链、融通供应链，深入推进农村一二三产业融合发展；通过优化全市绿色食品（富硒）产业结构布局，提升关键核心技术和装备水平，形成一批具有较强竞争力的知名品牌，有效带动农民增收；通过加快推进富硒绿色有机农业与旅游、养老等休闲产业的深度融合，以三产融合为契机推进城乡一体化发展，最终实现共同富裕。</w:t>
      </w:r>
    </w:p>
    <w:p>
      <w:pPr>
        <w:pStyle w:val="4"/>
        <w:spacing w:before="0" w:after="0" w:line="360" w:lineRule="auto"/>
        <w:ind w:firstLine="602" w:firstLineChars="200"/>
        <w:rPr>
          <w:rFonts w:ascii="仿宋" w:hAnsi="仿宋" w:eastAsia="仿宋" w:cs="Times New Roman"/>
          <w:sz w:val="30"/>
          <w:szCs w:val="30"/>
        </w:rPr>
      </w:pPr>
      <w:bookmarkStart w:id="54" w:name="_Toc29069"/>
      <w:bookmarkStart w:id="55" w:name="_Toc32686"/>
      <w:bookmarkStart w:id="56" w:name="_Toc96329879"/>
      <w:r>
        <w:rPr>
          <w:rFonts w:hint="eastAsia" w:ascii="仿宋" w:hAnsi="仿宋" w:eastAsia="仿宋" w:cs="仿宋"/>
          <w:sz w:val="30"/>
          <w:szCs w:val="30"/>
        </w:rPr>
        <w:t>三、城乡融合发展将呈现新格局</w:t>
      </w:r>
      <w:bookmarkEnd w:id="54"/>
      <w:bookmarkEnd w:id="55"/>
      <w:bookmarkEnd w:id="56"/>
    </w:p>
    <w:p>
      <w:pPr>
        <w:ind w:firstLine="600" w:firstLineChars="200"/>
        <w:rPr>
          <w:rFonts w:cs="Times New Roman"/>
        </w:rPr>
      </w:pPr>
      <w:r>
        <w:rPr>
          <w:rFonts w:hint="eastAsia" w:ascii="仿宋" w:hAnsi="仿宋" w:eastAsia="仿宋" w:cs="仿宋"/>
          <w:sz w:val="30"/>
          <w:szCs w:val="30"/>
        </w:rPr>
        <w:t>乡村振兴战略突出城乡融合发展导向。</w:t>
      </w:r>
      <w:r>
        <w:rPr>
          <w:rFonts w:ascii="仿宋" w:hAnsi="仿宋" w:eastAsia="仿宋" w:cs="仿宋"/>
          <w:sz w:val="30"/>
          <w:szCs w:val="30"/>
        </w:rPr>
        <w:t>2021</w:t>
      </w:r>
      <w:r>
        <w:rPr>
          <w:rFonts w:hint="eastAsia" w:ascii="仿宋" w:hAnsi="仿宋" w:eastAsia="仿宋" w:cs="仿宋"/>
          <w:sz w:val="30"/>
          <w:szCs w:val="30"/>
        </w:rPr>
        <w:t>年中央一号文件提出大力实施乡村建设行动，加快县域内城乡融合发展。《中共中央关于制定国民经济和社会发展第十四个五年规划和二〇三五年远景目标的建议》提出“优先发展农业农村，全面推进乡村振兴”“推进区域协调发展和新型城镇化”，强调“十四五”时期要全面实施乡村振兴战略，强化以工补农、以城带乡，推动形成工农互促、城乡互补、协调发展、共同繁荣的新型工农城乡关系，持续深入实施基本公共服务均等化行动，加快完善城乡公共资源均衡配置体制，加快推动社会保障并轨提标、社会事业扩面提质和基础设施互联互通</w:t>
      </w:r>
      <w:r>
        <w:rPr>
          <w:rFonts w:ascii="仿宋" w:hAnsi="仿宋" w:eastAsia="仿宋" w:cs="仿宋"/>
          <w:sz w:val="30"/>
          <w:szCs w:val="30"/>
        </w:rPr>
        <w:t>;</w:t>
      </w:r>
      <w:r>
        <w:rPr>
          <w:rFonts w:hint="eastAsia" w:ascii="仿宋" w:hAnsi="仿宋" w:eastAsia="仿宋" w:cs="仿宋"/>
          <w:sz w:val="30"/>
          <w:szCs w:val="30"/>
        </w:rPr>
        <w:t>加快构建城乡生产要素平等交换体制，加快健全农业转移人口市民化体制。</w:t>
      </w:r>
    </w:p>
    <w:p>
      <w:pPr>
        <w:pStyle w:val="4"/>
        <w:spacing w:before="0" w:after="0" w:line="360" w:lineRule="auto"/>
        <w:ind w:firstLine="602" w:firstLineChars="200"/>
        <w:rPr>
          <w:rFonts w:ascii="仿宋" w:hAnsi="仿宋" w:eastAsia="仿宋" w:cs="Times New Roman"/>
          <w:sz w:val="30"/>
          <w:szCs w:val="30"/>
        </w:rPr>
      </w:pPr>
      <w:bookmarkStart w:id="57" w:name="_Toc29671"/>
      <w:bookmarkStart w:id="58" w:name="_Toc23833"/>
      <w:bookmarkStart w:id="59" w:name="_Toc96329880"/>
      <w:r>
        <w:rPr>
          <w:rFonts w:hint="eastAsia" w:ascii="仿宋" w:hAnsi="仿宋" w:eastAsia="仿宋" w:cs="仿宋"/>
          <w:sz w:val="30"/>
          <w:szCs w:val="30"/>
        </w:rPr>
        <w:t>四、农业的多种功能和乡村的多元价值将加速彰显</w:t>
      </w:r>
      <w:bookmarkEnd w:id="57"/>
      <w:bookmarkEnd w:id="58"/>
      <w:bookmarkEnd w:id="59"/>
    </w:p>
    <w:p>
      <w:pPr>
        <w:ind w:firstLine="600" w:firstLineChars="200"/>
        <w:rPr>
          <w:rFonts w:ascii="仿宋" w:hAnsi="仿宋" w:eastAsia="仿宋" w:cs="Times New Roman"/>
          <w:sz w:val="30"/>
          <w:szCs w:val="30"/>
        </w:rPr>
      </w:pPr>
      <w:r>
        <w:rPr>
          <w:rFonts w:ascii="仿宋" w:hAnsi="仿宋" w:eastAsia="仿宋" w:cs="仿宋"/>
          <w:sz w:val="30"/>
          <w:szCs w:val="30"/>
        </w:rPr>
        <w:t>?</w:t>
      </w:r>
      <w:r>
        <w:rPr>
          <w:rFonts w:hint="eastAsia" w:ascii="仿宋" w:hAnsi="仿宋" w:eastAsia="仿宋" w:cs="仿宋"/>
          <w:sz w:val="30"/>
          <w:szCs w:val="30"/>
        </w:rPr>
        <w:t>°十四五</w:t>
      </w:r>
      <w:r>
        <w:rPr>
          <w:rFonts w:ascii="仿宋" w:hAnsi="仿宋" w:eastAsia="仿宋" w:cs="仿宋"/>
          <w:sz w:val="30"/>
          <w:szCs w:val="30"/>
        </w:rPr>
        <w:t>?</w:t>
      </w:r>
      <w:r>
        <w:rPr>
          <w:rFonts w:hint="eastAsia" w:ascii="仿宋" w:hAnsi="仿宋" w:eastAsia="仿宋" w:cs="仿宋"/>
          <w:sz w:val="30"/>
          <w:szCs w:val="30"/>
        </w:rPr>
        <w:t>±时期，随着新型工农城乡关系的构建，以及人民对美好生活需要的日益增长，信息网络、数字技术、物流体系等支撑手段的日益完善，农业的多种功能与乡村的生态、居住、文化等多元价值将不断得到发掘和彰显，休闲农业、创意农业、共享经济、特色文化、养老养生等新产业新业态新商业模式快速发展。休闲观光园区、森林人家、康养基地、特色小镇、田园综合体等新的载体不断涌现，乡村经济将呈现多元化、精细化、高端化、融合化的趋势。</w:t>
      </w:r>
    </w:p>
    <w:p>
      <w:pPr>
        <w:pStyle w:val="4"/>
        <w:spacing w:before="0" w:after="0" w:line="360" w:lineRule="auto"/>
        <w:ind w:firstLine="602" w:firstLineChars="200"/>
        <w:rPr>
          <w:rFonts w:ascii="仿宋" w:hAnsi="仿宋" w:eastAsia="仿宋" w:cs="Times New Roman"/>
          <w:sz w:val="30"/>
          <w:szCs w:val="30"/>
        </w:rPr>
      </w:pPr>
      <w:bookmarkStart w:id="60" w:name="_Toc3425"/>
      <w:bookmarkStart w:id="61" w:name="_Toc8505"/>
      <w:bookmarkStart w:id="62" w:name="_Toc96329881"/>
      <w:r>
        <w:rPr>
          <w:rFonts w:hint="eastAsia" w:ascii="仿宋" w:hAnsi="仿宋" w:eastAsia="仿宋" w:cs="仿宋"/>
          <w:sz w:val="30"/>
          <w:szCs w:val="30"/>
        </w:rPr>
        <w:t>五、农村改革将进入全面深化期</w:t>
      </w:r>
      <w:bookmarkEnd w:id="60"/>
      <w:bookmarkEnd w:id="61"/>
      <w:bookmarkEnd w:id="62"/>
    </w:p>
    <w:p>
      <w:pPr>
        <w:ind w:firstLine="600" w:firstLineChars="200"/>
        <w:rPr>
          <w:rFonts w:ascii="仿宋" w:hAnsi="仿宋" w:eastAsia="仿宋" w:cs="Times New Roman"/>
          <w:sz w:val="30"/>
          <w:szCs w:val="30"/>
        </w:rPr>
      </w:pPr>
      <w:r>
        <w:rPr>
          <w:rFonts w:ascii="仿宋" w:hAnsi="仿宋" w:eastAsia="仿宋" w:cs="仿宋"/>
          <w:sz w:val="30"/>
          <w:szCs w:val="30"/>
        </w:rPr>
        <w:t>?</w:t>
      </w:r>
      <w:r>
        <w:rPr>
          <w:rFonts w:hint="eastAsia" w:ascii="仿宋" w:hAnsi="仿宋" w:eastAsia="仿宋" w:cs="仿宋"/>
          <w:sz w:val="30"/>
          <w:szCs w:val="30"/>
        </w:rPr>
        <w:t>°十四五”时期，新的体制机制逐步建立，资金、科技、人才、信息等要素加快向农村配置，农村改革全面深化。土地制度改革深入，耕地流转加快，为发展适度规模经营优化条件；探索宅基地“三权分置”，将为扩大乡村产业用地供给创造条件；集体产权制度改革加速，将为发展壮大农村集体经济提供制度保障；农村金融体制改革深化，将为开展两权抵押、发展农业保险提供支持。</w:t>
      </w:r>
    </w:p>
    <w:p>
      <w:pPr>
        <w:pStyle w:val="4"/>
        <w:spacing w:before="0" w:after="0" w:line="360" w:lineRule="auto"/>
        <w:ind w:firstLine="602" w:firstLineChars="200"/>
        <w:rPr>
          <w:rFonts w:ascii="仿宋" w:hAnsi="仿宋" w:eastAsia="仿宋" w:cs="Times New Roman"/>
          <w:sz w:val="30"/>
          <w:szCs w:val="30"/>
        </w:rPr>
      </w:pPr>
      <w:bookmarkStart w:id="63" w:name="_Toc96329882"/>
      <w:bookmarkStart w:id="64" w:name="_Toc18445"/>
      <w:bookmarkStart w:id="65" w:name="_Toc25826"/>
      <w:r>
        <w:rPr>
          <w:rFonts w:hint="eastAsia" w:ascii="仿宋" w:hAnsi="仿宋" w:eastAsia="仿宋" w:cs="仿宋"/>
          <w:sz w:val="30"/>
          <w:szCs w:val="30"/>
        </w:rPr>
        <w:t>六、脱贫攻坚成果将进一步巩固拓展</w:t>
      </w:r>
      <w:bookmarkEnd w:id="63"/>
      <w:bookmarkEnd w:id="64"/>
      <w:bookmarkEnd w:id="65"/>
    </w:p>
    <w:p>
      <w:pPr>
        <w:ind w:firstLine="600" w:firstLineChars="200"/>
        <w:rPr>
          <w:rFonts w:cs="Times New Roman"/>
        </w:rPr>
      </w:pPr>
      <w:r>
        <w:rPr>
          <w:rFonts w:hint="eastAsia" w:ascii="仿宋" w:hAnsi="仿宋" w:eastAsia="仿宋" w:cs="仿宋"/>
          <w:sz w:val="30"/>
          <w:szCs w:val="30"/>
        </w:rPr>
        <w:t>当前，我国脱贫攻坚战已取得决定性胜利，消除绝对贫困的目标已实现，但农村相对贫困仍将长期存在。</w:t>
      </w:r>
      <w:r>
        <w:rPr>
          <w:rFonts w:ascii="仿宋" w:hAnsi="仿宋" w:eastAsia="仿宋" w:cs="仿宋"/>
          <w:sz w:val="30"/>
          <w:szCs w:val="30"/>
        </w:rPr>
        <w:t>?</w:t>
      </w:r>
      <w:r>
        <w:rPr>
          <w:rFonts w:hint="eastAsia" w:ascii="仿宋" w:hAnsi="仿宋" w:eastAsia="仿宋" w:cs="仿宋"/>
          <w:sz w:val="30"/>
          <w:szCs w:val="30"/>
        </w:rPr>
        <w:t>°十四五</w:t>
      </w:r>
      <w:r>
        <w:rPr>
          <w:rFonts w:ascii="仿宋" w:hAnsi="仿宋" w:eastAsia="仿宋" w:cs="仿宋"/>
          <w:sz w:val="30"/>
          <w:szCs w:val="30"/>
        </w:rPr>
        <w:t>?</w:t>
      </w:r>
      <w:r>
        <w:rPr>
          <w:rFonts w:hint="eastAsia" w:ascii="仿宋" w:hAnsi="仿宋" w:eastAsia="仿宋" w:cs="仿宋"/>
          <w:sz w:val="30"/>
          <w:szCs w:val="30"/>
        </w:rPr>
        <w:t>±时期，我国的减贫战略将从全面建成小康社会阶段的消除绝对贫困，转向现代化建设新征程中的缓解相对贫困；农村的减贫战略和政策体系，也将进行相应调整，将转向巩固拓展脱贫攻坚成果轨道上来。</w:t>
      </w:r>
    </w:p>
    <w:p>
      <w:pPr>
        <w:pStyle w:val="3"/>
        <w:keepNext w:val="0"/>
        <w:keepLines w:val="0"/>
        <w:pageBreakBefore/>
        <w:jc w:val="center"/>
        <w:rPr>
          <w:rFonts w:ascii="黑体" w:hAnsi="黑体" w:eastAsia="黑体" w:cs="Times New Roman"/>
          <w:sz w:val="30"/>
          <w:szCs w:val="30"/>
        </w:rPr>
      </w:pPr>
      <w:bookmarkStart w:id="66" w:name="_Toc9061"/>
      <w:bookmarkStart w:id="67" w:name="_Toc57879196"/>
      <w:bookmarkStart w:id="68" w:name="_Toc96329883"/>
      <w:r>
        <w:rPr>
          <w:rFonts w:hint="eastAsia" w:ascii="黑体" w:hAnsi="黑体" w:eastAsia="黑体" w:cs="黑体"/>
          <w:sz w:val="30"/>
          <w:szCs w:val="30"/>
        </w:rPr>
        <w:t>第二章</w:t>
      </w:r>
      <w:r>
        <w:rPr>
          <w:rFonts w:ascii="黑体" w:hAnsi="黑体" w:eastAsia="黑体" w:cs="黑体"/>
          <w:sz w:val="30"/>
          <w:szCs w:val="30"/>
        </w:rPr>
        <w:t xml:space="preserve"> </w:t>
      </w:r>
      <w:bookmarkEnd w:id="66"/>
      <w:bookmarkEnd w:id="67"/>
      <w:r>
        <w:rPr>
          <w:rFonts w:hint="eastAsia" w:ascii="黑体" w:hAnsi="黑体" w:eastAsia="黑体" w:cs="黑体"/>
          <w:kern w:val="2"/>
          <w:sz w:val="30"/>
          <w:szCs w:val="30"/>
        </w:rPr>
        <w:t>奋力开启现代化农业强市新征程</w:t>
      </w:r>
      <w:bookmarkEnd w:id="68"/>
    </w:p>
    <w:p>
      <w:pPr>
        <w:pStyle w:val="2"/>
        <w:jc w:val="center"/>
        <w:rPr>
          <w:rFonts w:ascii="黑体" w:hAnsi="黑体" w:eastAsia="黑体" w:cs="Times New Roman"/>
          <w:sz w:val="30"/>
          <w:szCs w:val="30"/>
        </w:rPr>
      </w:pPr>
      <w:bookmarkStart w:id="69" w:name="_Toc57879197"/>
      <w:bookmarkStart w:id="70" w:name="_Toc96329884"/>
      <w:bookmarkStart w:id="71" w:name="_Toc19795"/>
      <w:r>
        <w:rPr>
          <w:rFonts w:hint="eastAsia" w:ascii="黑体" w:hAnsi="黑体" w:eastAsia="黑体" w:cs="黑体"/>
          <w:sz w:val="30"/>
          <w:szCs w:val="30"/>
        </w:rPr>
        <w:t>第一节</w:t>
      </w:r>
      <w:r>
        <w:rPr>
          <w:rFonts w:ascii="黑体" w:hAnsi="黑体" w:eastAsia="黑体" w:cs="黑体"/>
          <w:sz w:val="30"/>
          <w:szCs w:val="30"/>
        </w:rPr>
        <w:t xml:space="preserve"> </w:t>
      </w:r>
      <w:r>
        <w:rPr>
          <w:rFonts w:hint="eastAsia" w:ascii="黑体" w:hAnsi="黑体" w:eastAsia="黑体" w:cs="黑体"/>
          <w:sz w:val="30"/>
          <w:szCs w:val="30"/>
        </w:rPr>
        <w:t>指导思想</w:t>
      </w:r>
      <w:bookmarkEnd w:id="69"/>
      <w:bookmarkEnd w:id="70"/>
      <w:bookmarkEnd w:id="71"/>
    </w:p>
    <w:p>
      <w:pPr>
        <w:ind w:firstLine="600" w:firstLineChars="200"/>
        <w:rPr>
          <w:rFonts w:ascii="仿宋" w:hAnsi="仿宋" w:eastAsia="仿宋" w:cs="Times New Roman"/>
          <w:sz w:val="30"/>
          <w:szCs w:val="30"/>
        </w:rPr>
      </w:pPr>
      <w:bookmarkStart w:id="72" w:name="_Toc22877"/>
      <w:bookmarkStart w:id="73" w:name="_Toc57879198"/>
      <w:r>
        <w:rPr>
          <w:rFonts w:hint="eastAsia" w:ascii="仿宋" w:hAnsi="仿宋" w:eastAsia="仿宋" w:cs="仿宋"/>
          <w:sz w:val="30"/>
          <w:szCs w:val="30"/>
        </w:rPr>
        <w:t>全面贯彻党的十九大和十九届历次全会精神，深入学习贯彻习近平新时代中国特色社会主义思想、关于“三农”工作重要论述和系列重要讲话精神，尤其是习近平总书记视察江西时的重要讲话精神，聚焦“作示范、勇争先”目标定位和“五个推进”重要要求，深入贯彻落实中共江西省委“二十四字”工作思路，充分发挥全面从严治党引领保障作用，坚持新发展理念，坚决落实农业农村优先发展总方针，紧扣“打造新时代乡村振兴样板之地”的总要求，立足“十四五”发展的阶段性任务，以实施乡村振兴战略为总抓手，以推动农业农村高质量发展为主题，以建立健全城乡融合发展体制机制和政策体系为保障，以推进乡村治理体系和治理能力现代化为支撑，持续深化农业供给侧结构性改革，大力发展以“高标准、高品质、高技术、强品牌”富硒绿色有机为特色的现代农业产业体系，统筹推进稳增长、促改革、调结构、惠民生、优生态、补短板等各项工作，加快推进农村经济建设、政治建设、文化建设、社会建设、生态文明建设，奋力推进宜春市由传统农业大市向现代化农业强市转变。</w:t>
      </w:r>
    </w:p>
    <w:p>
      <w:pPr>
        <w:pStyle w:val="2"/>
        <w:jc w:val="center"/>
        <w:rPr>
          <w:rFonts w:ascii="黑体" w:hAnsi="黑体" w:eastAsia="黑体" w:cs="Times New Roman"/>
          <w:sz w:val="30"/>
          <w:szCs w:val="30"/>
        </w:rPr>
      </w:pPr>
      <w:bookmarkStart w:id="74" w:name="_Toc96329885"/>
      <w:r>
        <w:rPr>
          <w:rFonts w:hint="eastAsia" w:ascii="黑体" w:hAnsi="黑体" w:eastAsia="黑体" w:cs="黑体"/>
          <w:sz w:val="30"/>
          <w:szCs w:val="30"/>
        </w:rPr>
        <w:t>第二节</w:t>
      </w:r>
      <w:r>
        <w:rPr>
          <w:rFonts w:ascii="黑体" w:hAnsi="黑体" w:eastAsia="黑体" w:cs="黑体"/>
          <w:sz w:val="30"/>
          <w:szCs w:val="30"/>
        </w:rPr>
        <w:t xml:space="preserve"> </w:t>
      </w:r>
      <w:r>
        <w:rPr>
          <w:rFonts w:hint="eastAsia" w:ascii="黑体" w:hAnsi="黑体" w:eastAsia="黑体" w:cs="黑体"/>
          <w:sz w:val="30"/>
          <w:szCs w:val="30"/>
        </w:rPr>
        <w:t>基本原则</w:t>
      </w:r>
      <w:bookmarkEnd w:id="72"/>
      <w:bookmarkEnd w:id="73"/>
      <w:bookmarkEnd w:id="74"/>
    </w:p>
    <w:p>
      <w:pPr>
        <w:spacing w:line="360" w:lineRule="auto"/>
        <w:ind w:firstLine="600" w:firstLineChars="200"/>
        <w:rPr>
          <w:rFonts w:cs="Times New Roman"/>
        </w:rPr>
      </w:pPr>
      <w:bookmarkStart w:id="75" w:name="_Toc7854"/>
      <w:bookmarkStart w:id="76" w:name="_Toc57879199"/>
      <w:r>
        <w:rPr>
          <w:rFonts w:ascii="仿宋" w:hAnsi="仿宋" w:eastAsia="仿宋" w:cs="仿宋"/>
          <w:sz w:val="30"/>
          <w:szCs w:val="30"/>
        </w:rPr>
        <w:t>——</w:t>
      </w:r>
      <w:r>
        <w:rPr>
          <w:rFonts w:hint="eastAsia" w:ascii="仿宋" w:hAnsi="仿宋" w:eastAsia="仿宋" w:cs="仿宋"/>
          <w:sz w:val="30"/>
          <w:szCs w:val="30"/>
        </w:rPr>
        <w:t>坚持党管农业农村工作。提高政治站位，全面从严治党，不断提高党组织政治判断力、政治领悟力、政治执行力，引导全市党员干部更加自觉地从政治上观察分析形势、谋划推进“十四五”各项工作。加强党对“三农”工作的全面领导，全面落实五级书记抓农业农村工作的领导责任。建立完善的全市各级农村工作领导体制和工作机制、领导责任制和党政领导班子、领导干部推进农业农村工作的实绩考核制度和</w:t>
      </w:r>
      <w:r>
        <w:rPr>
          <w:rFonts w:hint="eastAsia" w:ascii="仿宋" w:hAnsi="仿宋" w:eastAsia="仿宋" w:cs="仿宋"/>
          <w:kern w:val="0"/>
          <w:sz w:val="30"/>
          <w:szCs w:val="30"/>
        </w:rPr>
        <w:t>常态化具体化政治监督检查机制</w:t>
      </w:r>
      <w:r>
        <w:rPr>
          <w:rFonts w:hint="eastAsia" w:ascii="仿宋" w:hAnsi="仿宋" w:eastAsia="仿宋" w:cs="仿宋"/>
          <w:sz w:val="30"/>
          <w:szCs w:val="30"/>
        </w:rPr>
        <w:t>，为“十四五”农业农村发展提供坚强的政治保障。</w:t>
      </w:r>
    </w:p>
    <w:p>
      <w:pPr>
        <w:spacing w:line="360" w:lineRule="auto"/>
        <w:ind w:firstLine="600" w:firstLineChars="200"/>
        <w:rPr>
          <w:rFonts w:ascii="仿宋" w:hAnsi="仿宋" w:eastAsia="仿宋" w:cs="Times New Roman"/>
          <w:sz w:val="30"/>
          <w:szCs w:val="30"/>
        </w:rPr>
      </w:pPr>
      <w:r>
        <w:rPr>
          <w:rFonts w:ascii="仿宋" w:hAnsi="仿宋" w:eastAsia="仿宋" w:cs="仿宋"/>
          <w:sz w:val="30"/>
          <w:szCs w:val="30"/>
        </w:rPr>
        <w:t>——</w:t>
      </w:r>
      <w:r>
        <w:rPr>
          <w:rFonts w:hint="eastAsia" w:ascii="仿宋" w:hAnsi="仿宋" w:eastAsia="仿宋" w:cs="仿宋"/>
          <w:sz w:val="30"/>
          <w:szCs w:val="30"/>
        </w:rPr>
        <w:t>坚持农业农村优先发展。坚持“三农”工作重中之重的战略定位，各级各部门要切实把农业农村优先发展的要求落到实处，凝聚起推进“三农”工作的强大合力，形成共同意志、共同行动，做到“四个优先”：在干部配备上优先考虑，在要素配置上优先满足，在资金投入上优先保障，在公共服务上优先安排。</w:t>
      </w:r>
    </w:p>
    <w:p>
      <w:pPr>
        <w:spacing w:line="360" w:lineRule="auto"/>
        <w:ind w:firstLine="600" w:firstLineChars="200"/>
        <w:rPr>
          <w:rFonts w:ascii="仿宋" w:hAnsi="仿宋" w:eastAsia="仿宋" w:cs="Times New Roman"/>
          <w:sz w:val="30"/>
          <w:szCs w:val="30"/>
        </w:rPr>
      </w:pPr>
      <w:r>
        <w:rPr>
          <w:rFonts w:ascii="仿宋" w:hAnsi="仿宋" w:eastAsia="仿宋" w:cs="仿宋"/>
          <w:sz w:val="30"/>
          <w:szCs w:val="30"/>
        </w:rPr>
        <w:t>——</w:t>
      </w:r>
      <w:r>
        <w:rPr>
          <w:rFonts w:hint="eastAsia" w:ascii="仿宋" w:hAnsi="仿宋" w:eastAsia="仿宋" w:cs="仿宋"/>
          <w:sz w:val="30"/>
          <w:szCs w:val="30"/>
        </w:rPr>
        <w:t>坚持农民主体地位。坚持为了农民、依靠农民，充分尊重农民的意愿、维护农民的利益，充分激发广大农民群众积极性、主动性、创造力，确保农民群众发挥主体作用并成为农业农村发展的真正受益者。</w:t>
      </w:r>
    </w:p>
    <w:p>
      <w:pPr>
        <w:spacing w:line="360" w:lineRule="auto"/>
        <w:ind w:firstLine="600" w:firstLineChars="200"/>
        <w:rPr>
          <w:rFonts w:ascii="仿宋" w:hAnsi="仿宋" w:eastAsia="仿宋" w:cs="Times New Roman"/>
          <w:sz w:val="30"/>
          <w:szCs w:val="30"/>
        </w:rPr>
      </w:pPr>
      <w:r>
        <w:rPr>
          <w:rFonts w:ascii="仿宋" w:hAnsi="仿宋" w:eastAsia="仿宋" w:cs="仿宋"/>
          <w:sz w:val="30"/>
          <w:szCs w:val="30"/>
        </w:rPr>
        <w:t>——</w:t>
      </w:r>
      <w:r>
        <w:rPr>
          <w:rFonts w:hint="eastAsia" w:ascii="仿宋" w:hAnsi="仿宋" w:eastAsia="仿宋" w:cs="仿宋"/>
          <w:sz w:val="30"/>
          <w:szCs w:val="30"/>
        </w:rPr>
        <w:t>坚持深度融合发展。依托富硒资源优势，构建以富硒产业为引领，推动一二三产业融合发展，创建全域富硒绿色有机农产品大市，把富硒产业打造成生态产业、朝阳产业和富民产业。持续推动城乡融合发展，坚决破除体制机制弊端，充分发挥政策引领导向作用，打通城乡要素自由流动渠道，形成工农互促、城乡互补、全面融合、共同繁荣的发展新格局。</w:t>
      </w:r>
    </w:p>
    <w:p>
      <w:pPr>
        <w:spacing w:line="360" w:lineRule="auto"/>
        <w:ind w:firstLine="600" w:firstLineChars="200"/>
        <w:rPr>
          <w:rFonts w:cs="Times New Roman"/>
        </w:rPr>
      </w:pPr>
      <w:r>
        <w:rPr>
          <w:rFonts w:ascii="仿宋" w:hAnsi="仿宋" w:eastAsia="仿宋" w:cs="仿宋"/>
          <w:sz w:val="30"/>
          <w:szCs w:val="30"/>
        </w:rPr>
        <w:t>——</w:t>
      </w:r>
      <w:r>
        <w:rPr>
          <w:rFonts w:hint="eastAsia" w:ascii="仿宋" w:hAnsi="仿宋" w:eastAsia="仿宋" w:cs="仿宋"/>
          <w:sz w:val="30"/>
          <w:szCs w:val="30"/>
        </w:rPr>
        <w:t>坚持“项目为王”。坚持扭住关键重点，破解发展难题，找准制约高质量跨越式发展的突出问题和短板弱项，注重合力攻关。强化领导职责和实施主体责任，以</w:t>
      </w:r>
      <w:r>
        <w:rPr>
          <w:rFonts w:ascii="仿宋" w:hAnsi="仿宋" w:eastAsia="仿宋" w:cs="仿宋"/>
          <w:sz w:val="30"/>
          <w:szCs w:val="30"/>
        </w:rPr>
        <w:t>?</w:t>
      </w:r>
      <w:r>
        <w:rPr>
          <w:rFonts w:hint="eastAsia" w:ascii="仿宋" w:hAnsi="仿宋" w:eastAsia="仿宋" w:cs="仿宋"/>
          <w:sz w:val="30"/>
          <w:szCs w:val="30"/>
        </w:rPr>
        <w:t>°事事马上办、人人钉钉子、个个敢担当</w:t>
      </w:r>
      <w:r>
        <w:rPr>
          <w:rFonts w:ascii="仿宋" w:hAnsi="仿宋" w:eastAsia="仿宋" w:cs="仿宋"/>
          <w:sz w:val="30"/>
          <w:szCs w:val="30"/>
        </w:rPr>
        <w:t>?</w:t>
      </w:r>
      <w:r>
        <w:rPr>
          <w:rFonts w:hint="eastAsia" w:ascii="仿宋" w:hAnsi="仿宋" w:eastAsia="仿宋" w:cs="仿宋"/>
          <w:sz w:val="30"/>
          <w:szCs w:val="30"/>
        </w:rPr>
        <w:t>±的精神推动难题破解，确保每项工作全面落实到位，并构建清晰可追溯的责任体系，形成解决问题的常态化、长效化机制。</w:t>
      </w:r>
    </w:p>
    <w:p>
      <w:pPr>
        <w:pStyle w:val="2"/>
        <w:jc w:val="center"/>
        <w:rPr>
          <w:rFonts w:ascii="黑体" w:hAnsi="黑体" w:eastAsia="黑体" w:cs="Times New Roman"/>
          <w:sz w:val="30"/>
          <w:szCs w:val="30"/>
        </w:rPr>
      </w:pPr>
      <w:bookmarkStart w:id="77" w:name="_Toc96329886"/>
      <w:r>
        <w:rPr>
          <w:rFonts w:hint="eastAsia" w:ascii="黑体" w:hAnsi="黑体" w:eastAsia="黑体" w:cs="黑体"/>
          <w:sz w:val="30"/>
          <w:szCs w:val="30"/>
        </w:rPr>
        <w:t>第三节</w:t>
      </w:r>
      <w:r>
        <w:rPr>
          <w:rFonts w:ascii="黑体" w:hAnsi="黑体" w:eastAsia="黑体" w:cs="黑体"/>
          <w:sz w:val="30"/>
          <w:szCs w:val="30"/>
        </w:rPr>
        <w:t xml:space="preserve"> </w:t>
      </w:r>
      <w:r>
        <w:rPr>
          <w:rFonts w:hint="eastAsia" w:ascii="黑体" w:hAnsi="黑体" w:eastAsia="黑体" w:cs="黑体"/>
          <w:sz w:val="30"/>
          <w:szCs w:val="30"/>
        </w:rPr>
        <w:t>发展目标</w:t>
      </w:r>
      <w:bookmarkEnd w:id="75"/>
      <w:bookmarkEnd w:id="76"/>
      <w:bookmarkEnd w:id="77"/>
    </w:p>
    <w:p>
      <w:pPr>
        <w:spacing w:line="360" w:lineRule="auto"/>
        <w:ind w:firstLine="600" w:firstLineChars="200"/>
        <w:rPr>
          <w:rFonts w:ascii="仿宋" w:hAnsi="仿宋" w:eastAsia="仿宋" w:cs="Times New Roman"/>
          <w:sz w:val="30"/>
          <w:szCs w:val="30"/>
          <w:lang w:val="zh-CN"/>
        </w:rPr>
      </w:pPr>
      <w:r>
        <w:rPr>
          <w:rFonts w:hint="eastAsia" w:ascii="仿宋" w:hAnsi="仿宋" w:eastAsia="仿宋" w:cs="仿宋"/>
          <w:sz w:val="30"/>
          <w:szCs w:val="30"/>
        </w:rPr>
        <w:t>围绕农业农村现代化这个总目标，坚持</w:t>
      </w:r>
      <w:r>
        <w:rPr>
          <w:rFonts w:hint="eastAsia" w:ascii="仿宋" w:hAnsi="仿宋" w:eastAsia="仿宋" w:cs="仿宋"/>
          <w:sz w:val="30"/>
          <w:szCs w:val="30"/>
          <w:lang w:val="zh-CN"/>
        </w:rPr>
        <w:t>目标导向和问题导向相结合，坚持守正和创新相统一，坚持“常规农业超常规、特色农业创特色、产业经营上规模、园区建设见成效、乡村面貌换新颜”的思路，</w:t>
      </w:r>
      <w:r>
        <w:rPr>
          <w:rFonts w:hint="eastAsia" w:ascii="仿宋" w:hAnsi="仿宋" w:eastAsia="仿宋" w:cs="仿宋"/>
          <w:sz w:val="30"/>
          <w:szCs w:val="30"/>
        </w:rPr>
        <w:t>聚焦宜春市优势特色领域，按照“集中力量、集聚资源、集成政策”的原则，全力打造全域富硒绿色有机农业，走出一条适合宜春实际的农业农村高质量跨越式发展之路，奋力开启现代化农业强市新征程。到</w:t>
      </w:r>
      <w:r>
        <w:rPr>
          <w:rFonts w:ascii="仿宋" w:hAnsi="仿宋" w:eastAsia="仿宋" w:cs="仿宋"/>
          <w:sz w:val="30"/>
          <w:szCs w:val="30"/>
          <w:lang w:val="zh-CN"/>
        </w:rPr>
        <w:t>2025</w:t>
      </w:r>
      <w:r>
        <w:rPr>
          <w:rFonts w:hint="eastAsia" w:ascii="仿宋" w:hAnsi="仿宋" w:eastAsia="仿宋" w:cs="仿宋"/>
          <w:sz w:val="30"/>
          <w:szCs w:val="30"/>
          <w:lang w:val="zh-CN"/>
        </w:rPr>
        <w:t>年，“</w:t>
      </w:r>
      <w:r>
        <w:rPr>
          <w:rFonts w:hint="eastAsia" w:ascii="仿宋" w:hAnsi="仿宋" w:eastAsia="仿宋" w:cs="仿宋"/>
          <w:sz w:val="30"/>
          <w:szCs w:val="30"/>
        </w:rPr>
        <w:t>三化一融</w:t>
      </w:r>
      <w:r>
        <w:rPr>
          <w:rFonts w:hint="eastAsia" w:ascii="仿宋" w:hAnsi="仿宋" w:eastAsia="仿宋" w:cs="仿宋"/>
          <w:sz w:val="30"/>
          <w:szCs w:val="30"/>
          <w:lang w:val="zh-CN"/>
        </w:rPr>
        <w:t>”（</w:t>
      </w:r>
      <w:r>
        <w:rPr>
          <w:rFonts w:hint="eastAsia" w:ascii="仿宋" w:hAnsi="仿宋" w:eastAsia="仿宋" w:cs="仿宋"/>
          <w:sz w:val="30"/>
          <w:szCs w:val="30"/>
        </w:rPr>
        <w:t>农业现代化、农村现代化、农民现代化和城乡融合一体化</w:t>
      </w:r>
      <w:r>
        <w:rPr>
          <w:rFonts w:hint="eastAsia" w:ascii="仿宋" w:hAnsi="仿宋" w:eastAsia="仿宋" w:cs="仿宋"/>
          <w:sz w:val="30"/>
          <w:szCs w:val="30"/>
          <w:lang w:val="zh-CN"/>
        </w:rPr>
        <w:t>）</w:t>
      </w:r>
      <w:r>
        <w:rPr>
          <w:rFonts w:hint="eastAsia" w:ascii="仿宋" w:hAnsi="仿宋" w:eastAsia="仿宋" w:cs="仿宋"/>
          <w:sz w:val="30"/>
          <w:szCs w:val="30"/>
        </w:rPr>
        <w:t>的制度框架和政策体系基本健全，农业农村现代化取得重大成果，乡村振兴战略得到深入实施</w:t>
      </w:r>
      <w:r>
        <w:rPr>
          <w:rFonts w:hint="eastAsia" w:ascii="仿宋" w:hAnsi="仿宋" w:eastAsia="仿宋" w:cs="仿宋"/>
          <w:sz w:val="30"/>
          <w:szCs w:val="30"/>
          <w:lang w:val="zh-CN"/>
        </w:rPr>
        <w:t>。</w:t>
      </w:r>
    </w:p>
    <w:p>
      <w:pPr>
        <w:spacing w:line="360" w:lineRule="auto"/>
        <w:ind w:firstLine="602" w:firstLineChars="200"/>
        <w:rPr>
          <w:rFonts w:cs="Times New Roman"/>
        </w:rPr>
      </w:pPr>
      <w:r>
        <w:rPr>
          <w:rFonts w:ascii="仿宋" w:hAnsi="仿宋" w:eastAsia="仿宋" w:cs="仿宋"/>
          <w:b/>
          <w:bCs/>
          <w:sz w:val="30"/>
          <w:szCs w:val="30"/>
        </w:rPr>
        <w:t>——</w:t>
      </w:r>
      <w:r>
        <w:rPr>
          <w:rFonts w:hint="eastAsia" w:ascii="仿宋" w:hAnsi="仿宋" w:eastAsia="仿宋" w:cs="仿宋"/>
          <w:b/>
          <w:bCs/>
          <w:sz w:val="30"/>
          <w:szCs w:val="30"/>
        </w:rPr>
        <w:t>产业融合大发展。</w:t>
      </w:r>
      <w:r>
        <w:rPr>
          <w:rFonts w:hint="eastAsia" w:ascii="仿宋" w:hAnsi="仿宋" w:eastAsia="仿宋" w:cs="仿宋"/>
          <w:sz w:val="30"/>
          <w:szCs w:val="30"/>
        </w:rPr>
        <w:t>农业创新驱动能力和综合生产能力明显提升，农业产业结构优化升级，一二三产业深度融合发展，打造产业兴旺的富裕乡村。到</w:t>
      </w:r>
      <w:r>
        <w:rPr>
          <w:rFonts w:ascii="仿宋" w:hAnsi="仿宋" w:eastAsia="仿宋" w:cs="仿宋"/>
          <w:sz w:val="30"/>
          <w:szCs w:val="30"/>
        </w:rPr>
        <w:t>2025</w:t>
      </w:r>
      <w:r>
        <w:rPr>
          <w:rFonts w:hint="eastAsia" w:ascii="仿宋" w:hAnsi="仿宋" w:eastAsia="仿宋" w:cs="仿宋"/>
          <w:sz w:val="30"/>
          <w:szCs w:val="30"/>
        </w:rPr>
        <w:t>年，粮食综合生产能力稳定在</w:t>
      </w:r>
      <w:r>
        <w:rPr>
          <w:rFonts w:ascii="仿宋" w:hAnsi="仿宋" w:eastAsia="仿宋" w:cs="仿宋"/>
          <w:sz w:val="30"/>
          <w:szCs w:val="30"/>
        </w:rPr>
        <w:t>375</w:t>
      </w:r>
      <w:r>
        <w:rPr>
          <w:rFonts w:hint="eastAsia" w:ascii="仿宋" w:hAnsi="仿宋" w:eastAsia="仿宋" w:cs="仿宋"/>
          <w:sz w:val="30"/>
          <w:szCs w:val="30"/>
        </w:rPr>
        <w:t>万吨以上，肉类、蔬菜总产量分别达到</w:t>
      </w:r>
      <w:r>
        <w:rPr>
          <w:rFonts w:ascii="仿宋" w:hAnsi="仿宋" w:eastAsia="仿宋" w:cs="仿宋"/>
          <w:sz w:val="30"/>
          <w:szCs w:val="30"/>
        </w:rPr>
        <w:t>54</w:t>
      </w:r>
      <w:r>
        <w:rPr>
          <w:rFonts w:hint="eastAsia" w:ascii="仿宋" w:hAnsi="仿宋" w:eastAsia="仿宋" w:cs="仿宋"/>
          <w:sz w:val="30"/>
          <w:szCs w:val="30"/>
        </w:rPr>
        <w:t>万吨、</w:t>
      </w:r>
      <w:r>
        <w:rPr>
          <w:rFonts w:ascii="仿宋" w:hAnsi="仿宋" w:eastAsia="仿宋" w:cs="仿宋"/>
          <w:sz w:val="30"/>
          <w:szCs w:val="30"/>
        </w:rPr>
        <w:t>203</w:t>
      </w:r>
      <w:r>
        <w:rPr>
          <w:rFonts w:hint="eastAsia" w:ascii="仿宋" w:hAnsi="仿宋" w:eastAsia="仿宋" w:cs="仿宋"/>
          <w:sz w:val="30"/>
          <w:szCs w:val="30"/>
        </w:rPr>
        <w:t>万吨以上。农业科技进步贡献率达到</w:t>
      </w:r>
      <w:r>
        <w:rPr>
          <w:rFonts w:ascii="仿宋" w:hAnsi="仿宋" w:eastAsia="仿宋" w:cs="仿宋"/>
          <w:sz w:val="30"/>
          <w:szCs w:val="30"/>
        </w:rPr>
        <w:t>65%</w:t>
      </w:r>
      <w:r>
        <w:rPr>
          <w:rFonts w:hint="eastAsia" w:ascii="仿宋" w:hAnsi="仿宋" w:eastAsia="仿宋" w:cs="仿宋"/>
          <w:sz w:val="30"/>
          <w:szCs w:val="30"/>
        </w:rPr>
        <w:t>以上，农作物耕种收综合机械化率达到</w:t>
      </w:r>
      <w:r>
        <w:rPr>
          <w:rFonts w:ascii="仿宋" w:hAnsi="仿宋" w:eastAsia="仿宋" w:cs="仿宋"/>
          <w:sz w:val="30"/>
          <w:szCs w:val="30"/>
        </w:rPr>
        <w:t>80%</w:t>
      </w:r>
      <w:r>
        <w:rPr>
          <w:rFonts w:hint="eastAsia" w:ascii="仿宋" w:hAnsi="仿宋" w:eastAsia="仿宋" w:cs="仿宋"/>
          <w:sz w:val="30"/>
          <w:szCs w:val="30"/>
        </w:rPr>
        <w:t>以上。划定永久基本农田，建成集中连片、旱涝保收的高标准农田</w:t>
      </w:r>
      <w:r>
        <w:rPr>
          <w:rFonts w:ascii="仿宋" w:hAnsi="仿宋" w:eastAsia="仿宋" w:cs="仿宋"/>
          <w:sz w:val="30"/>
          <w:szCs w:val="30"/>
        </w:rPr>
        <w:t>475</w:t>
      </w:r>
      <w:r>
        <w:rPr>
          <w:rFonts w:hint="eastAsia" w:ascii="仿宋" w:hAnsi="仿宋" w:eastAsia="仿宋" w:cs="仿宋"/>
          <w:sz w:val="30"/>
          <w:szCs w:val="30"/>
        </w:rPr>
        <w:t>万亩以上。省级以上农业龙头企业达到</w:t>
      </w:r>
      <w:r>
        <w:rPr>
          <w:rFonts w:ascii="仿宋" w:hAnsi="仿宋" w:eastAsia="仿宋" w:cs="仿宋"/>
          <w:sz w:val="30"/>
          <w:szCs w:val="30"/>
        </w:rPr>
        <w:t>108</w:t>
      </w:r>
      <w:r>
        <w:rPr>
          <w:rFonts w:hint="eastAsia" w:ascii="仿宋" w:hAnsi="仿宋" w:eastAsia="仿宋" w:cs="仿宋"/>
          <w:sz w:val="30"/>
          <w:szCs w:val="30"/>
        </w:rPr>
        <w:t>家以上。富硒农产品基地面积达到</w:t>
      </w:r>
      <w:r>
        <w:rPr>
          <w:rFonts w:ascii="仿宋" w:hAnsi="仿宋" w:eastAsia="仿宋" w:cs="仿宋"/>
          <w:sz w:val="30"/>
          <w:szCs w:val="30"/>
        </w:rPr>
        <w:t>300</w:t>
      </w:r>
      <w:r>
        <w:rPr>
          <w:rFonts w:hint="eastAsia" w:ascii="仿宋" w:hAnsi="仿宋" w:eastAsia="仿宋" w:cs="仿宋"/>
          <w:sz w:val="30"/>
          <w:szCs w:val="30"/>
        </w:rPr>
        <w:t>万亩，绿色食品原料基地面积达到</w:t>
      </w:r>
      <w:r>
        <w:rPr>
          <w:rFonts w:ascii="仿宋" w:hAnsi="仿宋" w:eastAsia="仿宋" w:cs="仿宋"/>
          <w:sz w:val="30"/>
          <w:szCs w:val="30"/>
        </w:rPr>
        <w:t>260</w:t>
      </w:r>
      <w:r>
        <w:rPr>
          <w:rFonts w:hint="eastAsia" w:ascii="仿宋" w:hAnsi="仿宋" w:eastAsia="仿宋" w:cs="仿宋"/>
          <w:sz w:val="30"/>
          <w:szCs w:val="30"/>
        </w:rPr>
        <w:t>万亩，有机农产品基地面积达到</w:t>
      </w:r>
      <w:r>
        <w:rPr>
          <w:rFonts w:ascii="仿宋" w:hAnsi="仿宋" w:eastAsia="仿宋" w:cs="仿宋"/>
          <w:sz w:val="30"/>
          <w:szCs w:val="30"/>
        </w:rPr>
        <w:t>280</w:t>
      </w:r>
      <w:r>
        <w:rPr>
          <w:rFonts w:hint="eastAsia" w:ascii="仿宋" w:hAnsi="仿宋" w:eastAsia="仿宋" w:cs="仿宋"/>
          <w:sz w:val="30"/>
          <w:szCs w:val="30"/>
        </w:rPr>
        <w:t>万亩，在全省率先创建全域富硒绿色有机农产品大市；“两品一标”产品数量达</w:t>
      </w:r>
      <w:r>
        <w:rPr>
          <w:rFonts w:ascii="仿宋" w:hAnsi="仿宋" w:eastAsia="仿宋" w:cs="仿宋"/>
          <w:sz w:val="30"/>
          <w:szCs w:val="30"/>
        </w:rPr>
        <w:t>880</w:t>
      </w:r>
      <w:r>
        <w:rPr>
          <w:rFonts w:hint="eastAsia" w:ascii="仿宋" w:hAnsi="仿宋" w:eastAsia="仿宋" w:cs="仿宋"/>
          <w:sz w:val="30"/>
          <w:szCs w:val="30"/>
        </w:rPr>
        <w:t>个，居全省前列；农产品加工业与农业总产值比达到</w:t>
      </w:r>
      <w:r>
        <w:rPr>
          <w:rFonts w:ascii="仿宋" w:hAnsi="仿宋" w:eastAsia="仿宋" w:cs="仿宋"/>
          <w:sz w:val="30"/>
          <w:szCs w:val="30"/>
        </w:rPr>
        <w:t>2.8:1</w:t>
      </w:r>
      <w:r>
        <w:rPr>
          <w:rFonts w:hint="eastAsia" w:ascii="仿宋" w:hAnsi="仿宋" w:eastAsia="仿宋" w:cs="仿宋"/>
          <w:sz w:val="30"/>
          <w:szCs w:val="30"/>
        </w:rPr>
        <w:t>；农产品质量安全例行监测合格率达到</w:t>
      </w:r>
      <w:r>
        <w:rPr>
          <w:rFonts w:ascii="仿宋" w:hAnsi="仿宋" w:eastAsia="仿宋" w:cs="仿宋"/>
          <w:sz w:val="30"/>
          <w:szCs w:val="30"/>
        </w:rPr>
        <w:t>98%</w:t>
      </w:r>
      <w:r>
        <w:rPr>
          <w:rFonts w:hint="eastAsia" w:ascii="仿宋" w:hAnsi="仿宋" w:eastAsia="仿宋" w:cs="仿宋"/>
          <w:sz w:val="30"/>
          <w:szCs w:val="30"/>
        </w:rPr>
        <w:t>以上。</w:t>
      </w:r>
    </w:p>
    <w:p>
      <w:pPr>
        <w:widowControl/>
        <w:spacing w:line="360" w:lineRule="auto"/>
        <w:ind w:firstLine="600"/>
        <w:rPr>
          <w:rFonts w:ascii="仿宋" w:hAnsi="仿宋" w:eastAsia="仿宋" w:cs="Times New Roman"/>
          <w:sz w:val="30"/>
          <w:szCs w:val="30"/>
        </w:rPr>
      </w:pPr>
      <w:r>
        <w:rPr>
          <w:rFonts w:ascii="仿宋" w:hAnsi="仿宋" w:eastAsia="仿宋" w:cs="仿宋"/>
          <w:b/>
          <w:bCs/>
          <w:sz w:val="30"/>
          <w:szCs w:val="30"/>
        </w:rPr>
        <w:t>——</w:t>
      </w:r>
      <w:r>
        <w:rPr>
          <w:rFonts w:hint="eastAsia" w:ascii="仿宋" w:hAnsi="仿宋" w:eastAsia="仿宋" w:cs="仿宋"/>
          <w:b/>
          <w:bCs/>
          <w:sz w:val="30"/>
          <w:szCs w:val="30"/>
        </w:rPr>
        <w:t>生态宜居大提质。</w:t>
      </w:r>
      <w:r>
        <w:rPr>
          <w:rFonts w:hint="eastAsia" w:ascii="仿宋" w:hAnsi="仿宋" w:eastAsia="仿宋" w:cs="仿宋"/>
          <w:sz w:val="30"/>
          <w:szCs w:val="30"/>
        </w:rPr>
        <w:t>充分发挥山水林田湖草沙的生态优势，全面推进农业绿色发展，大力实施乡村建设行动，村容村貌全面提升，打造生态宜居“赣西样板”。到</w:t>
      </w:r>
      <w:r>
        <w:rPr>
          <w:rFonts w:ascii="仿宋" w:hAnsi="仿宋" w:eastAsia="仿宋" w:cs="仿宋"/>
          <w:sz w:val="30"/>
          <w:szCs w:val="30"/>
        </w:rPr>
        <w:t>2025</w:t>
      </w:r>
      <w:r>
        <w:rPr>
          <w:rFonts w:hint="eastAsia" w:ascii="仿宋" w:hAnsi="仿宋" w:eastAsia="仿宋" w:cs="仿宋"/>
          <w:sz w:val="30"/>
          <w:szCs w:val="30"/>
        </w:rPr>
        <w:t>年，农村卫生厕所普及率达到</w:t>
      </w:r>
      <w:r>
        <w:rPr>
          <w:rFonts w:ascii="仿宋" w:hAnsi="仿宋" w:eastAsia="仿宋" w:cs="仿宋"/>
          <w:sz w:val="30"/>
          <w:szCs w:val="30"/>
        </w:rPr>
        <w:t>96%</w:t>
      </w:r>
      <w:r>
        <w:rPr>
          <w:rFonts w:hint="eastAsia" w:ascii="仿宋" w:hAnsi="仿宋" w:eastAsia="仿宋" w:cs="仿宋"/>
          <w:sz w:val="30"/>
          <w:szCs w:val="30"/>
        </w:rPr>
        <w:t>、农村生活垃圾分类覆盖面达到</w:t>
      </w:r>
      <w:r>
        <w:rPr>
          <w:rFonts w:ascii="仿宋" w:hAnsi="仿宋" w:eastAsia="仿宋" w:cs="仿宋"/>
          <w:sz w:val="30"/>
          <w:szCs w:val="30"/>
        </w:rPr>
        <w:t>60%</w:t>
      </w:r>
      <w:r>
        <w:rPr>
          <w:rFonts w:hint="eastAsia" w:ascii="仿宋" w:hAnsi="仿宋" w:eastAsia="仿宋" w:cs="仿宋"/>
          <w:sz w:val="30"/>
          <w:szCs w:val="30"/>
        </w:rPr>
        <w:t>以上；畜禽粪污综合利用率达到</w:t>
      </w:r>
      <w:r>
        <w:rPr>
          <w:rFonts w:ascii="仿宋" w:hAnsi="仿宋" w:eastAsia="仿宋" w:cs="仿宋"/>
          <w:sz w:val="30"/>
          <w:szCs w:val="30"/>
        </w:rPr>
        <w:t>95%</w:t>
      </w:r>
      <w:r>
        <w:rPr>
          <w:rFonts w:hint="eastAsia" w:ascii="仿宋" w:hAnsi="仿宋" w:eastAsia="仿宋" w:cs="仿宋"/>
          <w:sz w:val="30"/>
          <w:szCs w:val="30"/>
        </w:rPr>
        <w:t>左右；新农村建设和村庄整治得到大力推进，全市村庄整治建设覆盖率达到</w:t>
      </w:r>
      <w:r>
        <w:rPr>
          <w:rFonts w:ascii="仿宋" w:hAnsi="仿宋" w:eastAsia="仿宋" w:cs="仿宋"/>
          <w:sz w:val="30"/>
          <w:szCs w:val="30"/>
        </w:rPr>
        <w:t>90%</w:t>
      </w:r>
      <w:r>
        <w:rPr>
          <w:rFonts w:hint="eastAsia" w:ascii="仿宋" w:hAnsi="仿宋" w:eastAsia="仿宋" w:cs="仿宋"/>
          <w:sz w:val="30"/>
          <w:szCs w:val="30"/>
        </w:rPr>
        <w:t>以上。农村生活污水治理率达到</w:t>
      </w:r>
      <w:r>
        <w:rPr>
          <w:rFonts w:ascii="仿宋" w:hAnsi="仿宋" w:eastAsia="仿宋" w:cs="仿宋"/>
          <w:sz w:val="30"/>
          <w:szCs w:val="30"/>
        </w:rPr>
        <w:t>30%</w:t>
      </w:r>
      <w:r>
        <w:rPr>
          <w:rFonts w:hint="eastAsia" w:ascii="仿宋" w:hAnsi="仿宋" w:eastAsia="仿宋" w:cs="仿宋"/>
          <w:sz w:val="30"/>
          <w:szCs w:val="30"/>
        </w:rPr>
        <w:t>，污水有效管控水平明显提升，“两山”双向转化通道更加顺畅，乡村建设在彰显特色中实现提质、升级。</w:t>
      </w:r>
    </w:p>
    <w:p>
      <w:pPr>
        <w:widowControl/>
        <w:spacing w:line="360" w:lineRule="auto"/>
        <w:ind w:firstLine="602"/>
        <w:rPr>
          <w:rFonts w:ascii="仿宋" w:hAnsi="仿宋" w:eastAsia="仿宋" w:cs="Times New Roman"/>
          <w:sz w:val="30"/>
          <w:szCs w:val="30"/>
        </w:rPr>
      </w:pPr>
      <w:r>
        <w:rPr>
          <w:rFonts w:ascii="仿宋" w:hAnsi="仿宋" w:eastAsia="仿宋" w:cs="仿宋"/>
          <w:b/>
          <w:bCs/>
          <w:sz w:val="30"/>
          <w:szCs w:val="30"/>
        </w:rPr>
        <w:t>——</w:t>
      </w:r>
      <w:r>
        <w:rPr>
          <w:rFonts w:hint="eastAsia" w:ascii="仿宋" w:hAnsi="仿宋" w:eastAsia="仿宋" w:cs="仿宋"/>
          <w:b/>
          <w:bCs/>
          <w:sz w:val="30"/>
          <w:szCs w:val="30"/>
        </w:rPr>
        <w:t>乡风文明大提升。</w:t>
      </w:r>
      <w:r>
        <w:rPr>
          <w:rFonts w:hint="eastAsia" w:ascii="仿宋" w:hAnsi="仿宋" w:eastAsia="仿宋" w:cs="仿宋"/>
          <w:sz w:val="30"/>
          <w:szCs w:val="30"/>
        </w:rPr>
        <w:t>弘扬宜春优秀传统文化和工匠精神，打造具有宜春特色的魅力乡村。传统村落、历史建筑、民俗文化等历史遗迹得到充分保护，拥有全国重点或省级文物保护单位的历史文化名村和传统村落得到抢救性保护。重点推进樟树市省级中医药文化生态保护区建设和宜丰县天宝乡等传统村落保护利用。活化传承宜春市底蕴深厚、丰富多彩的乡土文化、历史文化、红色文化、好人文化、耕读文化、生态文化、民俗文化、禅宗文化和月亮文化，积极开展“非遗小镇”建设。建立健全文明乡风管理机制和工作制度，全面推进移风易俗，破除封建迷信，有效遏制农村陈规陋习，倡导婚事新办、丧事简办、孝亲敬老、民间习俗文明等社会风尚，进一步提升乡村社会文明水平。</w:t>
      </w:r>
    </w:p>
    <w:p>
      <w:pPr>
        <w:widowControl/>
        <w:spacing w:line="360" w:lineRule="auto"/>
        <w:ind w:firstLine="602"/>
        <w:rPr>
          <w:rFonts w:cs="Times New Roman"/>
        </w:rPr>
      </w:pPr>
      <w:r>
        <w:rPr>
          <w:rFonts w:ascii="仿宋" w:hAnsi="仿宋" w:eastAsia="仿宋" w:cs="仿宋"/>
          <w:b/>
          <w:bCs/>
          <w:sz w:val="30"/>
          <w:szCs w:val="30"/>
        </w:rPr>
        <w:t>——</w:t>
      </w:r>
      <w:r>
        <w:rPr>
          <w:rFonts w:hint="eastAsia" w:ascii="仿宋" w:hAnsi="仿宋" w:eastAsia="仿宋" w:cs="仿宋"/>
          <w:b/>
          <w:bCs/>
          <w:sz w:val="30"/>
          <w:szCs w:val="30"/>
        </w:rPr>
        <w:t>乡村治理大推进。</w:t>
      </w:r>
      <w:r>
        <w:rPr>
          <w:rFonts w:hint="eastAsia" w:ascii="仿宋" w:hAnsi="仿宋" w:eastAsia="仿宋" w:cs="仿宋"/>
          <w:sz w:val="30"/>
          <w:szCs w:val="30"/>
        </w:rPr>
        <w:t>到</w:t>
      </w:r>
      <w:r>
        <w:rPr>
          <w:rFonts w:ascii="仿宋" w:hAnsi="仿宋" w:eastAsia="仿宋" w:cs="仿宋"/>
          <w:sz w:val="30"/>
          <w:szCs w:val="30"/>
        </w:rPr>
        <w:t>2025</w:t>
      </w:r>
      <w:r>
        <w:rPr>
          <w:rFonts w:hint="eastAsia" w:ascii="仿宋" w:hAnsi="仿宋" w:eastAsia="仿宋" w:cs="仿宋"/>
          <w:sz w:val="30"/>
          <w:szCs w:val="30"/>
        </w:rPr>
        <w:t>年，现代乡村社会治理体制基本形成，以党组织为核心的农村基层党组织战斗堡垒作用得到充分发挥，村民自治实践进一步深化，村级自治组织规范化建设覆盖率</w:t>
      </w:r>
      <w:r>
        <w:rPr>
          <w:rFonts w:ascii="仿宋" w:hAnsi="仿宋" w:eastAsia="仿宋" w:cs="仿宋"/>
          <w:sz w:val="30"/>
          <w:szCs w:val="30"/>
        </w:rPr>
        <w:t>100%</w:t>
      </w:r>
      <w:r>
        <w:rPr>
          <w:rFonts w:hint="eastAsia" w:ascii="仿宋" w:hAnsi="仿宋" w:eastAsia="仿宋" w:cs="仿宋"/>
          <w:sz w:val="30"/>
          <w:szCs w:val="30"/>
        </w:rPr>
        <w:t>，村民理事会覆盖率</w:t>
      </w:r>
      <w:r>
        <w:rPr>
          <w:rFonts w:ascii="仿宋" w:hAnsi="仿宋" w:eastAsia="仿宋" w:cs="仿宋"/>
          <w:sz w:val="30"/>
          <w:szCs w:val="30"/>
        </w:rPr>
        <w:t>100%</w:t>
      </w:r>
      <w:r>
        <w:rPr>
          <w:rFonts w:hint="eastAsia" w:ascii="仿宋" w:hAnsi="仿宋" w:eastAsia="仿宋" w:cs="仿宋"/>
          <w:sz w:val="30"/>
          <w:szCs w:val="30"/>
        </w:rPr>
        <w:t>，集体收益</w:t>
      </w:r>
      <w:r>
        <w:rPr>
          <w:rFonts w:ascii="仿宋" w:hAnsi="仿宋" w:eastAsia="仿宋" w:cs="仿宋"/>
          <w:sz w:val="30"/>
          <w:szCs w:val="30"/>
        </w:rPr>
        <w:t>5</w:t>
      </w:r>
      <w:r>
        <w:rPr>
          <w:rFonts w:hint="eastAsia" w:ascii="仿宋" w:hAnsi="仿宋" w:eastAsia="仿宋" w:cs="仿宋"/>
          <w:sz w:val="30"/>
          <w:szCs w:val="30"/>
        </w:rPr>
        <w:t>万元以上的村占比达</w:t>
      </w:r>
      <w:r>
        <w:rPr>
          <w:rFonts w:ascii="仿宋" w:hAnsi="仿宋" w:eastAsia="仿宋" w:cs="仿宋"/>
          <w:sz w:val="30"/>
          <w:szCs w:val="30"/>
        </w:rPr>
        <w:t>100%</w:t>
      </w:r>
      <w:r>
        <w:rPr>
          <w:rFonts w:hint="eastAsia" w:ascii="仿宋" w:hAnsi="仿宋" w:eastAsia="仿宋" w:cs="仿宋"/>
          <w:sz w:val="30"/>
          <w:szCs w:val="30"/>
        </w:rPr>
        <w:t>，乡村治理能力有效增强，现代乡村治理体系初步构建。</w:t>
      </w:r>
    </w:p>
    <w:p>
      <w:pPr>
        <w:widowControl/>
        <w:spacing w:line="360" w:lineRule="auto"/>
        <w:ind w:firstLine="600"/>
        <w:rPr>
          <w:rFonts w:ascii="仿宋" w:hAnsi="仿宋" w:eastAsia="仿宋" w:cs="Times New Roman"/>
          <w:sz w:val="30"/>
          <w:szCs w:val="30"/>
          <w:lang w:val="zh-CN"/>
        </w:rPr>
      </w:pPr>
      <w:r>
        <w:rPr>
          <w:rFonts w:ascii="仿宋" w:hAnsi="仿宋" w:eastAsia="仿宋" w:cs="仿宋"/>
          <w:b/>
          <w:bCs/>
          <w:sz w:val="30"/>
          <w:szCs w:val="30"/>
        </w:rPr>
        <w:t>——</w:t>
      </w:r>
      <w:r>
        <w:rPr>
          <w:rFonts w:hint="eastAsia" w:ascii="仿宋" w:hAnsi="仿宋" w:eastAsia="仿宋" w:cs="仿宋"/>
          <w:b/>
          <w:bCs/>
          <w:sz w:val="30"/>
          <w:szCs w:val="30"/>
        </w:rPr>
        <w:t>农民富裕大跨越。</w:t>
      </w:r>
      <w:r>
        <w:rPr>
          <w:rFonts w:hint="eastAsia" w:ascii="仿宋" w:hAnsi="仿宋" w:eastAsia="仿宋" w:cs="仿宋"/>
          <w:sz w:val="30"/>
          <w:szCs w:val="30"/>
          <w:lang w:val="zh-CN"/>
        </w:rPr>
        <w:t>农村居民人均可支配收入持续较快增长，城乡生活水平差距逐步缩小。到</w:t>
      </w:r>
      <w:r>
        <w:rPr>
          <w:rFonts w:ascii="仿宋" w:hAnsi="仿宋" w:eastAsia="仿宋" w:cs="仿宋"/>
          <w:sz w:val="30"/>
          <w:szCs w:val="30"/>
          <w:lang w:val="zh-CN"/>
        </w:rPr>
        <w:t>2025</w:t>
      </w:r>
      <w:r>
        <w:rPr>
          <w:rFonts w:hint="eastAsia" w:ascii="仿宋" w:hAnsi="仿宋" w:eastAsia="仿宋" w:cs="仿宋"/>
          <w:sz w:val="30"/>
          <w:szCs w:val="30"/>
          <w:lang w:val="zh-CN"/>
        </w:rPr>
        <w:t>年，农村居民人均可支配收入达到</w:t>
      </w:r>
      <w:r>
        <w:rPr>
          <w:rFonts w:ascii="仿宋" w:hAnsi="仿宋" w:eastAsia="仿宋" w:cs="仿宋"/>
          <w:sz w:val="30"/>
          <w:szCs w:val="30"/>
          <w:lang w:val="zh-CN"/>
        </w:rPr>
        <w:t>24600</w:t>
      </w:r>
      <w:r>
        <w:rPr>
          <w:rFonts w:hint="eastAsia" w:ascii="仿宋" w:hAnsi="仿宋" w:eastAsia="仿宋" w:cs="仿宋"/>
          <w:sz w:val="30"/>
          <w:szCs w:val="30"/>
          <w:lang w:val="zh-CN"/>
        </w:rPr>
        <w:t>元左右，城乡居民人均可支配收入比降低到</w:t>
      </w:r>
      <w:r>
        <w:rPr>
          <w:rFonts w:ascii="仿宋" w:hAnsi="仿宋" w:eastAsia="仿宋" w:cs="仿宋"/>
          <w:sz w:val="30"/>
          <w:szCs w:val="30"/>
          <w:lang w:val="zh-CN"/>
        </w:rPr>
        <w:t>2.0</w:t>
      </w:r>
      <w:r>
        <w:rPr>
          <w:rFonts w:hint="eastAsia" w:ascii="仿宋" w:hAnsi="仿宋" w:eastAsia="仿宋" w:cs="仿宋"/>
          <w:sz w:val="30"/>
          <w:szCs w:val="30"/>
          <w:lang w:val="zh-CN"/>
        </w:rPr>
        <w:t>。</w:t>
      </w:r>
    </w:p>
    <w:p>
      <w:pPr>
        <w:widowControl/>
        <w:spacing w:line="360" w:lineRule="auto"/>
        <w:ind w:firstLine="600"/>
        <w:rPr>
          <w:rFonts w:ascii="仿宋" w:hAnsi="仿宋" w:eastAsia="仿宋" w:cs="Times New Roman"/>
          <w:sz w:val="30"/>
          <w:szCs w:val="30"/>
        </w:rPr>
      </w:pPr>
      <w:r>
        <w:rPr>
          <w:rFonts w:ascii="仿宋" w:hAnsi="仿宋" w:eastAsia="仿宋" w:cs="仿宋"/>
          <w:b/>
          <w:bCs/>
          <w:sz w:val="30"/>
          <w:szCs w:val="30"/>
        </w:rPr>
        <w:t>——</w:t>
      </w:r>
      <w:r>
        <w:rPr>
          <w:rFonts w:hint="eastAsia" w:ascii="仿宋" w:hAnsi="仿宋" w:eastAsia="仿宋" w:cs="仿宋"/>
          <w:b/>
          <w:bCs/>
          <w:sz w:val="30"/>
          <w:szCs w:val="30"/>
        </w:rPr>
        <w:t>城乡融合大改善。</w:t>
      </w:r>
      <w:r>
        <w:rPr>
          <w:rFonts w:hint="eastAsia" w:ascii="仿宋" w:hAnsi="仿宋" w:eastAsia="仿宋" w:cs="仿宋"/>
          <w:sz w:val="30"/>
          <w:szCs w:val="30"/>
        </w:rPr>
        <w:t>城乡融合发展机制不断完善，逐步实现城乡发展一体化。城乡基础设施和公共服务一体化、均等化机制逐步完善，城乡发展差距和居民生活水平差距显著缩小，农村转移人口市民化进程加快，城乡融合大改善。到</w:t>
      </w:r>
      <w:r>
        <w:rPr>
          <w:rFonts w:ascii="仿宋" w:hAnsi="仿宋" w:eastAsia="仿宋" w:cs="仿宋"/>
          <w:sz w:val="30"/>
          <w:szCs w:val="30"/>
        </w:rPr>
        <w:t>2025</w:t>
      </w:r>
      <w:r>
        <w:rPr>
          <w:rFonts w:hint="eastAsia" w:ascii="仿宋" w:hAnsi="仿宋" w:eastAsia="仿宋" w:cs="仿宋"/>
          <w:sz w:val="30"/>
          <w:szCs w:val="30"/>
        </w:rPr>
        <w:t>年，建有综合服务站的村占比达</w:t>
      </w:r>
      <w:r>
        <w:rPr>
          <w:rFonts w:ascii="仿宋" w:hAnsi="仿宋" w:eastAsia="仿宋" w:cs="仿宋"/>
          <w:sz w:val="30"/>
          <w:szCs w:val="30"/>
        </w:rPr>
        <w:t>100%</w:t>
      </w:r>
      <w:r>
        <w:rPr>
          <w:rFonts w:hint="eastAsia" w:ascii="仿宋" w:hAnsi="仿宋" w:eastAsia="仿宋" w:cs="仿宋"/>
          <w:sz w:val="30"/>
          <w:szCs w:val="30"/>
        </w:rPr>
        <w:t>、标准化卫生室行政村覆盖率达</w:t>
      </w:r>
      <w:r>
        <w:rPr>
          <w:rFonts w:ascii="仿宋" w:hAnsi="仿宋" w:eastAsia="仿宋" w:cs="仿宋"/>
          <w:sz w:val="30"/>
          <w:szCs w:val="30"/>
        </w:rPr>
        <w:t>100%</w:t>
      </w:r>
      <w:r>
        <w:rPr>
          <w:rFonts w:hint="eastAsia" w:ascii="仿宋" w:hAnsi="仿宋" w:eastAsia="仿宋" w:cs="仿宋"/>
          <w:sz w:val="30"/>
          <w:szCs w:val="30"/>
        </w:rPr>
        <w:t>、基本医疗保险覆盖率达</w:t>
      </w:r>
      <w:r>
        <w:rPr>
          <w:rFonts w:ascii="仿宋" w:hAnsi="仿宋" w:eastAsia="仿宋" w:cs="仿宋"/>
          <w:sz w:val="30"/>
          <w:szCs w:val="30"/>
        </w:rPr>
        <w:t>100%</w:t>
      </w:r>
      <w:r>
        <w:rPr>
          <w:rFonts w:hint="eastAsia" w:ascii="仿宋" w:hAnsi="仿宋" w:eastAsia="仿宋" w:cs="仿宋"/>
          <w:sz w:val="30"/>
          <w:szCs w:val="30"/>
        </w:rPr>
        <w:t>、农村居家养老服务设施建制村覆盖率达</w:t>
      </w:r>
      <w:r>
        <w:rPr>
          <w:rFonts w:ascii="仿宋" w:hAnsi="仿宋" w:eastAsia="仿宋" w:cs="仿宋"/>
          <w:sz w:val="30"/>
          <w:szCs w:val="30"/>
        </w:rPr>
        <w:t>100%</w:t>
      </w:r>
      <w:r>
        <w:rPr>
          <w:rFonts w:hint="eastAsia" w:ascii="仿宋" w:hAnsi="仿宋" w:eastAsia="仿宋" w:cs="仿宋"/>
          <w:sz w:val="30"/>
          <w:szCs w:val="30"/>
        </w:rPr>
        <w:t>、农村自来水普及率达到</w:t>
      </w:r>
      <w:r>
        <w:rPr>
          <w:rFonts w:ascii="仿宋" w:hAnsi="仿宋" w:eastAsia="仿宋" w:cs="仿宋"/>
          <w:sz w:val="30"/>
          <w:szCs w:val="30"/>
        </w:rPr>
        <w:t>90%</w:t>
      </w:r>
      <w:r>
        <w:rPr>
          <w:rFonts w:hint="eastAsia" w:ascii="仿宋" w:hAnsi="仿宋" w:eastAsia="仿宋" w:cs="仿宋"/>
          <w:sz w:val="30"/>
          <w:szCs w:val="30"/>
        </w:rPr>
        <w:t>以上、村庄宽带网络普及率</w:t>
      </w:r>
      <w:r>
        <w:rPr>
          <w:rFonts w:ascii="仿宋" w:hAnsi="仿宋" w:eastAsia="仿宋" w:cs="仿宋"/>
          <w:sz w:val="30"/>
          <w:szCs w:val="30"/>
        </w:rPr>
        <w:t>100%</w:t>
      </w:r>
      <w:r>
        <w:rPr>
          <w:rFonts w:hint="eastAsia" w:ascii="仿宋" w:hAnsi="仿宋" w:eastAsia="仿宋" w:cs="仿宋"/>
          <w:sz w:val="30"/>
          <w:szCs w:val="30"/>
        </w:rPr>
        <w:t>。</w:t>
      </w:r>
    </w:p>
    <w:p>
      <w:pPr>
        <w:pStyle w:val="2"/>
        <w:jc w:val="center"/>
        <w:rPr>
          <w:rFonts w:ascii="黑体" w:hAnsi="黑体" w:eastAsia="黑体" w:cs="Times New Roman"/>
          <w:sz w:val="30"/>
          <w:szCs w:val="30"/>
        </w:rPr>
      </w:pPr>
      <w:bookmarkStart w:id="78" w:name="_Toc96329887"/>
      <w:r>
        <w:rPr>
          <w:rFonts w:hint="eastAsia" w:ascii="黑体" w:hAnsi="黑体" w:eastAsia="黑体" w:cs="黑体"/>
          <w:sz w:val="30"/>
          <w:szCs w:val="30"/>
        </w:rPr>
        <w:t>第四节</w:t>
      </w:r>
      <w:r>
        <w:rPr>
          <w:rFonts w:ascii="黑体" w:hAnsi="黑体" w:eastAsia="黑体" w:cs="黑体"/>
          <w:sz w:val="30"/>
          <w:szCs w:val="30"/>
        </w:rPr>
        <w:t xml:space="preserve"> </w:t>
      </w:r>
      <w:r>
        <w:rPr>
          <w:rFonts w:hint="eastAsia" w:ascii="黑体" w:hAnsi="黑体" w:eastAsia="黑体" w:cs="黑体"/>
          <w:sz w:val="30"/>
          <w:szCs w:val="30"/>
        </w:rPr>
        <w:t>远景展望</w:t>
      </w:r>
      <w:bookmarkEnd w:id="78"/>
    </w:p>
    <w:p>
      <w:pPr>
        <w:spacing w:line="360" w:lineRule="auto"/>
        <w:ind w:firstLine="600" w:firstLineChars="200"/>
        <w:rPr>
          <w:rFonts w:ascii="仿宋" w:hAnsi="仿宋" w:eastAsia="仿宋" w:cs="Times New Roman"/>
          <w:sz w:val="30"/>
          <w:szCs w:val="30"/>
        </w:rPr>
      </w:pPr>
      <w:r>
        <w:rPr>
          <w:rFonts w:hint="eastAsia" w:ascii="仿宋" w:hAnsi="仿宋" w:eastAsia="仿宋" w:cs="仿宋"/>
          <w:sz w:val="30"/>
          <w:szCs w:val="30"/>
        </w:rPr>
        <w:t>展望</w:t>
      </w:r>
      <w:r>
        <w:rPr>
          <w:rFonts w:ascii="仿宋" w:hAnsi="仿宋" w:eastAsia="仿宋" w:cs="仿宋"/>
          <w:sz w:val="30"/>
          <w:szCs w:val="30"/>
        </w:rPr>
        <w:t>2035</w:t>
      </w:r>
      <w:r>
        <w:rPr>
          <w:rFonts w:hint="eastAsia" w:ascii="仿宋" w:hAnsi="仿宋" w:eastAsia="仿宋" w:cs="仿宋"/>
          <w:sz w:val="30"/>
          <w:szCs w:val="30"/>
        </w:rPr>
        <w:t>年，全市乡村振兴目标基本实现，农业农村现代化展现现实模样。农业结构得到根本改善和优化，创新力、竞争力和全要素生产率大幅提升，职业农民成为农业生产的主力军，农村一二三产业深度融合发展；城乡融合格局基本形成，更多资本、技术、人才等要素向农业农村流动，镇村布局和功能进一步优化；乡风文明达到新高度，农村公共文化服务体系健全，农村优秀传统文化在传承与保护中得到创新发展，农民综合素质进一步提升，乡村精神风貌焕然一新；现代乡村治理体系更加完善，农村基层党组织凝聚力和号召力不断增强，领导核心作用得到有效发挥，乡村自治、法治、德治结合更加充分有效；共同富裕迈出坚实步伐，农民增收渠道有效拓宽，城乡居民生活水平差距进一步缩小，农民生活更加宽裕、更加便利；农村生态环境根本好转，生态宜居的美丽乡村基本建成。</w:t>
      </w:r>
    </w:p>
    <w:p>
      <w:pPr>
        <w:spacing w:line="360" w:lineRule="auto"/>
        <w:ind w:firstLine="600" w:firstLineChars="200"/>
        <w:jc w:val="left"/>
        <w:rPr>
          <w:rFonts w:cs="Times New Roman"/>
        </w:rPr>
      </w:pPr>
      <w:r>
        <w:rPr>
          <w:rFonts w:hint="eastAsia" w:ascii="仿宋" w:hAnsi="仿宋" w:eastAsia="仿宋" w:cs="仿宋"/>
          <w:sz w:val="30"/>
          <w:szCs w:val="30"/>
        </w:rPr>
        <w:t>到</w:t>
      </w:r>
      <w:r>
        <w:rPr>
          <w:rFonts w:ascii="仿宋" w:hAnsi="仿宋" w:eastAsia="仿宋" w:cs="仿宋"/>
          <w:sz w:val="30"/>
          <w:szCs w:val="30"/>
        </w:rPr>
        <w:t>2050</w:t>
      </w:r>
      <w:r>
        <w:rPr>
          <w:rFonts w:hint="eastAsia" w:ascii="仿宋" w:hAnsi="仿宋" w:eastAsia="仿宋" w:cs="仿宋"/>
          <w:sz w:val="30"/>
          <w:szCs w:val="30"/>
        </w:rPr>
        <w:t>年，新中国成立一百周年，在基本实现农业农村现代化的基础上，乡村全面振兴，农业强、农民富、农村美全面实现，农村高标准实现共同富裕，全体农民享有更加幸福安康的生活。</w:t>
      </w:r>
    </w:p>
    <w:tbl>
      <w:tblPr>
        <w:tblStyle w:val="16"/>
        <w:tblpPr w:leftFromText="180" w:rightFromText="180" w:vertAnchor="text" w:horzAnchor="page" w:tblpX="1881" w:tblpY="462"/>
        <w:tblOverlap w:val="never"/>
        <w:tblW w:w="9322" w:type="dxa"/>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842"/>
        <w:gridCol w:w="4200"/>
        <w:gridCol w:w="1152"/>
        <w:gridCol w:w="1277"/>
        <w:gridCol w:w="8"/>
        <w:gridCol w:w="851"/>
        <w:gridCol w:w="992"/>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13" w:hRule="atLeast"/>
        </w:trPr>
        <w:tc>
          <w:tcPr>
            <w:tcW w:w="8330" w:type="dxa"/>
            <w:gridSpan w:val="6"/>
            <w:tcBorders>
              <w:bottom w:val="single" w:color="auto" w:sz="4" w:space="0"/>
            </w:tcBorders>
            <w:vAlign w:val="center"/>
          </w:tcPr>
          <w:p>
            <w:pPr>
              <w:widowControl/>
              <w:spacing w:line="360" w:lineRule="auto"/>
              <w:ind w:firstLine="562" w:firstLineChars="200"/>
              <w:jc w:val="left"/>
              <w:rPr>
                <w:rFonts w:ascii="仿宋" w:hAnsi="仿宋" w:eastAsia="仿宋" w:cs="Times New Roman"/>
                <w:kern w:val="0"/>
                <w:sz w:val="24"/>
                <w:szCs w:val="24"/>
              </w:rPr>
            </w:pPr>
            <w:r>
              <w:rPr>
                <w:rFonts w:hint="eastAsia" w:ascii="黑体" w:hAnsi="黑体" w:eastAsia="黑体" w:cs="黑体"/>
                <w:b/>
                <w:bCs/>
                <w:kern w:val="0"/>
                <w:sz w:val="28"/>
                <w:szCs w:val="28"/>
              </w:rPr>
              <w:t>专栏</w:t>
            </w:r>
            <w:r>
              <w:rPr>
                <w:rFonts w:ascii="黑体" w:hAnsi="黑体" w:eastAsia="黑体" w:cs="黑体"/>
                <w:b/>
                <w:bCs/>
                <w:kern w:val="0"/>
                <w:sz w:val="28"/>
                <w:szCs w:val="28"/>
              </w:rPr>
              <w:t xml:space="preserve">1  </w:t>
            </w:r>
            <w:r>
              <w:rPr>
                <w:rFonts w:hint="eastAsia" w:ascii="黑体" w:hAnsi="黑体" w:eastAsia="黑体" w:cs="黑体"/>
                <w:b/>
                <w:bCs/>
                <w:kern w:val="0"/>
                <w:sz w:val="28"/>
                <w:szCs w:val="28"/>
              </w:rPr>
              <w:t>宜春市“十四五”农业农村现代化发展主要指标</w:t>
            </w:r>
          </w:p>
        </w:tc>
        <w:tc>
          <w:tcPr>
            <w:tcW w:w="992" w:type="dxa"/>
            <w:tcBorders>
              <w:bottom w:val="single" w:color="auto" w:sz="4" w:space="0"/>
            </w:tcBorders>
          </w:tcPr>
          <w:p>
            <w:pPr>
              <w:widowControl/>
              <w:spacing w:line="360" w:lineRule="auto"/>
              <w:ind w:firstLine="562" w:firstLineChars="200"/>
              <w:jc w:val="left"/>
              <w:rPr>
                <w:rFonts w:ascii="黑体" w:hAnsi="黑体" w:eastAsia="黑体" w:cs="Times New Roman"/>
                <w:b/>
                <w:bCs/>
                <w:kern w:val="0"/>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13" w:hRule="atLeast"/>
        </w:trPr>
        <w:tc>
          <w:tcPr>
            <w:tcW w:w="842" w:type="dxa"/>
            <w:tcBorders>
              <w:top w:val="single" w:color="auto" w:sz="4" w:space="0"/>
            </w:tcBorders>
            <w:vAlign w:val="center"/>
          </w:tcPr>
          <w:p>
            <w:pPr>
              <w:widowControl/>
              <w:adjustRightInd w:val="0"/>
              <w:snapToGrid w:val="0"/>
              <w:spacing w:line="340" w:lineRule="exact"/>
              <w:jc w:val="center"/>
              <w:rPr>
                <w:rFonts w:ascii="仿宋" w:hAnsi="仿宋" w:eastAsia="仿宋" w:cs="Times New Roman"/>
                <w:kern w:val="0"/>
                <w:sz w:val="24"/>
                <w:szCs w:val="24"/>
              </w:rPr>
            </w:pPr>
            <w:r>
              <w:rPr>
                <w:rFonts w:hint="eastAsia" w:ascii="仿宋" w:hAnsi="仿宋" w:eastAsia="仿宋" w:cs="仿宋"/>
                <w:kern w:val="0"/>
                <w:sz w:val="24"/>
                <w:szCs w:val="24"/>
              </w:rPr>
              <w:t>一级指标</w:t>
            </w:r>
          </w:p>
        </w:tc>
        <w:tc>
          <w:tcPr>
            <w:tcW w:w="4200" w:type="dxa"/>
            <w:tcBorders>
              <w:top w:val="single" w:color="auto" w:sz="4" w:space="0"/>
            </w:tcBorders>
            <w:shd w:val="clear" w:color="000000" w:fill="FFFFFF"/>
            <w:vAlign w:val="center"/>
          </w:tcPr>
          <w:p>
            <w:pPr>
              <w:widowControl/>
              <w:adjustRightInd w:val="0"/>
              <w:snapToGrid w:val="0"/>
              <w:spacing w:line="340" w:lineRule="exact"/>
              <w:jc w:val="center"/>
              <w:rPr>
                <w:rFonts w:ascii="仿宋" w:hAnsi="仿宋" w:eastAsia="仿宋" w:cs="Times New Roman"/>
                <w:kern w:val="0"/>
                <w:sz w:val="24"/>
                <w:szCs w:val="24"/>
              </w:rPr>
            </w:pPr>
            <w:r>
              <w:rPr>
                <w:rFonts w:hint="eastAsia" w:ascii="仿宋" w:hAnsi="仿宋" w:eastAsia="仿宋" w:cs="仿宋"/>
                <w:kern w:val="0"/>
                <w:sz w:val="24"/>
                <w:szCs w:val="24"/>
              </w:rPr>
              <w:t>二级指标</w:t>
            </w:r>
          </w:p>
        </w:tc>
        <w:tc>
          <w:tcPr>
            <w:tcW w:w="1152" w:type="dxa"/>
            <w:shd w:val="clear" w:color="000000" w:fill="FFFFFF"/>
            <w:noWrap/>
            <w:vAlign w:val="center"/>
          </w:tcPr>
          <w:p>
            <w:pPr>
              <w:widowControl/>
              <w:adjustRightInd w:val="0"/>
              <w:snapToGrid w:val="0"/>
              <w:spacing w:line="340" w:lineRule="exact"/>
              <w:jc w:val="center"/>
              <w:rPr>
                <w:rFonts w:ascii="仿宋" w:hAnsi="仿宋" w:eastAsia="仿宋" w:cs="Times New Roman"/>
                <w:kern w:val="0"/>
                <w:sz w:val="24"/>
                <w:szCs w:val="24"/>
              </w:rPr>
            </w:pPr>
            <w:r>
              <w:rPr>
                <w:rFonts w:hint="eastAsia" w:ascii="仿宋" w:hAnsi="仿宋" w:eastAsia="仿宋" w:cs="仿宋"/>
                <w:kern w:val="0"/>
                <w:sz w:val="24"/>
                <w:szCs w:val="24"/>
              </w:rPr>
              <w:t>基期值（</w:t>
            </w:r>
            <w:r>
              <w:rPr>
                <w:rFonts w:ascii="仿宋" w:hAnsi="仿宋" w:eastAsia="仿宋" w:cs="仿宋"/>
                <w:kern w:val="0"/>
                <w:sz w:val="24"/>
                <w:szCs w:val="24"/>
              </w:rPr>
              <w:t>2020</w:t>
            </w:r>
            <w:r>
              <w:rPr>
                <w:rFonts w:hint="eastAsia" w:ascii="仿宋" w:hAnsi="仿宋" w:eastAsia="仿宋" w:cs="仿宋"/>
                <w:kern w:val="0"/>
                <w:sz w:val="24"/>
                <w:szCs w:val="24"/>
              </w:rPr>
              <w:t>）</w:t>
            </w:r>
          </w:p>
        </w:tc>
        <w:tc>
          <w:tcPr>
            <w:tcW w:w="1285" w:type="dxa"/>
            <w:gridSpan w:val="2"/>
            <w:tcBorders>
              <w:right w:val="single" w:color="auto" w:sz="4" w:space="0"/>
            </w:tcBorders>
            <w:shd w:val="clear" w:color="000000" w:fill="FFFFFF"/>
            <w:noWrap/>
            <w:vAlign w:val="center"/>
          </w:tcPr>
          <w:p>
            <w:pPr>
              <w:widowControl/>
              <w:adjustRightInd w:val="0"/>
              <w:snapToGrid w:val="0"/>
              <w:spacing w:line="340" w:lineRule="exact"/>
              <w:jc w:val="center"/>
              <w:rPr>
                <w:rFonts w:ascii="仿宋" w:hAnsi="仿宋" w:eastAsia="仿宋" w:cs="Times New Roman"/>
                <w:kern w:val="0"/>
                <w:sz w:val="24"/>
                <w:szCs w:val="24"/>
              </w:rPr>
            </w:pPr>
            <w:r>
              <w:rPr>
                <w:rFonts w:hint="eastAsia" w:ascii="仿宋" w:hAnsi="仿宋" w:eastAsia="仿宋" w:cs="仿宋"/>
                <w:kern w:val="0"/>
                <w:sz w:val="24"/>
                <w:szCs w:val="24"/>
              </w:rPr>
              <w:t>目标值（</w:t>
            </w:r>
            <w:r>
              <w:rPr>
                <w:rFonts w:ascii="仿宋" w:hAnsi="仿宋" w:eastAsia="仿宋" w:cs="仿宋"/>
                <w:kern w:val="0"/>
                <w:sz w:val="24"/>
                <w:szCs w:val="24"/>
              </w:rPr>
              <w:t>2025</w:t>
            </w:r>
            <w:r>
              <w:rPr>
                <w:rFonts w:hint="eastAsia" w:ascii="仿宋" w:hAnsi="仿宋" w:eastAsia="仿宋" w:cs="仿宋"/>
                <w:kern w:val="0"/>
                <w:sz w:val="24"/>
                <w:szCs w:val="24"/>
              </w:rPr>
              <w:t>）</w:t>
            </w:r>
          </w:p>
        </w:tc>
        <w:tc>
          <w:tcPr>
            <w:tcW w:w="851" w:type="dxa"/>
            <w:tcBorders>
              <w:left w:val="single" w:color="auto" w:sz="4" w:space="0"/>
            </w:tcBorders>
            <w:shd w:val="clear" w:color="000000" w:fill="FFFFFF"/>
            <w:noWrap/>
            <w:vAlign w:val="center"/>
          </w:tcPr>
          <w:p>
            <w:pPr>
              <w:widowControl/>
              <w:adjustRightInd w:val="0"/>
              <w:snapToGrid w:val="0"/>
              <w:spacing w:line="340" w:lineRule="exact"/>
              <w:jc w:val="center"/>
              <w:rPr>
                <w:rFonts w:ascii="仿宋" w:hAnsi="仿宋" w:eastAsia="仿宋" w:cs="Times New Roman"/>
                <w:kern w:val="0"/>
                <w:sz w:val="24"/>
                <w:szCs w:val="24"/>
              </w:rPr>
            </w:pPr>
            <w:r>
              <w:rPr>
                <w:rFonts w:hint="eastAsia" w:ascii="仿宋" w:hAnsi="仿宋" w:eastAsia="仿宋" w:cs="仿宋"/>
                <w:kern w:val="0"/>
                <w:sz w:val="24"/>
                <w:szCs w:val="24"/>
              </w:rPr>
              <w:t>单位</w:t>
            </w:r>
          </w:p>
        </w:tc>
        <w:tc>
          <w:tcPr>
            <w:tcW w:w="992" w:type="dxa"/>
            <w:tcBorders>
              <w:left w:val="single" w:color="auto" w:sz="4" w:space="0"/>
            </w:tcBorders>
            <w:shd w:val="clear" w:color="000000" w:fill="FFFFFF"/>
            <w:vAlign w:val="center"/>
          </w:tcPr>
          <w:p>
            <w:pPr>
              <w:widowControl/>
              <w:adjustRightInd w:val="0"/>
              <w:snapToGrid w:val="0"/>
              <w:spacing w:line="340" w:lineRule="exact"/>
              <w:jc w:val="center"/>
              <w:rPr>
                <w:rFonts w:ascii="仿宋" w:hAnsi="仿宋" w:eastAsia="仿宋" w:cs="Times New Roman"/>
                <w:kern w:val="0"/>
                <w:sz w:val="24"/>
                <w:szCs w:val="24"/>
              </w:rPr>
            </w:pPr>
            <w:r>
              <w:rPr>
                <w:rFonts w:hint="eastAsia" w:ascii="仿宋" w:hAnsi="仿宋" w:eastAsia="仿宋" w:cs="仿宋"/>
                <w:kern w:val="0"/>
                <w:sz w:val="24"/>
                <w:szCs w:val="24"/>
              </w:rPr>
              <w:t>指标属性</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42" w:hRule="atLeast"/>
        </w:trPr>
        <w:tc>
          <w:tcPr>
            <w:tcW w:w="842" w:type="dxa"/>
            <w:vMerge w:val="restart"/>
            <w:vAlign w:val="center"/>
          </w:tcPr>
          <w:p>
            <w:pPr>
              <w:widowControl/>
              <w:adjustRightInd w:val="0"/>
              <w:snapToGrid w:val="0"/>
              <w:spacing w:line="340" w:lineRule="exact"/>
              <w:jc w:val="center"/>
              <w:rPr>
                <w:rFonts w:ascii="仿宋" w:hAnsi="仿宋" w:eastAsia="仿宋" w:cs="Times New Roman"/>
                <w:kern w:val="0"/>
                <w:sz w:val="24"/>
                <w:szCs w:val="24"/>
              </w:rPr>
            </w:pPr>
            <w:r>
              <w:rPr>
                <w:rFonts w:hint="eastAsia" w:ascii="仿宋" w:hAnsi="仿宋" w:eastAsia="仿宋" w:cs="仿宋"/>
                <w:kern w:val="0"/>
                <w:sz w:val="24"/>
                <w:szCs w:val="24"/>
              </w:rPr>
              <w:t>供应保障有力</w:t>
            </w:r>
          </w:p>
        </w:tc>
        <w:tc>
          <w:tcPr>
            <w:tcW w:w="4200" w:type="dxa"/>
            <w:shd w:val="clear" w:color="000000" w:fill="FFFFFF"/>
            <w:vAlign w:val="center"/>
          </w:tcPr>
          <w:p>
            <w:pPr>
              <w:widowControl/>
              <w:adjustRightInd w:val="0"/>
              <w:snapToGrid w:val="0"/>
              <w:spacing w:line="340" w:lineRule="exact"/>
              <w:jc w:val="center"/>
              <w:rPr>
                <w:rFonts w:ascii="仿宋" w:hAnsi="仿宋" w:eastAsia="仿宋" w:cs="Times New Roman"/>
                <w:kern w:val="0"/>
                <w:sz w:val="24"/>
                <w:szCs w:val="24"/>
              </w:rPr>
            </w:pPr>
            <w:r>
              <w:rPr>
                <w:rFonts w:hint="eastAsia" w:ascii="仿宋" w:hAnsi="仿宋" w:eastAsia="仿宋" w:cs="仿宋"/>
                <w:kern w:val="0"/>
                <w:sz w:val="24"/>
                <w:szCs w:val="24"/>
              </w:rPr>
              <w:t>粮食综合生产能力</w:t>
            </w:r>
          </w:p>
        </w:tc>
        <w:tc>
          <w:tcPr>
            <w:tcW w:w="1152" w:type="dxa"/>
            <w:shd w:val="clear" w:color="000000" w:fill="FFFFFF"/>
            <w:noWrap/>
            <w:vAlign w:val="center"/>
          </w:tcPr>
          <w:p>
            <w:pPr>
              <w:widowControl/>
              <w:spacing w:line="340" w:lineRule="exact"/>
              <w:jc w:val="center"/>
              <w:rPr>
                <w:rFonts w:ascii="仿宋" w:hAnsi="仿宋" w:eastAsia="仿宋" w:cs="仿宋"/>
                <w:kern w:val="0"/>
                <w:sz w:val="24"/>
                <w:szCs w:val="24"/>
              </w:rPr>
            </w:pPr>
            <w:r>
              <w:rPr>
                <w:rFonts w:ascii="仿宋" w:hAnsi="仿宋" w:eastAsia="仿宋" w:cs="仿宋"/>
                <w:kern w:val="0"/>
                <w:sz w:val="24"/>
                <w:szCs w:val="24"/>
              </w:rPr>
              <w:t>374.02</w:t>
            </w:r>
          </w:p>
        </w:tc>
        <w:tc>
          <w:tcPr>
            <w:tcW w:w="1285" w:type="dxa"/>
            <w:gridSpan w:val="2"/>
            <w:tcBorders>
              <w:right w:val="single" w:color="auto" w:sz="4" w:space="0"/>
            </w:tcBorders>
            <w:shd w:val="clear" w:color="000000" w:fill="FFFFFF"/>
            <w:noWrap/>
            <w:vAlign w:val="center"/>
          </w:tcPr>
          <w:p>
            <w:pPr>
              <w:widowControl/>
              <w:adjustRightInd w:val="0"/>
              <w:snapToGrid w:val="0"/>
              <w:spacing w:line="340" w:lineRule="exact"/>
              <w:jc w:val="center"/>
              <w:rPr>
                <w:rFonts w:ascii="仿宋" w:hAnsi="仿宋" w:eastAsia="仿宋" w:cs="仿宋"/>
                <w:kern w:val="0"/>
                <w:sz w:val="24"/>
                <w:szCs w:val="24"/>
              </w:rPr>
            </w:pPr>
            <w:r>
              <w:rPr>
                <w:rFonts w:ascii="仿宋" w:hAnsi="仿宋" w:eastAsia="仿宋" w:cs="仿宋"/>
                <w:kern w:val="0"/>
                <w:sz w:val="24"/>
                <w:szCs w:val="24"/>
              </w:rPr>
              <w:t>375</w:t>
            </w:r>
          </w:p>
        </w:tc>
        <w:tc>
          <w:tcPr>
            <w:tcW w:w="851" w:type="dxa"/>
            <w:tcBorders>
              <w:left w:val="single" w:color="auto" w:sz="4" w:space="0"/>
            </w:tcBorders>
            <w:shd w:val="clear" w:color="000000" w:fill="FFFFFF"/>
            <w:noWrap/>
            <w:vAlign w:val="center"/>
          </w:tcPr>
          <w:p>
            <w:pPr>
              <w:widowControl/>
              <w:adjustRightInd w:val="0"/>
              <w:snapToGrid w:val="0"/>
              <w:spacing w:line="340" w:lineRule="exact"/>
              <w:jc w:val="center"/>
              <w:rPr>
                <w:rFonts w:ascii="仿宋" w:hAnsi="仿宋" w:eastAsia="仿宋" w:cs="Times New Roman"/>
                <w:kern w:val="0"/>
                <w:sz w:val="24"/>
                <w:szCs w:val="24"/>
              </w:rPr>
            </w:pPr>
            <w:r>
              <w:rPr>
                <w:rFonts w:hint="eastAsia" w:ascii="仿宋" w:hAnsi="仿宋" w:eastAsia="仿宋" w:cs="仿宋"/>
                <w:kern w:val="0"/>
                <w:sz w:val="24"/>
                <w:szCs w:val="24"/>
              </w:rPr>
              <w:t>万吨</w:t>
            </w:r>
          </w:p>
        </w:tc>
        <w:tc>
          <w:tcPr>
            <w:tcW w:w="992" w:type="dxa"/>
            <w:tcBorders>
              <w:left w:val="single" w:color="auto" w:sz="4" w:space="0"/>
            </w:tcBorders>
            <w:shd w:val="clear" w:color="000000" w:fill="FFFFFF"/>
          </w:tcPr>
          <w:p>
            <w:pPr>
              <w:widowControl/>
              <w:adjustRightInd w:val="0"/>
              <w:snapToGrid w:val="0"/>
              <w:spacing w:line="340" w:lineRule="exact"/>
              <w:jc w:val="center"/>
              <w:rPr>
                <w:rFonts w:ascii="仿宋" w:hAnsi="仿宋" w:eastAsia="仿宋" w:cs="Times New Roman"/>
                <w:kern w:val="0"/>
                <w:sz w:val="24"/>
                <w:szCs w:val="24"/>
              </w:rPr>
            </w:pPr>
            <w:r>
              <w:rPr>
                <w:rFonts w:hint="eastAsia" w:ascii="仿宋" w:hAnsi="仿宋" w:eastAsia="仿宋" w:cs="仿宋"/>
                <w:kern w:val="0"/>
                <w:sz w:val="24"/>
                <w:szCs w:val="24"/>
              </w:rPr>
              <w:t>约束性</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11" w:hRule="atLeast"/>
        </w:trPr>
        <w:tc>
          <w:tcPr>
            <w:tcW w:w="842" w:type="dxa"/>
            <w:vMerge w:val="continue"/>
            <w:tcBorders>
              <w:bottom w:val="single" w:color="auto" w:sz="4" w:space="0"/>
            </w:tcBorders>
            <w:vAlign w:val="center"/>
          </w:tcPr>
          <w:p>
            <w:pPr>
              <w:widowControl/>
              <w:adjustRightInd w:val="0"/>
              <w:snapToGrid w:val="0"/>
              <w:spacing w:line="340" w:lineRule="exact"/>
              <w:jc w:val="left"/>
              <w:rPr>
                <w:rFonts w:ascii="仿宋" w:hAnsi="仿宋" w:eastAsia="仿宋" w:cs="Times New Roman"/>
                <w:kern w:val="0"/>
                <w:sz w:val="24"/>
                <w:szCs w:val="24"/>
              </w:rPr>
            </w:pPr>
          </w:p>
        </w:tc>
        <w:tc>
          <w:tcPr>
            <w:tcW w:w="4200" w:type="dxa"/>
            <w:tcBorders>
              <w:bottom w:val="single" w:color="auto" w:sz="4" w:space="0"/>
            </w:tcBorders>
            <w:shd w:val="clear" w:color="000000" w:fill="FFFFFF"/>
            <w:vAlign w:val="center"/>
          </w:tcPr>
          <w:p>
            <w:pPr>
              <w:widowControl/>
              <w:adjustRightInd w:val="0"/>
              <w:snapToGrid w:val="0"/>
              <w:spacing w:line="340" w:lineRule="exact"/>
              <w:jc w:val="center"/>
              <w:rPr>
                <w:rFonts w:ascii="仿宋" w:hAnsi="仿宋" w:eastAsia="仿宋" w:cs="Times New Roman"/>
                <w:kern w:val="0"/>
                <w:sz w:val="24"/>
                <w:szCs w:val="24"/>
              </w:rPr>
            </w:pPr>
            <w:r>
              <w:rPr>
                <w:rFonts w:hint="eastAsia" w:ascii="仿宋" w:hAnsi="仿宋" w:eastAsia="仿宋" w:cs="仿宋"/>
                <w:kern w:val="0"/>
                <w:sz w:val="24"/>
                <w:szCs w:val="24"/>
              </w:rPr>
              <w:t>肉类总产量</w:t>
            </w:r>
          </w:p>
        </w:tc>
        <w:tc>
          <w:tcPr>
            <w:tcW w:w="1152" w:type="dxa"/>
            <w:shd w:val="clear" w:color="000000" w:fill="FFFFFF"/>
            <w:noWrap/>
            <w:vAlign w:val="center"/>
          </w:tcPr>
          <w:p>
            <w:pPr>
              <w:widowControl/>
              <w:spacing w:line="340" w:lineRule="exact"/>
              <w:jc w:val="center"/>
              <w:rPr>
                <w:rFonts w:ascii="仿宋" w:hAnsi="仿宋" w:eastAsia="仿宋" w:cs="仿宋"/>
                <w:kern w:val="0"/>
                <w:sz w:val="24"/>
                <w:szCs w:val="24"/>
              </w:rPr>
            </w:pPr>
            <w:r>
              <w:rPr>
                <w:rFonts w:ascii="仿宋" w:hAnsi="仿宋" w:eastAsia="仿宋" w:cs="仿宋"/>
                <w:kern w:val="0"/>
                <w:sz w:val="24"/>
                <w:szCs w:val="24"/>
              </w:rPr>
              <w:t>42.39</w:t>
            </w:r>
          </w:p>
        </w:tc>
        <w:tc>
          <w:tcPr>
            <w:tcW w:w="1285" w:type="dxa"/>
            <w:gridSpan w:val="2"/>
            <w:tcBorders>
              <w:right w:val="single" w:color="auto" w:sz="4" w:space="0"/>
            </w:tcBorders>
            <w:shd w:val="clear" w:color="000000" w:fill="FFFFFF"/>
            <w:noWrap/>
            <w:vAlign w:val="center"/>
          </w:tcPr>
          <w:p>
            <w:pPr>
              <w:widowControl/>
              <w:spacing w:line="340" w:lineRule="exact"/>
              <w:jc w:val="center"/>
              <w:rPr>
                <w:rFonts w:ascii="仿宋" w:hAnsi="仿宋" w:eastAsia="仿宋" w:cs="Times New Roman"/>
                <w:kern w:val="0"/>
                <w:sz w:val="24"/>
                <w:szCs w:val="24"/>
              </w:rPr>
            </w:pPr>
            <w:r>
              <w:rPr>
                <w:rFonts w:ascii="仿宋" w:hAnsi="仿宋" w:eastAsia="仿宋" w:cs="仿宋"/>
                <w:kern w:val="0"/>
                <w:sz w:val="24"/>
                <w:szCs w:val="24"/>
              </w:rPr>
              <w:t>54</w:t>
            </w:r>
          </w:p>
        </w:tc>
        <w:tc>
          <w:tcPr>
            <w:tcW w:w="851" w:type="dxa"/>
            <w:shd w:val="clear" w:color="000000" w:fill="FFFFFF"/>
            <w:noWrap/>
            <w:vAlign w:val="center"/>
          </w:tcPr>
          <w:p>
            <w:pPr>
              <w:widowControl/>
              <w:adjustRightInd w:val="0"/>
              <w:snapToGrid w:val="0"/>
              <w:spacing w:line="340" w:lineRule="exact"/>
              <w:jc w:val="center"/>
              <w:rPr>
                <w:rFonts w:ascii="仿宋" w:hAnsi="仿宋" w:eastAsia="仿宋" w:cs="Times New Roman"/>
                <w:kern w:val="0"/>
                <w:sz w:val="24"/>
                <w:szCs w:val="24"/>
              </w:rPr>
            </w:pPr>
            <w:r>
              <w:rPr>
                <w:rFonts w:hint="eastAsia" w:ascii="仿宋" w:hAnsi="仿宋" w:eastAsia="仿宋" w:cs="仿宋"/>
                <w:kern w:val="0"/>
                <w:sz w:val="24"/>
                <w:szCs w:val="24"/>
              </w:rPr>
              <w:t>万吨</w:t>
            </w:r>
          </w:p>
        </w:tc>
        <w:tc>
          <w:tcPr>
            <w:tcW w:w="992" w:type="dxa"/>
            <w:shd w:val="clear" w:color="000000" w:fill="FFFFFF"/>
          </w:tcPr>
          <w:p>
            <w:pPr>
              <w:widowControl/>
              <w:adjustRightInd w:val="0"/>
              <w:snapToGrid w:val="0"/>
              <w:spacing w:line="340" w:lineRule="exact"/>
              <w:jc w:val="center"/>
              <w:rPr>
                <w:rFonts w:ascii="仿宋" w:hAnsi="仿宋" w:eastAsia="仿宋" w:cs="Times New Roman"/>
                <w:kern w:val="0"/>
                <w:sz w:val="24"/>
                <w:szCs w:val="24"/>
              </w:rPr>
            </w:pPr>
            <w:r>
              <w:rPr>
                <w:rFonts w:hint="eastAsia" w:ascii="仿宋" w:hAnsi="仿宋" w:eastAsia="仿宋" w:cs="仿宋"/>
                <w:kern w:val="0"/>
                <w:sz w:val="24"/>
                <w:szCs w:val="24"/>
              </w:rPr>
              <w:t>预期性</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63" w:hRule="atLeast"/>
        </w:trPr>
        <w:tc>
          <w:tcPr>
            <w:tcW w:w="842" w:type="dxa"/>
            <w:vMerge w:val="continue"/>
            <w:tcBorders>
              <w:bottom w:val="single" w:color="auto" w:sz="4" w:space="0"/>
            </w:tcBorders>
            <w:vAlign w:val="center"/>
          </w:tcPr>
          <w:p>
            <w:pPr>
              <w:widowControl/>
              <w:adjustRightInd w:val="0"/>
              <w:snapToGrid w:val="0"/>
              <w:spacing w:line="340" w:lineRule="exact"/>
              <w:jc w:val="left"/>
              <w:rPr>
                <w:rFonts w:ascii="仿宋" w:hAnsi="仿宋" w:eastAsia="仿宋" w:cs="Times New Roman"/>
                <w:kern w:val="0"/>
                <w:sz w:val="24"/>
                <w:szCs w:val="24"/>
              </w:rPr>
            </w:pPr>
          </w:p>
        </w:tc>
        <w:tc>
          <w:tcPr>
            <w:tcW w:w="4200" w:type="dxa"/>
            <w:tcBorders>
              <w:bottom w:val="single" w:color="auto" w:sz="4" w:space="0"/>
            </w:tcBorders>
            <w:shd w:val="clear" w:color="000000" w:fill="FFFFFF"/>
            <w:vAlign w:val="center"/>
          </w:tcPr>
          <w:p>
            <w:pPr>
              <w:widowControl/>
              <w:adjustRightInd w:val="0"/>
              <w:snapToGrid w:val="0"/>
              <w:spacing w:line="340" w:lineRule="exact"/>
              <w:jc w:val="center"/>
              <w:rPr>
                <w:rFonts w:ascii="仿宋" w:hAnsi="仿宋" w:eastAsia="仿宋" w:cs="Times New Roman"/>
                <w:kern w:val="0"/>
                <w:sz w:val="24"/>
                <w:szCs w:val="24"/>
              </w:rPr>
            </w:pPr>
            <w:r>
              <w:rPr>
                <w:rFonts w:hint="eastAsia" w:ascii="仿宋" w:hAnsi="仿宋" w:eastAsia="仿宋" w:cs="仿宋"/>
                <w:kern w:val="0"/>
                <w:sz w:val="24"/>
                <w:szCs w:val="24"/>
              </w:rPr>
              <w:t>蔬菜总产量</w:t>
            </w:r>
          </w:p>
        </w:tc>
        <w:tc>
          <w:tcPr>
            <w:tcW w:w="1152" w:type="dxa"/>
            <w:shd w:val="clear" w:color="000000" w:fill="FFFFFF"/>
            <w:noWrap/>
            <w:vAlign w:val="center"/>
          </w:tcPr>
          <w:p>
            <w:pPr>
              <w:widowControl/>
              <w:spacing w:line="340" w:lineRule="exact"/>
              <w:jc w:val="center"/>
              <w:rPr>
                <w:rFonts w:ascii="仿宋" w:hAnsi="仿宋" w:eastAsia="仿宋" w:cs="仿宋"/>
                <w:kern w:val="0"/>
                <w:sz w:val="24"/>
                <w:szCs w:val="24"/>
              </w:rPr>
            </w:pPr>
            <w:r>
              <w:rPr>
                <w:rFonts w:ascii="仿宋" w:hAnsi="仿宋" w:eastAsia="仿宋" w:cs="仿宋"/>
                <w:kern w:val="0"/>
                <w:sz w:val="24"/>
                <w:szCs w:val="24"/>
              </w:rPr>
              <w:t>196.37</w:t>
            </w:r>
          </w:p>
        </w:tc>
        <w:tc>
          <w:tcPr>
            <w:tcW w:w="1285" w:type="dxa"/>
            <w:gridSpan w:val="2"/>
            <w:tcBorders>
              <w:right w:val="single" w:color="auto" w:sz="4" w:space="0"/>
            </w:tcBorders>
            <w:shd w:val="clear" w:color="000000" w:fill="FFFFFF"/>
            <w:noWrap/>
            <w:vAlign w:val="center"/>
          </w:tcPr>
          <w:p>
            <w:pPr>
              <w:widowControl/>
              <w:spacing w:line="340" w:lineRule="exact"/>
              <w:jc w:val="center"/>
              <w:rPr>
                <w:rFonts w:ascii="仿宋" w:hAnsi="仿宋" w:eastAsia="仿宋" w:cs="仿宋"/>
                <w:kern w:val="0"/>
                <w:sz w:val="24"/>
                <w:szCs w:val="24"/>
              </w:rPr>
            </w:pPr>
            <w:r>
              <w:rPr>
                <w:rFonts w:ascii="仿宋" w:hAnsi="仿宋" w:eastAsia="仿宋" w:cs="仿宋"/>
                <w:kern w:val="0"/>
                <w:sz w:val="24"/>
                <w:szCs w:val="24"/>
              </w:rPr>
              <w:t>203</w:t>
            </w:r>
          </w:p>
        </w:tc>
        <w:tc>
          <w:tcPr>
            <w:tcW w:w="851" w:type="dxa"/>
            <w:shd w:val="clear" w:color="000000" w:fill="FFFFFF"/>
            <w:noWrap/>
            <w:vAlign w:val="center"/>
          </w:tcPr>
          <w:p>
            <w:pPr>
              <w:widowControl/>
              <w:adjustRightInd w:val="0"/>
              <w:snapToGrid w:val="0"/>
              <w:spacing w:line="340" w:lineRule="exact"/>
              <w:jc w:val="center"/>
              <w:rPr>
                <w:rFonts w:ascii="仿宋" w:hAnsi="仿宋" w:eastAsia="仿宋" w:cs="Times New Roman"/>
                <w:kern w:val="0"/>
                <w:sz w:val="24"/>
                <w:szCs w:val="24"/>
              </w:rPr>
            </w:pPr>
            <w:r>
              <w:rPr>
                <w:rFonts w:hint="eastAsia" w:ascii="仿宋" w:hAnsi="仿宋" w:eastAsia="仿宋" w:cs="仿宋"/>
                <w:kern w:val="0"/>
                <w:sz w:val="24"/>
                <w:szCs w:val="24"/>
              </w:rPr>
              <w:t>万吨</w:t>
            </w:r>
          </w:p>
        </w:tc>
        <w:tc>
          <w:tcPr>
            <w:tcW w:w="992" w:type="dxa"/>
            <w:shd w:val="clear" w:color="000000" w:fill="FFFFFF"/>
          </w:tcPr>
          <w:p>
            <w:pPr>
              <w:widowControl/>
              <w:adjustRightInd w:val="0"/>
              <w:snapToGrid w:val="0"/>
              <w:spacing w:line="340" w:lineRule="exact"/>
              <w:jc w:val="center"/>
              <w:rPr>
                <w:rFonts w:ascii="仿宋" w:hAnsi="仿宋" w:eastAsia="仿宋" w:cs="Times New Roman"/>
                <w:kern w:val="0"/>
                <w:sz w:val="24"/>
                <w:szCs w:val="24"/>
              </w:rPr>
            </w:pPr>
            <w:r>
              <w:rPr>
                <w:rFonts w:hint="eastAsia" w:ascii="仿宋" w:hAnsi="仿宋" w:eastAsia="仿宋" w:cs="仿宋"/>
                <w:kern w:val="0"/>
                <w:sz w:val="24"/>
                <w:szCs w:val="24"/>
              </w:rPr>
              <w:t>预期性</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93" w:hRule="atLeast"/>
        </w:trPr>
        <w:tc>
          <w:tcPr>
            <w:tcW w:w="842" w:type="dxa"/>
            <w:vMerge w:val="restart"/>
            <w:tcBorders>
              <w:top w:val="single" w:color="auto" w:sz="4" w:space="0"/>
            </w:tcBorders>
            <w:vAlign w:val="center"/>
          </w:tcPr>
          <w:p>
            <w:pPr>
              <w:widowControl/>
              <w:adjustRightInd w:val="0"/>
              <w:snapToGrid w:val="0"/>
              <w:spacing w:line="340" w:lineRule="exact"/>
              <w:jc w:val="left"/>
              <w:rPr>
                <w:rFonts w:ascii="仿宋" w:hAnsi="仿宋" w:eastAsia="仿宋" w:cs="Times New Roman"/>
                <w:kern w:val="0"/>
                <w:sz w:val="24"/>
                <w:szCs w:val="24"/>
              </w:rPr>
            </w:pPr>
            <w:r>
              <w:rPr>
                <w:rFonts w:hint="eastAsia" w:ascii="仿宋" w:hAnsi="仿宋" w:eastAsia="仿宋" w:cs="仿宋"/>
                <w:kern w:val="0"/>
                <w:sz w:val="24"/>
                <w:szCs w:val="24"/>
              </w:rPr>
              <w:t>农业高质高效</w:t>
            </w:r>
          </w:p>
        </w:tc>
        <w:tc>
          <w:tcPr>
            <w:tcW w:w="4200" w:type="dxa"/>
            <w:tcBorders>
              <w:top w:val="single" w:color="auto" w:sz="4" w:space="0"/>
            </w:tcBorders>
            <w:shd w:val="clear" w:color="000000" w:fill="FFFFFF"/>
            <w:vAlign w:val="center"/>
          </w:tcPr>
          <w:p>
            <w:pPr>
              <w:widowControl/>
              <w:adjustRightInd w:val="0"/>
              <w:snapToGrid w:val="0"/>
              <w:spacing w:line="340" w:lineRule="exact"/>
              <w:jc w:val="center"/>
              <w:rPr>
                <w:rFonts w:ascii="仿宋" w:hAnsi="仿宋" w:eastAsia="仿宋" w:cs="Times New Roman"/>
                <w:kern w:val="0"/>
                <w:sz w:val="24"/>
                <w:szCs w:val="24"/>
              </w:rPr>
            </w:pPr>
            <w:r>
              <w:rPr>
                <w:rFonts w:hint="eastAsia" w:ascii="仿宋" w:hAnsi="仿宋" w:eastAsia="仿宋" w:cs="仿宋"/>
                <w:kern w:val="0"/>
                <w:sz w:val="24"/>
                <w:szCs w:val="24"/>
              </w:rPr>
              <w:t>农业科技进步贡献率</w:t>
            </w:r>
          </w:p>
        </w:tc>
        <w:tc>
          <w:tcPr>
            <w:tcW w:w="1152" w:type="dxa"/>
            <w:shd w:val="clear" w:color="000000" w:fill="FFFFFF"/>
            <w:noWrap/>
            <w:vAlign w:val="center"/>
          </w:tcPr>
          <w:p>
            <w:pPr>
              <w:widowControl/>
              <w:adjustRightInd w:val="0"/>
              <w:snapToGrid w:val="0"/>
              <w:spacing w:line="340" w:lineRule="exact"/>
              <w:jc w:val="center"/>
              <w:rPr>
                <w:rFonts w:ascii="仿宋" w:hAnsi="仿宋" w:eastAsia="仿宋" w:cs="仿宋"/>
                <w:kern w:val="0"/>
                <w:sz w:val="24"/>
                <w:szCs w:val="24"/>
              </w:rPr>
            </w:pPr>
            <w:r>
              <w:rPr>
                <w:rFonts w:ascii="仿宋" w:hAnsi="仿宋" w:eastAsia="仿宋" w:cs="仿宋"/>
                <w:kern w:val="0"/>
                <w:sz w:val="24"/>
                <w:szCs w:val="24"/>
              </w:rPr>
              <w:t>60.2</w:t>
            </w:r>
          </w:p>
        </w:tc>
        <w:tc>
          <w:tcPr>
            <w:tcW w:w="1285" w:type="dxa"/>
            <w:gridSpan w:val="2"/>
            <w:tcBorders>
              <w:right w:val="single" w:color="auto" w:sz="4" w:space="0"/>
            </w:tcBorders>
            <w:shd w:val="clear" w:color="000000" w:fill="FFFFFF"/>
            <w:noWrap/>
            <w:vAlign w:val="center"/>
          </w:tcPr>
          <w:p>
            <w:pPr>
              <w:widowControl/>
              <w:adjustRightInd w:val="0"/>
              <w:snapToGrid w:val="0"/>
              <w:spacing w:line="340" w:lineRule="exact"/>
              <w:jc w:val="center"/>
              <w:rPr>
                <w:rFonts w:ascii="仿宋" w:hAnsi="仿宋" w:eastAsia="仿宋" w:cs="仿宋"/>
                <w:kern w:val="0"/>
                <w:sz w:val="24"/>
                <w:szCs w:val="24"/>
              </w:rPr>
            </w:pPr>
            <w:r>
              <w:rPr>
                <w:rFonts w:ascii="仿宋" w:hAnsi="仿宋" w:eastAsia="仿宋" w:cs="仿宋"/>
                <w:kern w:val="0"/>
                <w:sz w:val="24"/>
                <w:szCs w:val="24"/>
              </w:rPr>
              <w:t>65</w:t>
            </w:r>
          </w:p>
        </w:tc>
        <w:tc>
          <w:tcPr>
            <w:tcW w:w="851" w:type="dxa"/>
            <w:shd w:val="clear" w:color="000000" w:fill="FFFFFF"/>
            <w:noWrap/>
            <w:vAlign w:val="center"/>
          </w:tcPr>
          <w:p>
            <w:pPr>
              <w:widowControl/>
              <w:adjustRightInd w:val="0"/>
              <w:snapToGrid w:val="0"/>
              <w:spacing w:line="340" w:lineRule="exact"/>
              <w:jc w:val="center"/>
              <w:rPr>
                <w:rFonts w:ascii="仿宋" w:hAnsi="仿宋" w:eastAsia="仿宋" w:cs="仿宋"/>
                <w:kern w:val="0"/>
                <w:sz w:val="24"/>
                <w:szCs w:val="24"/>
              </w:rPr>
            </w:pPr>
            <w:r>
              <w:rPr>
                <w:rFonts w:ascii="仿宋" w:hAnsi="仿宋" w:eastAsia="仿宋" w:cs="仿宋"/>
                <w:kern w:val="0"/>
                <w:sz w:val="24"/>
                <w:szCs w:val="24"/>
              </w:rPr>
              <w:t>%</w:t>
            </w:r>
          </w:p>
        </w:tc>
        <w:tc>
          <w:tcPr>
            <w:tcW w:w="992" w:type="dxa"/>
            <w:shd w:val="clear" w:color="000000" w:fill="FFFFFF"/>
          </w:tcPr>
          <w:p>
            <w:pPr>
              <w:widowControl/>
              <w:adjustRightInd w:val="0"/>
              <w:snapToGrid w:val="0"/>
              <w:spacing w:line="340" w:lineRule="exact"/>
              <w:jc w:val="center"/>
              <w:rPr>
                <w:rFonts w:ascii="仿宋" w:hAnsi="仿宋" w:eastAsia="仿宋" w:cs="Times New Roman"/>
                <w:kern w:val="0"/>
                <w:sz w:val="24"/>
                <w:szCs w:val="24"/>
              </w:rPr>
            </w:pPr>
            <w:r>
              <w:rPr>
                <w:rFonts w:hint="eastAsia" w:ascii="仿宋" w:hAnsi="仿宋" w:eastAsia="仿宋" w:cs="仿宋"/>
                <w:kern w:val="0"/>
                <w:sz w:val="24"/>
                <w:szCs w:val="24"/>
              </w:rPr>
              <w:t>预期性</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93" w:hRule="atLeast"/>
        </w:trPr>
        <w:tc>
          <w:tcPr>
            <w:tcW w:w="842" w:type="dxa"/>
            <w:vMerge w:val="continue"/>
            <w:vAlign w:val="center"/>
          </w:tcPr>
          <w:p>
            <w:pPr>
              <w:widowControl/>
              <w:adjustRightInd w:val="0"/>
              <w:snapToGrid w:val="0"/>
              <w:spacing w:line="340" w:lineRule="exact"/>
              <w:jc w:val="left"/>
              <w:rPr>
                <w:rFonts w:ascii="仿宋" w:hAnsi="仿宋" w:eastAsia="仿宋" w:cs="Times New Roman"/>
                <w:kern w:val="0"/>
                <w:sz w:val="24"/>
                <w:szCs w:val="24"/>
              </w:rPr>
            </w:pPr>
          </w:p>
        </w:tc>
        <w:tc>
          <w:tcPr>
            <w:tcW w:w="4200" w:type="dxa"/>
            <w:shd w:val="clear" w:color="000000" w:fill="FFFFFF"/>
            <w:vAlign w:val="center"/>
          </w:tcPr>
          <w:p>
            <w:pPr>
              <w:widowControl/>
              <w:adjustRightInd w:val="0"/>
              <w:snapToGrid w:val="0"/>
              <w:spacing w:line="340" w:lineRule="exact"/>
              <w:jc w:val="center"/>
              <w:rPr>
                <w:rFonts w:ascii="仿宋" w:hAnsi="仿宋" w:eastAsia="仿宋" w:cs="Times New Roman"/>
                <w:kern w:val="0"/>
                <w:sz w:val="24"/>
                <w:szCs w:val="24"/>
              </w:rPr>
            </w:pPr>
            <w:r>
              <w:rPr>
                <w:rFonts w:hint="eastAsia" w:ascii="仿宋" w:hAnsi="仿宋" w:eastAsia="仿宋" w:cs="仿宋"/>
                <w:kern w:val="0"/>
                <w:sz w:val="24"/>
                <w:szCs w:val="24"/>
              </w:rPr>
              <w:t>富硒农产品基地</w:t>
            </w:r>
          </w:p>
        </w:tc>
        <w:tc>
          <w:tcPr>
            <w:tcW w:w="1152" w:type="dxa"/>
            <w:shd w:val="clear" w:color="000000" w:fill="FFFFFF"/>
            <w:noWrap/>
            <w:vAlign w:val="center"/>
          </w:tcPr>
          <w:p>
            <w:pPr>
              <w:widowControl/>
              <w:adjustRightInd w:val="0"/>
              <w:snapToGrid w:val="0"/>
              <w:spacing w:line="340" w:lineRule="exact"/>
              <w:jc w:val="center"/>
              <w:rPr>
                <w:rFonts w:ascii="仿宋" w:hAnsi="仿宋" w:eastAsia="仿宋" w:cs="仿宋"/>
                <w:kern w:val="0"/>
                <w:sz w:val="24"/>
                <w:szCs w:val="24"/>
              </w:rPr>
            </w:pPr>
            <w:r>
              <w:rPr>
                <w:rFonts w:ascii="仿宋" w:hAnsi="仿宋" w:eastAsia="仿宋" w:cs="仿宋"/>
                <w:kern w:val="0"/>
                <w:sz w:val="24"/>
                <w:szCs w:val="24"/>
              </w:rPr>
              <w:t>102.1</w:t>
            </w:r>
          </w:p>
        </w:tc>
        <w:tc>
          <w:tcPr>
            <w:tcW w:w="1285" w:type="dxa"/>
            <w:gridSpan w:val="2"/>
            <w:tcBorders>
              <w:right w:val="single" w:color="auto" w:sz="4" w:space="0"/>
            </w:tcBorders>
            <w:shd w:val="clear" w:color="000000" w:fill="FFFFFF"/>
            <w:noWrap/>
            <w:vAlign w:val="center"/>
          </w:tcPr>
          <w:p>
            <w:pPr>
              <w:widowControl/>
              <w:adjustRightInd w:val="0"/>
              <w:snapToGrid w:val="0"/>
              <w:spacing w:line="340" w:lineRule="exact"/>
              <w:jc w:val="center"/>
              <w:rPr>
                <w:rFonts w:ascii="仿宋" w:hAnsi="仿宋" w:eastAsia="仿宋" w:cs="仿宋"/>
                <w:kern w:val="0"/>
                <w:sz w:val="24"/>
                <w:szCs w:val="24"/>
              </w:rPr>
            </w:pPr>
            <w:r>
              <w:rPr>
                <w:rFonts w:ascii="仿宋" w:hAnsi="仿宋" w:eastAsia="仿宋" w:cs="仿宋"/>
                <w:kern w:val="0"/>
                <w:sz w:val="24"/>
                <w:szCs w:val="24"/>
              </w:rPr>
              <w:t>300</w:t>
            </w:r>
          </w:p>
        </w:tc>
        <w:tc>
          <w:tcPr>
            <w:tcW w:w="851" w:type="dxa"/>
            <w:shd w:val="clear" w:color="000000" w:fill="FFFFFF"/>
            <w:noWrap/>
            <w:vAlign w:val="center"/>
          </w:tcPr>
          <w:p>
            <w:pPr>
              <w:widowControl/>
              <w:adjustRightInd w:val="0"/>
              <w:snapToGrid w:val="0"/>
              <w:spacing w:line="340" w:lineRule="exact"/>
              <w:jc w:val="center"/>
              <w:rPr>
                <w:rFonts w:ascii="仿宋" w:hAnsi="仿宋" w:eastAsia="仿宋" w:cs="Times New Roman"/>
                <w:kern w:val="0"/>
                <w:sz w:val="24"/>
                <w:szCs w:val="24"/>
              </w:rPr>
            </w:pPr>
            <w:r>
              <w:rPr>
                <w:rFonts w:hint="eastAsia" w:ascii="仿宋" w:hAnsi="仿宋" w:eastAsia="仿宋" w:cs="仿宋"/>
                <w:kern w:val="0"/>
                <w:sz w:val="24"/>
                <w:szCs w:val="24"/>
              </w:rPr>
              <w:t>万亩</w:t>
            </w:r>
          </w:p>
        </w:tc>
        <w:tc>
          <w:tcPr>
            <w:tcW w:w="992" w:type="dxa"/>
            <w:shd w:val="clear" w:color="000000" w:fill="FFFFFF"/>
          </w:tcPr>
          <w:p>
            <w:pPr>
              <w:widowControl/>
              <w:adjustRightInd w:val="0"/>
              <w:snapToGrid w:val="0"/>
              <w:spacing w:line="340" w:lineRule="exact"/>
              <w:jc w:val="center"/>
              <w:rPr>
                <w:rFonts w:ascii="仿宋" w:hAnsi="仿宋" w:eastAsia="仿宋" w:cs="Times New Roman"/>
                <w:kern w:val="0"/>
                <w:sz w:val="24"/>
                <w:szCs w:val="24"/>
              </w:rPr>
            </w:pPr>
            <w:r>
              <w:rPr>
                <w:rFonts w:hint="eastAsia" w:ascii="仿宋" w:hAnsi="仿宋" w:eastAsia="仿宋" w:cs="仿宋"/>
                <w:kern w:val="0"/>
                <w:sz w:val="24"/>
                <w:szCs w:val="24"/>
              </w:rPr>
              <w:t>预期性</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93" w:hRule="atLeast"/>
        </w:trPr>
        <w:tc>
          <w:tcPr>
            <w:tcW w:w="842" w:type="dxa"/>
            <w:vMerge w:val="continue"/>
            <w:vAlign w:val="center"/>
          </w:tcPr>
          <w:p>
            <w:pPr>
              <w:widowControl/>
              <w:adjustRightInd w:val="0"/>
              <w:snapToGrid w:val="0"/>
              <w:spacing w:line="340" w:lineRule="exact"/>
              <w:jc w:val="left"/>
              <w:rPr>
                <w:rFonts w:ascii="仿宋" w:hAnsi="仿宋" w:eastAsia="仿宋" w:cs="Times New Roman"/>
                <w:kern w:val="0"/>
                <w:sz w:val="24"/>
                <w:szCs w:val="24"/>
              </w:rPr>
            </w:pPr>
          </w:p>
        </w:tc>
        <w:tc>
          <w:tcPr>
            <w:tcW w:w="4200" w:type="dxa"/>
            <w:shd w:val="clear" w:color="000000" w:fill="FFFFFF"/>
            <w:vAlign w:val="center"/>
          </w:tcPr>
          <w:p>
            <w:pPr>
              <w:widowControl/>
              <w:adjustRightInd w:val="0"/>
              <w:snapToGrid w:val="0"/>
              <w:spacing w:line="340" w:lineRule="exact"/>
              <w:jc w:val="center"/>
              <w:rPr>
                <w:rFonts w:ascii="仿宋" w:hAnsi="仿宋" w:eastAsia="仿宋" w:cs="Times New Roman"/>
                <w:kern w:val="0"/>
                <w:sz w:val="24"/>
                <w:szCs w:val="24"/>
              </w:rPr>
            </w:pPr>
            <w:r>
              <w:rPr>
                <w:rFonts w:hint="eastAsia" w:ascii="仿宋" w:hAnsi="仿宋" w:eastAsia="仿宋" w:cs="仿宋"/>
                <w:kern w:val="0"/>
                <w:sz w:val="24"/>
                <w:szCs w:val="24"/>
              </w:rPr>
              <w:t>绿色食品原料基地面积</w:t>
            </w:r>
          </w:p>
        </w:tc>
        <w:tc>
          <w:tcPr>
            <w:tcW w:w="1152" w:type="dxa"/>
            <w:shd w:val="clear" w:color="000000" w:fill="FFFFFF"/>
            <w:noWrap/>
            <w:vAlign w:val="center"/>
          </w:tcPr>
          <w:p>
            <w:pPr>
              <w:widowControl/>
              <w:adjustRightInd w:val="0"/>
              <w:snapToGrid w:val="0"/>
              <w:spacing w:line="340" w:lineRule="exact"/>
              <w:jc w:val="center"/>
              <w:rPr>
                <w:rFonts w:ascii="仿宋" w:hAnsi="仿宋" w:eastAsia="仿宋" w:cs="仿宋"/>
                <w:kern w:val="0"/>
                <w:sz w:val="24"/>
                <w:szCs w:val="24"/>
              </w:rPr>
            </w:pPr>
            <w:r>
              <w:rPr>
                <w:rFonts w:ascii="仿宋" w:hAnsi="仿宋" w:eastAsia="仿宋" w:cs="仿宋"/>
                <w:kern w:val="0"/>
                <w:sz w:val="24"/>
                <w:szCs w:val="24"/>
              </w:rPr>
              <w:t>193.4</w:t>
            </w:r>
          </w:p>
        </w:tc>
        <w:tc>
          <w:tcPr>
            <w:tcW w:w="1285" w:type="dxa"/>
            <w:gridSpan w:val="2"/>
            <w:tcBorders>
              <w:right w:val="single" w:color="auto" w:sz="4" w:space="0"/>
            </w:tcBorders>
            <w:shd w:val="clear" w:color="000000" w:fill="FFFFFF"/>
            <w:noWrap/>
            <w:vAlign w:val="center"/>
          </w:tcPr>
          <w:p>
            <w:pPr>
              <w:widowControl/>
              <w:adjustRightInd w:val="0"/>
              <w:snapToGrid w:val="0"/>
              <w:spacing w:line="340" w:lineRule="exact"/>
              <w:jc w:val="center"/>
              <w:rPr>
                <w:rFonts w:ascii="仿宋" w:hAnsi="仿宋" w:eastAsia="仿宋" w:cs="仿宋"/>
                <w:kern w:val="0"/>
                <w:sz w:val="24"/>
                <w:szCs w:val="24"/>
              </w:rPr>
            </w:pPr>
            <w:r>
              <w:rPr>
                <w:rFonts w:ascii="仿宋" w:hAnsi="仿宋" w:eastAsia="仿宋" w:cs="仿宋"/>
                <w:kern w:val="0"/>
                <w:sz w:val="24"/>
                <w:szCs w:val="24"/>
              </w:rPr>
              <w:t>260</w:t>
            </w:r>
          </w:p>
        </w:tc>
        <w:tc>
          <w:tcPr>
            <w:tcW w:w="851" w:type="dxa"/>
            <w:shd w:val="clear" w:color="000000" w:fill="FFFFFF"/>
            <w:noWrap/>
            <w:vAlign w:val="center"/>
          </w:tcPr>
          <w:p>
            <w:pPr>
              <w:widowControl/>
              <w:adjustRightInd w:val="0"/>
              <w:snapToGrid w:val="0"/>
              <w:spacing w:line="340" w:lineRule="exact"/>
              <w:jc w:val="center"/>
              <w:rPr>
                <w:rFonts w:ascii="仿宋" w:hAnsi="仿宋" w:eastAsia="仿宋" w:cs="Times New Roman"/>
                <w:kern w:val="0"/>
                <w:sz w:val="24"/>
                <w:szCs w:val="24"/>
              </w:rPr>
            </w:pPr>
            <w:r>
              <w:rPr>
                <w:rFonts w:hint="eastAsia" w:ascii="仿宋" w:hAnsi="仿宋" w:eastAsia="仿宋" w:cs="仿宋"/>
                <w:kern w:val="0"/>
                <w:sz w:val="24"/>
                <w:szCs w:val="24"/>
              </w:rPr>
              <w:t>万亩</w:t>
            </w:r>
          </w:p>
        </w:tc>
        <w:tc>
          <w:tcPr>
            <w:tcW w:w="992" w:type="dxa"/>
            <w:shd w:val="clear" w:color="000000" w:fill="FFFFFF"/>
          </w:tcPr>
          <w:p>
            <w:pPr>
              <w:widowControl/>
              <w:adjustRightInd w:val="0"/>
              <w:snapToGrid w:val="0"/>
              <w:spacing w:line="340" w:lineRule="exact"/>
              <w:jc w:val="center"/>
              <w:rPr>
                <w:rFonts w:ascii="仿宋" w:hAnsi="仿宋" w:eastAsia="仿宋" w:cs="Times New Roman"/>
                <w:kern w:val="0"/>
                <w:sz w:val="24"/>
                <w:szCs w:val="24"/>
              </w:rPr>
            </w:pPr>
            <w:r>
              <w:rPr>
                <w:rFonts w:hint="eastAsia" w:ascii="仿宋" w:hAnsi="仿宋" w:eastAsia="仿宋" w:cs="仿宋"/>
                <w:kern w:val="0"/>
                <w:sz w:val="24"/>
                <w:szCs w:val="24"/>
              </w:rPr>
              <w:t>预期性</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90" w:hRule="atLeast"/>
        </w:trPr>
        <w:tc>
          <w:tcPr>
            <w:tcW w:w="842" w:type="dxa"/>
            <w:vMerge w:val="continue"/>
            <w:vAlign w:val="center"/>
          </w:tcPr>
          <w:p>
            <w:pPr>
              <w:widowControl/>
              <w:adjustRightInd w:val="0"/>
              <w:snapToGrid w:val="0"/>
              <w:spacing w:line="340" w:lineRule="exact"/>
              <w:jc w:val="left"/>
              <w:rPr>
                <w:rFonts w:ascii="仿宋" w:hAnsi="仿宋" w:eastAsia="仿宋" w:cs="Times New Roman"/>
                <w:kern w:val="0"/>
                <w:sz w:val="24"/>
                <w:szCs w:val="24"/>
              </w:rPr>
            </w:pPr>
          </w:p>
        </w:tc>
        <w:tc>
          <w:tcPr>
            <w:tcW w:w="4200" w:type="dxa"/>
            <w:shd w:val="clear" w:color="000000" w:fill="FFFFFF"/>
            <w:vAlign w:val="center"/>
          </w:tcPr>
          <w:p>
            <w:pPr>
              <w:widowControl/>
              <w:adjustRightInd w:val="0"/>
              <w:snapToGrid w:val="0"/>
              <w:spacing w:line="340" w:lineRule="exact"/>
              <w:jc w:val="center"/>
              <w:rPr>
                <w:rFonts w:ascii="仿宋" w:hAnsi="仿宋" w:eastAsia="仿宋" w:cs="Times New Roman"/>
                <w:kern w:val="0"/>
                <w:sz w:val="24"/>
                <w:szCs w:val="24"/>
              </w:rPr>
            </w:pPr>
            <w:r>
              <w:rPr>
                <w:rFonts w:hint="eastAsia" w:ascii="仿宋" w:hAnsi="仿宋" w:eastAsia="仿宋" w:cs="仿宋"/>
                <w:kern w:val="0"/>
                <w:sz w:val="24"/>
                <w:szCs w:val="24"/>
              </w:rPr>
              <w:t>有机农产品基地面积</w:t>
            </w:r>
          </w:p>
        </w:tc>
        <w:tc>
          <w:tcPr>
            <w:tcW w:w="1152" w:type="dxa"/>
            <w:shd w:val="clear" w:color="000000" w:fill="FFFFFF"/>
            <w:noWrap/>
            <w:vAlign w:val="center"/>
          </w:tcPr>
          <w:p>
            <w:pPr>
              <w:widowControl/>
              <w:adjustRightInd w:val="0"/>
              <w:snapToGrid w:val="0"/>
              <w:spacing w:line="340" w:lineRule="exact"/>
              <w:jc w:val="center"/>
              <w:rPr>
                <w:rFonts w:ascii="仿宋" w:hAnsi="仿宋" w:eastAsia="仿宋" w:cs="仿宋"/>
                <w:kern w:val="0"/>
                <w:sz w:val="24"/>
                <w:szCs w:val="24"/>
              </w:rPr>
            </w:pPr>
            <w:r>
              <w:rPr>
                <w:rFonts w:ascii="仿宋" w:hAnsi="仿宋" w:eastAsia="仿宋" w:cs="仿宋"/>
                <w:kern w:val="0"/>
                <w:sz w:val="24"/>
                <w:szCs w:val="24"/>
              </w:rPr>
              <w:t>210.5</w:t>
            </w:r>
          </w:p>
        </w:tc>
        <w:tc>
          <w:tcPr>
            <w:tcW w:w="1285" w:type="dxa"/>
            <w:gridSpan w:val="2"/>
            <w:tcBorders>
              <w:right w:val="single" w:color="auto" w:sz="4" w:space="0"/>
            </w:tcBorders>
            <w:shd w:val="clear" w:color="000000" w:fill="FFFFFF"/>
            <w:noWrap/>
            <w:vAlign w:val="center"/>
          </w:tcPr>
          <w:p>
            <w:pPr>
              <w:widowControl/>
              <w:adjustRightInd w:val="0"/>
              <w:snapToGrid w:val="0"/>
              <w:spacing w:line="340" w:lineRule="exact"/>
              <w:jc w:val="center"/>
              <w:rPr>
                <w:rFonts w:ascii="仿宋" w:hAnsi="仿宋" w:eastAsia="仿宋" w:cs="仿宋"/>
                <w:kern w:val="0"/>
                <w:sz w:val="24"/>
                <w:szCs w:val="24"/>
              </w:rPr>
            </w:pPr>
            <w:r>
              <w:rPr>
                <w:rFonts w:ascii="仿宋" w:hAnsi="仿宋" w:eastAsia="仿宋" w:cs="仿宋"/>
                <w:kern w:val="0"/>
                <w:sz w:val="24"/>
                <w:szCs w:val="24"/>
              </w:rPr>
              <w:t>280</w:t>
            </w:r>
          </w:p>
        </w:tc>
        <w:tc>
          <w:tcPr>
            <w:tcW w:w="851" w:type="dxa"/>
            <w:shd w:val="clear" w:color="000000" w:fill="FFFFFF"/>
            <w:noWrap/>
            <w:vAlign w:val="center"/>
          </w:tcPr>
          <w:p>
            <w:pPr>
              <w:widowControl/>
              <w:adjustRightInd w:val="0"/>
              <w:snapToGrid w:val="0"/>
              <w:spacing w:line="340" w:lineRule="exact"/>
              <w:jc w:val="center"/>
              <w:rPr>
                <w:rFonts w:ascii="仿宋" w:hAnsi="仿宋" w:eastAsia="仿宋" w:cs="Times New Roman"/>
                <w:kern w:val="0"/>
                <w:sz w:val="24"/>
                <w:szCs w:val="24"/>
              </w:rPr>
            </w:pPr>
            <w:r>
              <w:rPr>
                <w:rFonts w:hint="eastAsia" w:ascii="仿宋" w:hAnsi="仿宋" w:eastAsia="仿宋" w:cs="仿宋"/>
                <w:kern w:val="0"/>
                <w:sz w:val="24"/>
                <w:szCs w:val="24"/>
              </w:rPr>
              <w:t>万亩</w:t>
            </w:r>
          </w:p>
        </w:tc>
        <w:tc>
          <w:tcPr>
            <w:tcW w:w="992" w:type="dxa"/>
            <w:shd w:val="clear" w:color="000000" w:fill="FFFFFF"/>
          </w:tcPr>
          <w:p>
            <w:pPr>
              <w:widowControl/>
              <w:adjustRightInd w:val="0"/>
              <w:snapToGrid w:val="0"/>
              <w:spacing w:line="340" w:lineRule="exact"/>
              <w:jc w:val="center"/>
              <w:rPr>
                <w:rFonts w:ascii="仿宋" w:hAnsi="仿宋" w:eastAsia="仿宋" w:cs="Times New Roman"/>
                <w:kern w:val="0"/>
                <w:sz w:val="24"/>
                <w:szCs w:val="24"/>
              </w:rPr>
            </w:pPr>
            <w:r>
              <w:rPr>
                <w:rFonts w:hint="eastAsia" w:ascii="仿宋" w:hAnsi="仿宋" w:eastAsia="仿宋" w:cs="仿宋"/>
                <w:kern w:val="0"/>
                <w:sz w:val="24"/>
                <w:szCs w:val="24"/>
              </w:rPr>
              <w:t>预期性</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93" w:hRule="atLeast"/>
        </w:trPr>
        <w:tc>
          <w:tcPr>
            <w:tcW w:w="842" w:type="dxa"/>
            <w:vMerge w:val="continue"/>
            <w:vAlign w:val="center"/>
          </w:tcPr>
          <w:p>
            <w:pPr>
              <w:widowControl/>
              <w:adjustRightInd w:val="0"/>
              <w:snapToGrid w:val="0"/>
              <w:spacing w:line="340" w:lineRule="exact"/>
              <w:jc w:val="left"/>
              <w:rPr>
                <w:rFonts w:ascii="仿宋" w:hAnsi="仿宋" w:eastAsia="仿宋" w:cs="Times New Roman"/>
                <w:kern w:val="0"/>
                <w:sz w:val="24"/>
                <w:szCs w:val="24"/>
              </w:rPr>
            </w:pPr>
          </w:p>
        </w:tc>
        <w:tc>
          <w:tcPr>
            <w:tcW w:w="4200" w:type="dxa"/>
            <w:shd w:val="clear" w:color="000000" w:fill="FFFFFF"/>
            <w:vAlign w:val="center"/>
          </w:tcPr>
          <w:p>
            <w:pPr>
              <w:widowControl/>
              <w:adjustRightInd w:val="0"/>
              <w:snapToGrid w:val="0"/>
              <w:spacing w:line="340" w:lineRule="exact"/>
              <w:jc w:val="center"/>
              <w:rPr>
                <w:rFonts w:ascii="仿宋" w:hAnsi="仿宋" w:eastAsia="仿宋" w:cs="Times New Roman"/>
                <w:kern w:val="0"/>
                <w:sz w:val="24"/>
                <w:szCs w:val="24"/>
              </w:rPr>
            </w:pPr>
            <w:r>
              <w:rPr>
                <w:rFonts w:hint="eastAsia" w:ascii="仿宋" w:hAnsi="仿宋" w:eastAsia="仿宋" w:cs="仿宋"/>
                <w:kern w:val="0"/>
                <w:sz w:val="24"/>
                <w:szCs w:val="24"/>
              </w:rPr>
              <w:t>高标准农田面积</w:t>
            </w:r>
          </w:p>
        </w:tc>
        <w:tc>
          <w:tcPr>
            <w:tcW w:w="1152" w:type="dxa"/>
            <w:shd w:val="clear" w:color="000000" w:fill="FFFFFF"/>
            <w:noWrap/>
            <w:vAlign w:val="center"/>
          </w:tcPr>
          <w:p>
            <w:pPr>
              <w:widowControl/>
              <w:adjustRightInd w:val="0"/>
              <w:snapToGrid w:val="0"/>
              <w:spacing w:line="340" w:lineRule="exact"/>
              <w:jc w:val="center"/>
              <w:rPr>
                <w:rFonts w:ascii="仿宋" w:eastAsia="仿宋" w:cs="仿宋"/>
                <w:kern w:val="0"/>
                <w:sz w:val="24"/>
                <w:szCs w:val="24"/>
              </w:rPr>
            </w:pPr>
            <w:r>
              <w:rPr>
                <w:rFonts w:ascii="仿宋" w:hAnsi="仿宋" w:eastAsia="仿宋" w:cs="仿宋"/>
                <w:kern w:val="0"/>
                <w:sz w:val="24"/>
                <w:szCs w:val="24"/>
              </w:rPr>
              <w:t>376.66</w:t>
            </w:r>
          </w:p>
        </w:tc>
        <w:tc>
          <w:tcPr>
            <w:tcW w:w="1285" w:type="dxa"/>
            <w:gridSpan w:val="2"/>
            <w:tcBorders>
              <w:right w:val="single" w:color="auto" w:sz="4" w:space="0"/>
            </w:tcBorders>
            <w:shd w:val="clear" w:color="000000" w:fill="FFFFFF"/>
            <w:noWrap/>
            <w:vAlign w:val="center"/>
          </w:tcPr>
          <w:p>
            <w:pPr>
              <w:widowControl/>
              <w:adjustRightInd w:val="0"/>
              <w:snapToGrid w:val="0"/>
              <w:spacing w:line="340" w:lineRule="exact"/>
              <w:jc w:val="center"/>
              <w:rPr>
                <w:rFonts w:ascii="仿宋" w:hAnsi="仿宋" w:eastAsia="仿宋" w:cs="仿宋"/>
                <w:kern w:val="0"/>
                <w:sz w:val="24"/>
                <w:szCs w:val="24"/>
              </w:rPr>
            </w:pPr>
            <w:r>
              <w:rPr>
                <w:rFonts w:ascii="仿宋" w:hAnsi="仿宋" w:eastAsia="仿宋" w:cs="仿宋"/>
                <w:kern w:val="0"/>
                <w:sz w:val="24"/>
                <w:szCs w:val="24"/>
              </w:rPr>
              <w:t>475</w:t>
            </w:r>
          </w:p>
        </w:tc>
        <w:tc>
          <w:tcPr>
            <w:tcW w:w="851" w:type="dxa"/>
            <w:shd w:val="clear" w:color="000000" w:fill="FFFFFF"/>
            <w:noWrap/>
            <w:vAlign w:val="center"/>
          </w:tcPr>
          <w:p>
            <w:pPr>
              <w:widowControl/>
              <w:adjustRightInd w:val="0"/>
              <w:snapToGrid w:val="0"/>
              <w:spacing w:line="340" w:lineRule="exact"/>
              <w:jc w:val="center"/>
              <w:rPr>
                <w:rFonts w:ascii="仿宋" w:hAnsi="仿宋" w:eastAsia="仿宋" w:cs="Times New Roman"/>
                <w:kern w:val="0"/>
                <w:sz w:val="24"/>
                <w:szCs w:val="24"/>
              </w:rPr>
            </w:pPr>
            <w:r>
              <w:rPr>
                <w:rFonts w:hint="eastAsia" w:ascii="仿宋" w:hAnsi="仿宋" w:eastAsia="仿宋" w:cs="仿宋"/>
                <w:kern w:val="0"/>
                <w:sz w:val="24"/>
                <w:szCs w:val="24"/>
              </w:rPr>
              <w:t>万亩</w:t>
            </w:r>
          </w:p>
        </w:tc>
        <w:tc>
          <w:tcPr>
            <w:tcW w:w="992" w:type="dxa"/>
            <w:shd w:val="clear" w:color="000000" w:fill="FFFFFF"/>
          </w:tcPr>
          <w:p>
            <w:pPr>
              <w:widowControl/>
              <w:adjustRightInd w:val="0"/>
              <w:snapToGrid w:val="0"/>
              <w:spacing w:line="340" w:lineRule="exact"/>
              <w:jc w:val="center"/>
              <w:rPr>
                <w:rFonts w:ascii="仿宋" w:hAnsi="仿宋" w:eastAsia="仿宋" w:cs="Times New Roman"/>
                <w:kern w:val="0"/>
                <w:sz w:val="24"/>
                <w:szCs w:val="24"/>
              </w:rPr>
            </w:pPr>
            <w:r>
              <w:rPr>
                <w:rFonts w:hint="eastAsia" w:ascii="仿宋" w:hAnsi="仿宋" w:eastAsia="仿宋" w:cs="仿宋"/>
                <w:kern w:val="0"/>
                <w:sz w:val="24"/>
                <w:szCs w:val="24"/>
              </w:rPr>
              <w:t>约束性</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93" w:hRule="atLeast"/>
        </w:trPr>
        <w:tc>
          <w:tcPr>
            <w:tcW w:w="842" w:type="dxa"/>
            <w:vMerge w:val="continue"/>
            <w:vAlign w:val="center"/>
          </w:tcPr>
          <w:p>
            <w:pPr>
              <w:widowControl/>
              <w:adjustRightInd w:val="0"/>
              <w:snapToGrid w:val="0"/>
              <w:spacing w:line="340" w:lineRule="exact"/>
              <w:jc w:val="left"/>
              <w:rPr>
                <w:rFonts w:ascii="仿宋" w:hAnsi="仿宋" w:eastAsia="仿宋" w:cs="Times New Roman"/>
                <w:kern w:val="0"/>
                <w:sz w:val="24"/>
                <w:szCs w:val="24"/>
              </w:rPr>
            </w:pPr>
          </w:p>
        </w:tc>
        <w:tc>
          <w:tcPr>
            <w:tcW w:w="4200" w:type="dxa"/>
            <w:shd w:val="clear" w:color="000000" w:fill="FFFFFF"/>
            <w:vAlign w:val="center"/>
          </w:tcPr>
          <w:p>
            <w:pPr>
              <w:widowControl/>
              <w:adjustRightInd w:val="0"/>
              <w:snapToGrid w:val="0"/>
              <w:spacing w:line="340" w:lineRule="exact"/>
              <w:jc w:val="center"/>
              <w:rPr>
                <w:rFonts w:ascii="仿宋" w:hAnsi="仿宋" w:eastAsia="仿宋" w:cs="Times New Roman"/>
                <w:kern w:val="0"/>
                <w:sz w:val="24"/>
                <w:szCs w:val="24"/>
              </w:rPr>
            </w:pPr>
            <w:r>
              <w:rPr>
                <w:rFonts w:hint="eastAsia" w:ascii="仿宋" w:hAnsi="仿宋" w:eastAsia="仿宋" w:cs="仿宋"/>
                <w:kern w:val="0"/>
                <w:sz w:val="24"/>
                <w:szCs w:val="24"/>
              </w:rPr>
              <w:t>农作物耕种收综合机械化率</w:t>
            </w:r>
          </w:p>
        </w:tc>
        <w:tc>
          <w:tcPr>
            <w:tcW w:w="1152" w:type="dxa"/>
            <w:shd w:val="clear" w:color="000000" w:fill="FFFFFF"/>
            <w:noWrap/>
            <w:vAlign w:val="center"/>
          </w:tcPr>
          <w:p>
            <w:pPr>
              <w:widowControl/>
              <w:adjustRightInd w:val="0"/>
              <w:snapToGrid w:val="0"/>
              <w:spacing w:line="340" w:lineRule="exact"/>
              <w:jc w:val="center"/>
              <w:rPr>
                <w:rFonts w:ascii="仿宋" w:hAnsi="仿宋" w:eastAsia="仿宋" w:cs="仿宋"/>
                <w:kern w:val="0"/>
                <w:sz w:val="24"/>
                <w:szCs w:val="24"/>
              </w:rPr>
            </w:pPr>
            <w:r>
              <w:rPr>
                <w:rFonts w:ascii="仿宋" w:hAnsi="仿宋" w:eastAsia="仿宋" w:cs="仿宋"/>
                <w:kern w:val="0"/>
                <w:sz w:val="24"/>
                <w:szCs w:val="24"/>
              </w:rPr>
              <w:t>72.64</w:t>
            </w:r>
          </w:p>
        </w:tc>
        <w:tc>
          <w:tcPr>
            <w:tcW w:w="1285" w:type="dxa"/>
            <w:gridSpan w:val="2"/>
            <w:tcBorders>
              <w:right w:val="single" w:color="auto" w:sz="4" w:space="0"/>
            </w:tcBorders>
            <w:shd w:val="clear" w:color="000000" w:fill="FFFFFF"/>
            <w:noWrap/>
            <w:vAlign w:val="center"/>
          </w:tcPr>
          <w:p>
            <w:pPr>
              <w:widowControl/>
              <w:adjustRightInd w:val="0"/>
              <w:snapToGrid w:val="0"/>
              <w:spacing w:line="340" w:lineRule="exact"/>
              <w:jc w:val="center"/>
              <w:rPr>
                <w:rFonts w:ascii="仿宋" w:hAnsi="仿宋" w:eastAsia="仿宋" w:cs="仿宋"/>
                <w:kern w:val="0"/>
                <w:sz w:val="24"/>
                <w:szCs w:val="24"/>
              </w:rPr>
            </w:pPr>
            <w:r>
              <w:rPr>
                <w:rFonts w:ascii="仿宋" w:hAnsi="仿宋" w:eastAsia="仿宋" w:cs="仿宋"/>
                <w:kern w:val="0"/>
                <w:sz w:val="24"/>
                <w:szCs w:val="24"/>
              </w:rPr>
              <w:t>80</w:t>
            </w:r>
          </w:p>
        </w:tc>
        <w:tc>
          <w:tcPr>
            <w:tcW w:w="851" w:type="dxa"/>
            <w:shd w:val="clear" w:color="000000" w:fill="FFFFFF"/>
            <w:noWrap/>
            <w:vAlign w:val="center"/>
          </w:tcPr>
          <w:p>
            <w:pPr>
              <w:widowControl/>
              <w:adjustRightInd w:val="0"/>
              <w:snapToGrid w:val="0"/>
              <w:spacing w:line="340" w:lineRule="exact"/>
              <w:jc w:val="center"/>
              <w:rPr>
                <w:rFonts w:ascii="仿宋" w:hAnsi="仿宋" w:eastAsia="仿宋" w:cs="仿宋"/>
                <w:kern w:val="0"/>
                <w:sz w:val="24"/>
                <w:szCs w:val="24"/>
              </w:rPr>
            </w:pPr>
            <w:r>
              <w:rPr>
                <w:rFonts w:ascii="仿宋" w:hAnsi="仿宋" w:eastAsia="仿宋" w:cs="仿宋"/>
                <w:kern w:val="0"/>
                <w:sz w:val="24"/>
                <w:szCs w:val="24"/>
              </w:rPr>
              <w:t>%</w:t>
            </w:r>
          </w:p>
        </w:tc>
        <w:tc>
          <w:tcPr>
            <w:tcW w:w="992" w:type="dxa"/>
            <w:shd w:val="clear" w:color="000000" w:fill="FFFFFF"/>
          </w:tcPr>
          <w:p>
            <w:pPr>
              <w:widowControl/>
              <w:adjustRightInd w:val="0"/>
              <w:snapToGrid w:val="0"/>
              <w:spacing w:line="340" w:lineRule="exact"/>
              <w:jc w:val="center"/>
              <w:rPr>
                <w:rFonts w:ascii="仿宋" w:hAnsi="仿宋" w:eastAsia="仿宋" w:cs="Times New Roman"/>
                <w:kern w:val="0"/>
                <w:sz w:val="24"/>
                <w:szCs w:val="24"/>
              </w:rPr>
            </w:pPr>
            <w:r>
              <w:rPr>
                <w:rFonts w:hint="eastAsia" w:ascii="仿宋" w:hAnsi="仿宋" w:eastAsia="仿宋" w:cs="仿宋"/>
                <w:kern w:val="0"/>
                <w:sz w:val="24"/>
                <w:szCs w:val="24"/>
              </w:rPr>
              <w:t>预期性</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93" w:hRule="atLeast"/>
        </w:trPr>
        <w:tc>
          <w:tcPr>
            <w:tcW w:w="842" w:type="dxa"/>
            <w:vMerge w:val="continue"/>
            <w:vAlign w:val="center"/>
          </w:tcPr>
          <w:p>
            <w:pPr>
              <w:widowControl/>
              <w:adjustRightInd w:val="0"/>
              <w:snapToGrid w:val="0"/>
              <w:spacing w:line="340" w:lineRule="exact"/>
              <w:jc w:val="left"/>
              <w:rPr>
                <w:rFonts w:ascii="仿宋" w:hAnsi="仿宋" w:eastAsia="仿宋" w:cs="Times New Roman"/>
                <w:kern w:val="0"/>
                <w:sz w:val="24"/>
                <w:szCs w:val="24"/>
              </w:rPr>
            </w:pPr>
          </w:p>
        </w:tc>
        <w:tc>
          <w:tcPr>
            <w:tcW w:w="4200" w:type="dxa"/>
            <w:shd w:val="clear" w:color="000000" w:fill="FFFFFF"/>
            <w:vAlign w:val="center"/>
          </w:tcPr>
          <w:p>
            <w:pPr>
              <w:widowControl/>
              <w:adjustRightInd w:val="0"/>
              <w:snapToGrid w:val="0"/>
              <w:spacing w:line="340" w:lineRule="exact"/>
              <w:jc w:val="center"/>
              <w:rPr>
                <w:rFonts w:ascii="仿宋" w:hAnsi="仿宋" w:eastAsia="仿宋" w:cs="Times New Roman"/>
                <w:kern w:val="0"/>
                <w:sz w:val="24"/>
                <w:szCs w:val="24"/>
              </w:rPr>
            </w:pPr>
            <w:r>
              <w:rPr>
                <w:rFonts w:hint="eastAsia" w:ascii="仿宋" w:hAnsi="仿宋" w:eastAsia="仿宋" w:cs="仿宋"/>
                <w:kern w:val="0"/>
                <w:sz w:val="24"/>
                <w:szCs w:val="24"/>
              </w:rPr>
              <w:t>畜禽粪污综合利用率</w:t>
            </w:r>
          </w:p>
        </w:tc>
        <w:tc>
          <w:tcPr>
            <w:tcW w:w="1152" w:type="dxa"/>
            <w:shd w:val="clear" w:color="000000" w:fill="FFFFFF"/>
            <w:noWrap/>
            <w:vAlign w:val="center"/>
          </w:tcPr>
          <w:p>
            <w:pPr>
              <w:widowControl/>
              <w:adjustRightInd w:val="0"/>
              <w:snapToGrid w:val="0"/>
              <w:spacing w:line="340" w:lineRule="exact"/>
              <w:jc w:val="center"/>
              <w:rPr>
                <w:rFonts w:ascii="仿宋" w:hAnsi="仿宋" w:eastAsia="仿宋" w:cs="仿宋"/>
                <w:kern w:val="0"/>
                <w:sz w:val="24"/>
                <w:szCs w:val="24"/>
              </w:rPr>
            </w:pPr>
            <w:r>
              <w:rPr>
                <w:rFonts w:ascii="仿宋" w:hAnsi="仿宋" w:eastAsia="仿宋" w:cs="仿宋"/>
                <w:kern w:val="0"/>
                <w:sz w:val="24"/>
                <w:szCs w:val="24"/>
              </w:rPr>
              <w:t>93.6</w:t>
            </w:r>
          </w:p>
        </w:tc>
        <w:tc>
          <w:tcPr>
            <w:tcW w:w="1285" w:type="dxa"/>
            <w:gridSpan w:val="2"/>
            <w:tcBorders>
              <w:right w:val="single" w:color="auto" w:sz="4" w:space="0"/>
            </w:tcBorders>
            <w:shd w:val="clear" w:color="000000" w:fill="FFFFFF"/>
            <w:noWrap/>
            <w:vAlign w:val="center"/>
          </w:tcPr>
          <w:p>
            <w:pPr>
              <w:widowControl/>
              <w:adjustRightInd w:val="0"/>
              <w:snapToGrid w:val="0"/>
              <w:spacing w:line="340" w:lineRule="exact"/>
              <w:jc w:val="center"/>
              <w:rPr>
                <w:rFonts w:ascii="仿宋" w:hAnsi="仿宋" w:eastAsia="仿宋" w:cs="仿宋"/>
                <w:kern w:val="0"/>
                <w:sz w:val="24"/>
                <w:szCs w:val="24"/>
              </w:rPr>
            </w:pPr>
            <w:r>
              <w:rPr>
                <w:rFonts w:ascii="仿宋" w:hAnsi="仿宋" w:eastAsia="仿宋" w:cs="仿宋"/>
                <w:kern w:val="0"/>
                <w:sz w:val="24"/>
                <w:szCs w:val="24"/>
              </w:rPr>
              <w:t>95</w:t>
            </w:r>
          </w:p>
        </w:tc>
        <w:tc>
          <w:tcPr>
            <w:tcW w:w="851" w:type="dxa"/>
            <w:shd w:val="clear" w:color="000000" w:fill="FFFFFF"/>
            <w:noWrap/>
            <w:vAlign w:val="center"/>
          </w:tcPr>
          <w:p>
            <w:pPr>
              <w:widowControl/>
              <w:adjustRightInd w:val="0"/>
              <w:snapToGrid w:val="0"/>
              <w:spacing w:line="340" w:lineRule="exact"/>
              <w:jc w:val="center"/>
              <w:rPr>
                <w:rFonts w:ascii="仿宋" w:hAnsi="仿宋" w:eastAsia="仿宋" w:cs="仿宋"/>
                <w:kern w:val="0"/>
                <w:sz w:val="24"/>
                <w:szCs w:val="24"/>
              </w:rPr>
            </w:pPr>
            <w:r>
              <w:rPr>
                <w:rFonts w:ascii="仿宋" w:hAnsi="仿宋" w:eastAsia="仿宋" w:cs="仿宋"/>
                <w:kern w:val="0"/>
                <w:sz w:val="24"/>
                <w:szCs w:val="24"/>
              </w:rPr>
              <w:t>%</w:t>
            </w:r>
          </w:p>
        </w:tc>
        <w:tc>
          <w:tcPr>
            <w:tcW w:w="992" w:type="dxa"/>
            <w:shd w:val="clear" w:color="000000" w:fill="FFFFFF"/>
          </w:tcPr>
          <w:p>
            <w:pPr>
              <w:widowControl/>
              <w:adjustRightInd w:val="0"/>
              <w:snapToGrid w:val="0"/>
              <w:spacing w:line="340" w:lineRule="exact"/>
              <w:jc w:val="center"/>
              <w:rPr>
                <w:rFonts w:ascii="仿宋" w:hAnsi="仿宋" w:eastAsia="仿宋" w:cs="Times New Roman"/>
                <w:kern w:val="0"/>
                <w:sz w:val="24"/>
                <w:szCs w:val="24"/>
              </w:rPr>
            </w:pPr>
            <w:r>
              <w:rPr>
                <w:rFonts w:hint="eastAsia" w:ascii="仿宋" w:hAnsi="仿宋" w:eastAsia="仿宋" w:cs="仿宋"/>
                <w:kern w:val="0"/>
                <w:sz w:val="24"/>
                <w:szCs w:val="24"/>
              </w:rPr>
              <w:t>预期性</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93" w:hRule="atLeast"/>
        </w:trPr>
        <w:tc>
          <w:tcPr>
            <w:tcW w:w="842" w:type="dxa"/>
            <w:vMerge w:val="continue"/>
            <w:vAlign w:val="center"/>
          </w:tcPr>
          <w:p>
            <w:pPr>
              <w:widowControl/>
              <w:adjustRightInd w:val="0"/>
              <w:snapToGrid w:val="0"/>
              <w:spacing w:line="340" w:lineRule="exact"/>
              <w:jc w:val="left"/>
              <w:rPr>
                <w:rFonts w:ascii="仿宋" w:hAnsi="仿宋" w:eastAsia="仿宋" w:cs="Times New Roman"/>
                <w:kern w:val="0"/>
                <w:sz w:val="24"/>
                <w:szCs w:val="24"/>
              </w:rPr>
            </w:pPr>
          </w:p>
        </w:tc>
        <w:tc>
          <w:tcPr>
            <w:tcW w:w="4200" w:type="dxa"/>
            <w:shd w:val="clear" w:color="000000" w:fill="FFFFFF"/>
            <w:vAlign w:val="center"/>
          </w:tcPr>
          <w:p>
            <w:pPr>
              <w:widowControl/>
              <w:adjustRightInd w:val="0"/>
              <w:snapToGrid w:val="0"/>
              <w:spacing w:line="340" w:lineRule="exact"/>
              <w:jc w:val="center"/>
              <w:rPr>
                <w:rFonts w:ascii="仿宋" w:hAnsi="仿宋" w:eastAsia="仿宋" w:cs="Times New Roman"/>
                <w:kern w:val="0"/>
                <w:sz w:val="24"/>
                <w:szCs w:val="24"/>
              </w:rPr>
            </w:pPr>
            <w:r>
              <w:rPr>
                <w:rFonts w:hint="eastAsia" w:ascii="仿宋" w:hAnsi="仿宋" w:eastAsia="仿宋" w:cs="仿宋"/>
                <w:kern w:val="0"/>
                <w:sz w:val="24"/>
                <w:szCs w:val="24"/>
              </w:rPr>
              <w:t>农产品质量安全例行监测合格率</w:t>
            </w:r>
          </w:p>
        </w:tc>
        <w:tc>
          <w:tcPr>
            <w:tcW w:w="1152" w:type="dxa"/>
            <w:shd w:val="clear" w:color="000000" w:fill="FFFFFF"/>
            <w:noWrap/>
            <w:vAlign w:val="center"/>
          </w:tcPr>
          <w:p>
            <w:pPr>
              <w:widowControl/>
              <w:adjustRightInd w:val="0"/>
              <w:snapToGrid w:val="0"/>
              <w:spacing w:line="340" w:lineRule="exact"/>
              <w:jc w:val="center"/>
              <w:rPr>
                <w:rFonts w:ascii="仿宋" w:hAnsi="仿宋" w:eastAsia="仿宋" w:cs="仿宋"/>
                <w:kern w:val="0"/>
                <w:sz w:val="24"/>
                <w:szCs w:val="24"/>
              </w:rPr>
            </w:pPr>
            <w:r>
              <w:rPr>
                <w:rFonts w:ascii="仿宋" w:hAnsi="仿宋" w:eastAsia="仿宋" w:cs="仿宋"/>
                <w:kern w:val="0"/>
                <w:sz w:val="24"/>
                <w:szCs w:val="24"/>
              </w:rPr>
              <w:t>98</w:t>
            </w:r>
          </w:p>
        </w:tc>
        <w:tc>
          <w:tcPr>
            <w:tcW w:w="1285" w:type="dxa"/>
            <w:gridSpan w:val="2"/>
            <w:tcBorders>
              <w:right w:val="single" w:color="auto" w:sz="4" w:space="0"/>
            </w:tcBorders>
            <w:shd w:val="clear" w:color="000000" w:fill="FFFFFF"/>
            <w:noWrap/>
            <w:vAlign w:val="center"/>
          </w:tcPr>
          <w:p>
            <w:pPr>
              <w:widowControl/>
              <w:adjustRightInd w:val="0"/>
              <w:snapToGrid w:val="0"/>
              <w:spacing w:line="340" w:lineRule="exact"/>
              <w:jc w:val="center"/>
              <w:rPr>
                <w:rFonts w:ascii="仿宋" w:hAnsi="仿宋" w:eastAsia="仿宋" w:cs="仿宋"/>
                <w:kern w:val="0"/>
                <w:sz w:val="24"/>
                <w:szCs w:val="24"/>
              </w:rPr>
            </w:pPr>
            <w:r>
              <w:rPr>
                <w:rFonts w:ascii="仿宋" w:hAnsi="仿宋" w:eastAsia="仿宋" w:cs="仿宋"/>
                <w:kern w:val="0"/>
                <w:sz w:val="24"/>
                <w:szCs w:val="24"/>
              </w:rPr>
              <w:t>98</w:t>
            </w:r>
          </w:p>
        </w:tc>
        <w:tc>
          <w:tcPr>
            <w:tcW w:w="851" w:type="dxa"/>
            <w:shd w:val="clear" w:color="000000" w:fill="FFFFFF"/>
            <w:noWrap/>
            <w:vAlign w:val="center"/>
          </w:tcPr>
          <w:p>
            <w:pPr>
              <w:widowControl/>
              <w:adjustRightInd w:val="0"/>
              <w:snapToGrid w:val="0"/>
              <w:spacing w:line="340" w:lineRule="exact"/>
              <w:jc w:val="center"/>
              <w:rPr>
                <w:rFonts w:ascii="仿宋" w:hAnsi="仿宋" w:eastAsia="仿宋" w:cs="仿宋"/>
                <w:kern w:val="0"/>
                <w:sz w:val="24"/>
                <w:szCs w:val="24"/>
              </w:rPr>
            </w:pPr>
            <w:r>
              <w:rPr>
                <w:rFonts w:ascii="仿宋" w:hAnsi="仿宋" w:eastAsia="仿宋" w:cs="仿宋"/>
                <w:kern w:val="0"/>
                <w:sz w:val="24"/>
                <w:szCs w:val="24"/>
              </w:rPr>
              <w:t>%</w:t>
            </w:r>
          </w:p>
        </w:tc>
        <w:tc>
          <w:tcPr>
            <w:tcW w:w="992" w:type="dxa"/>
            <w:shd w:val="clear" w:color="000000" w:fill="FFFFFF"/>
          </w:tcPr>
          <w:p>
            <w:pPr>
              <w:widowControl/>
              <w:adjustRightInd w:val="0"/>
              <w:snapToGrid w:val="0"/>
              <w:spacing w:line="340" w:lineRule="exact"/>
              <w:jc w:val="center"/>
              <w:rPr>
                <w:rFonts w:ascii="仿宋" w:hAnsi="仿宋" w:eastAsia="仿宋" w:cs="Times New Roman"/>
                <w:kern w:val="0"/>
                <w:sz w:val="24"/>
                <w:szCs w:val="24"/>
              </w:rPr>
            </w:pPr>
            <w:r>
              <w:rPr>
                <w:rFonts w:hint="eastAsia" w:ascii="仿宋" w:hAnsi="仿宋" w:eastAsia="仿宋" w:cs="仿宋"/>
                <w:kern w:val="0"/>
                <w:sz w:val="24"/>
                <w:szCs w:val="24"/>
              </w:rPr>
              <w:t>预期性</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93" w:hRule="atLeast"/>
        </w:trPr>
        <w:tc>
          <w:tcPr>
            <w:tcW w:w="842" w:type="dxa"/>
            <w:vMerge w:val="continue"/>
            <w:vAlign w:val="center"/>
          </w:tcPr>
          <w:p>
            <w:pPr>
              <w:widowControl/>
              <w:adjustRightInd w:val="0"/>
              <w:snapToGrid w:val="0"/>
              <w:spacing w:line="340" w:lineRule="exact"/>
              <w:jc w:val="left"/>
              <w:rPr>
                <w:rFonts w:ascii="仿宋" w:hAnsi="仿宋" w:eastAsia="仿宋" w:cs="Times New Roman"/>
                <w:kern w:val="0"/>
                <w:sz w:val="24"/>
                <w:szCs w:val="24"/>
              </w:rPr>
            </w:pPr>
          </w:p>
        </w:tc>
        <w:tc>
          <w:tcPr>
            <w:tcW w:w="4200" w:type="dxa"/>
            <w:shd w:val="clear" w:color="000000" w:fill="FFFFFF"/>
            <w:vAlign w:val="center"/>
          </w:tcPr>
          <w:p>
            <w:pPr>
              <w:widowControl/>
              <w:adjustRightInd w:val="0"/>
              <w:snapToGrid w:val="0"/>
              <w:spacing w:line="340" w:lineRule="exact"/>
              <w:jc w:val="center"/>
              <w:rPr>
                <w:rFonts w:ascii="仿宋" w:hAnsi="仿宋" w:eastAsia="仿宋" w:cs="Times New Roman"/>
                <w:kern w:val="0"/>
                <w:sz w:val="24"/>
                <w:szCs w:val="24"/>
              </w:rPr>
            </w:pPr>
            <w:r>
              <w:rPr>
                <w:rFonts w:hint="eastAsia" w:ascii="仿宋" w:hAnsi="仿宋" w:eastAsia="仿宋" w:cs="仿宋"/>
                <w:kern w:val="0"/>
                <w:sz w:val="24"/>
                <w:szCs w:val="24"/>
              </w:rPr>
              <w:t>农产品加工业与农业总产值比</w:t>
            </w:r>
          </w:p>
        </w:tc>
        <w:tc>
          <w:tcPr>
            <w:tcW w:w="1152" w:type="dxa"/>
            <w:shd w:val="clear" w:color="000000" w:fill="FFFFFF"/>
            <w:noWrap/>
            <w:vAlign w:val="center"/>
          </w:tcPr>
          <w:p>
            <w:pPr>
              <w:widowControl/>
              <w:adjustRightInd w:val="0"/>
              <w:snapToGrid w:val="0"/>
              <w:spacing w:line="340" w:lineRule="exact"/>
              <w:jc w:val="center"/>
              <w:rPr>
                <w:rFonts w:ascii="仿宋" w:hAnsi="仿宋" w:eastAsia="仿宋" w:cs="仿宋"/>
                <w:kern w:val="0"/>
                <w:sz w:val="24"/>
                <w:szCs w:val="24"/>
              </w:rPr>
            </w:pPr>
            <w:r>
              <w:rPr>
                <w:rFonts w:ascii="仿宋" w:hAnsi="仿宋" w:eastAsia="仿宋" w:cs="仿宋"/>
                <w:kern w:val="0"/>
                <w:sz w:val="24"/>
                <w:szCs w:val="24"/>
              </w:rPr>
              <w:t>-</w:t>
            </w:r>
          </w:p>
        </w:tc>
        <w:tc>
          <w:tcPr>
            <w:tcW w:w="1285" w:type="dxa"/>
            <w:gridSpan w:val="2"/>
            <w:tcBorders>
              <w:right w:val="single" w:color="auto" w:sz="4" w:space="0"/>
            </w:tcBorders>
            <w:shd w:val="clear" w:color="000000" w:fill="FFFFFF"/>
            <w:noWrap/>
            <w:vAlign w:val="center"/>
          </w:tcPr>
          <w:p>
            <w:pPr>
              <w:widowControl/>
              <w:adjustRightInd w:val="0"/>
              <w:snapToGrid w:val="0"/>
              <w:spacing w:line="340" w:lineRule="exact"/>
              <w:jc w:val="center"/>
              <w:rPr>
                <w:rFonts w:ascii="仿宋" w:hAnsi="仿宋" w:eastAsia="仿宋" w:cs="仿宋"/>
                <w:kern w:val="0"/>
                <w:sz w:val="24"/>
                <w:szCs w:val="24"/>
              </w:rPr>
            </w:pPr>
            <w:r>
              <w:rPr>
                <w:rFonts w:ascii="仿宋" w:hAnsi="仿宋" w:eastAsia="仿宋" w:cs="仿宋"/>
                <w:kern w:val="0"/>
                <w:sz w:val="24"/>
                <w:szCs w:val="24"/>
              </w:rPr>
              <w:t>2.8:1</w:t>
            </w:r>
          </w:p>
        </w:tc>
        <w:tc>
          <w:tcPr>
            <w:tcW w:w="851" w:type="dxa"/>
            <w:shd w:val="clear" w:color="000000" w:fill="FFFFFF"/>
            <w:noWrap/>
            <w:vAlign w:val="center"/>
          </w:tcPr>
          <w:p>
            <w:pPr>
              <w:widowControl/>
              <w:adjustRightInd w:val="0"/>
              <w:snapToGrid w:val="0"/>
              <w:spacing w:line="340" w:lineRule="exact"/>
              <w:jc w:val="center"/>
              <w:rPr>
                <w:rFonts w:ascii="仿宋" w:hAnsi="仿宋" w:eastAsia="仿宋" w:cs="仿宋"/>
                <w:kern w:val="0"/>
                <w:sz w:val="24"/>
                <w:szCs w:val="24"/>
              </w:rPr>
            </w:pPr>
            <w:r>
              <w:rPr>
                <w:rFonts w:ascii="仿宋" w:hAnsi="仿宋" w:eastAsia="仿宋" w:cs="仿宋"/>
                <w:kern w:val="0"/>
                <w:sz w:val="24"/>
                <w:szCs w:val="24"/>
              </w:rPr>
              <w:t>-</w:t>
            </w:r>
          </w:p>
        </w:tc>
        <w:tc>
          <w:tcPr>
            <w:tcW w:w="992" w:type="dxa"/>
            <w:shd w:val="clear" w:color="000000" w:fill="FFFFFF"/>
          </w:tcPr>
          <w:p>
            <w:pPr>
              <w:widowControl/>
              <w:adjustRightInd w:val="0"/>
              <w:snapToGrid w:val="0"/>
              <w:spacing w:line="340" w:lineRule="exact"/>
              <w:jc w:val="center"/>
              <w:rPr>
                <w:rFonts w:ascii="仿宋" w:hAnsi="仿宋" w:eastAsia="仿宋" w:cs="Times New Roman"/>
                <w:kern w:val="0"/>
                <w:sz w:val="24"/>
                <w:szCs w:val="24"/>
              </w:rPr>
            </w:pPr>
            <w:r>
              <w:rPr>
                <w:rFonts w:hint="eastAsia" w:ascii="仿宋" w:hAnsi="仿宋" w:eastAsia="仿宋" w:cs="仿宋"/>
                <w:kern w:val="0"/>
                <w:sz w:val="24"/>
                <w:szCs w:val="24"/>
              </w:rPr>
              <w:t>预期性</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93" w:hRule="atLeast"/>
        </w:trPr>
        <w:tc>
          <w:tcPr>
            <w:tcW w:w="842" w:type="dxa"/>
            <w:vMerge w:val="continue"/>
            <w:vAlign w:val="center"/>
          </w:tcPr>
          <w:p>
            <w:pPr>
              <w:widowControl/>
              <w:adjustRightInd w:val="0"/>
              <w:snapToGrid w:val="0"/>
              <w:spacing w:line="340" w:lineRule="exact"/>
              <w:jc w:val="left"/>
              <w:rPr>
                <w:rFonts w:ascii="仿宋" w:hAnsi="仿宋" w:eastAsia="仿宋" w:cs="Times New Roman"/>
                <w:kern w:val="0"/>
                <w:sz w:val="24"/>
                <w:szCs w:val="24"/>
              </w:rPr>
            </w:pPr>
          </w:p>
        </w:tc>
        <w:tc>
          <w:tcPr>
            <w:tcW w:w="4200" w:type="dxa"/>
            <w:shd w:val="clear" w:color="000000" w:fill="FFFFFF"/>
            <w:vAlign w:val="center"/>
          </w:tcPr>
          <w:p>
            <w:pPr>
              <w:widowControl/>
              <w:adjustRightInd w:val="0"/>
              <w:snapToGrid w:val="0"/>
              <w:spacing w:line="340" w:lineRule="exact"/>
              <w:jc w:val="center"/>
              <w:rPr>
                <w:rFonts w:ascii="仿宋" w:hAnsi="仿宋" w:eastAsia="仿宋" w:cs="Times New Roman"/>
                <w:kern w:val="0"/>
                <w:sz w:val="24"/>
                <w:szCs w:val="24"/>
              </w:rPr>
            </w:pPr>
            <w:r>
              <w:rPr>
                <w:rFonts w:hint="eastAsia" w:ascii="仿宋" w:hAnsi="仿宋" w:eastAsia="仿宋" w:cs="仿宋"/>
                <w:kern w:val="0"/>
                <w:sz w:val="24"/>
                <w:szCs w:val="24"/>
              </w:rPr>
              <w:t>“两品一标”认证数</w:t>
            </w:r>
          </w:p>
        </w:tc>
        <w:tc>
          <w:tcPr>
            <w:tcW w:w="1152" w:type="dxa"/>
            <w:shd w:val="clear" w:color="000000" w:fill="FFFFFF"/>
            <w:noWrap/>
            <w:vAlign w:val="center"/>
          </w:tcPr>
          <w:p>
            <w:pPr>
              <w:widowControl/>
              <w:adjustRightInd w:val="0"/>
              <w:snapToGrid w:val="0"/>
              <w:spacing w:line="340" w:lineRule="exact"/>
              <w:jc w:val="center"/>
              <w:rPr>
                <w:rFonts w:ascii="仿宋" w:hAnsi="仿宋" w:eastAsia="仿宋" w:cs="仿宋"/>
                <w:kern w:val="0"/>
                <w:sz w:val="24"/>
                <w:szCs w:val="24"/>
              </w:rPr>
            </w:pPr>
            <w:r>
              <w:rPr>
                <w:rFonts w:ascii="仿宋" w:hAnsi="仿宋" w:eastAsia="仿宋" w:cs="仿宋"/>
                <w:kern w:val="0"/>
                <w:sz w:val="24"/>
                <w:szCs w:val="24"/>
              </w:rPr>
              <w:t>776</w:t>
            </w:r>
          </w:p>
        </w:tc>
        <w:tc>
          <w:tcPr>
            <w:tcW w:w="1285" w:type="dxa"/>
            <w:gridSpan w:val="2"/>
            <w:tcBorders>
              <w:right w:val="single" w:color="auto" w:sz="4" w:space="0"/>
            </w:tcBorders>
            <w:shd w:val="clear" w:color="000000" w:fill="FFFFFF"/>
            <w:noWrap/>
            <w:vAlign w:val="center"/>
          </w:tcPr>
          <w:p>
            <w:pPr>
              <w:widowControl/>
              <w:adjustRightInd w:val="0"/>
              <w:snapToGrid w:val="0"/>
              <w:spacing w:line="340" w:lineRule="exact"/>
              <w:jc w:val="center"/>
              <w:rPr>
                <w:rFonts w:ascii="仿宋" w:hAnsi="仿宋" w:eastAsia="仿宋" w:cs="仿宋"/>
                <w:kern w:val="0"/>
                <w:sz w:val="24"/>
                <w:szCs w:val="24"/>
              </w:rPr>
            </w:pPr>
            <w:r>
              <w:rPr>
                <w:rFonts w:ascii="仿宋" w:hAnsi="仿宋" w:eastAsia="仿宋" w:cs="仿宋"/>
                <w:kern w:val="0"/>
                <w:sz w:val="24"/>
                <w:szCs w:val="24"/>
              </w:rPr>
              <w:t>880</w:t>
            </w:r>
          </w:p>
        </w:tc>
        <w:tc>
          <w:tcPr>
            <w:tcW w:w="851" w:type="dxa"/>
            <w:shd w:val="clear" w:color="000000" w:fill="FFFFFF"/>
            <w:noWrap/>
            <w:vAlign w:val="center"/>
          </w:tcPr>
          <w:p>
            <w:pPr>
              <w:widowControl/>
              <w:adjustRightInd w:val="0"/>
              <w:snapToGrid w:val="0"/>
              <w:spacing w:line="340" w:lineRule="exact"/>
              <w:jc w:val="center"/>
              <w:rPr>
                <w:rFonts w:ascii="仿宋" w:hAnsi="仿宋" w:eastAsia="仿宋" w:cs="Times New Roman"/>
                <w:kern w:val="0"/>
                <w:sz w:val="24"/>
                <w:szCs w:val="24"/>
              </w:rPr>
            </w:pPr>
            <w:r>
              <w:rPr>
                <w:rFonts w:hint="eastAsia" w:ascii="仿宋" w:hAnsi="仿宋" w:eastAsia="仿宋" w:cs="仿宋"/>
                <w:kern w:val="0"/>
                <w:sz w:val="24"/>
                <w:szCs w:val="24"/>
              </w:rPr>
              <w:t>个</w:t>
            </w:r>
          </w:p>
        </w:tc>
        <w:tc>
          <w:tcPr>
            <w:tcW w:w="992" w:type="dxa"/>
            <w:shd w:val="clear" w:color="000000" w:fill="FFFFFF"/>
          </w:tcPr>
          <w:p>
            <w:pPr>
              <w:widowControl/>
              <w:adjustRightInd w:val="0"/>
              <w:snapToGrid w:val="0"/>
              <w:spacing w:line="340" w:lineRule="exact"/>
              <w:jc w:val="center"/>
              <w:rPr>
                <w:rFonts w:ascii="仿宋" w:hAnsi="仿宋" w:eastAsia="仿宋" w:cs="Times New Roman"/>
                <w:kern w:val="0"/>
                <w:sz w:val="24"/>
                <w:szCs w:val="24"/>
              </w:rPr>
            </w:pPr>
            <w:r>
              <w:rPr>
                <w:rFonts w:hint="eastAsia" w:ascii="仿宋" w:hAnsi="仿宋" w:eastAsia="仿宋" w:cs="仿宋"/>
                <w:kern w:val="0"/>
                <w:sz w:val="24"/>
                <w:szCs w:val="24"/>
              </w:rPr>
              <w:t>预期性</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93" w:hRule="atLeast"/>
        </w:trPr>
        <w:tc>
          <w:tcPr>
            <w:tcW w:w="842" w:type="dxa"/>
            <w:vMerge w:val="restart"/>
            <w:vAlign w:val="center"/>
          </w:tcPr>
          <w:p>
            <w:pPr>
              <w:widowControl/>
              <w:adjustRightInd w:val="0"/>
              <w:snapToGrid w:val="0"/>
              <w:spacing w:line="340" w:lineRule="exact"/>
              <w:jc w:val="center"/>
              <w:rPr>
                <w:rFonts w:ascii="仿宋" w:hAnsi="仿宋" w:eastAsia="仿宋" w:cs="Times New Roman"/>
                <w:kern w:val="0"/>
                <w:sz w:val="24"/>
                <w:szCs w:val="24"/>
              </w:rPr>
            </w:pPr>
            <w:r>
              <w:rPr>
                <w:rFonts w:hint="eastAsia" w:ascii="仿宋" w:hAnsi="仿宋" w:eastAsia="仿宋" w:cs="仿宋"/>
                <w:kern w:val="0"/>
                <w:sz w:val="24"/>
                <w:szCs w:val="24"/>
              </w:rPr>
              <w:t>乡村宜居宜业</w:t>
            </w:r>
          </w:p>
        </w:tc>
        <w:tc>
          <w:tcPr>
            <w:tcW w:w="4200" w:type="dxa"/>
            <w:shd w:val="clear" w:color="000000" w:fill="FFFFFF"/>
            <w:vAlign w:val="center"/>
          </w:tcPr>
          <w:p>
            <w:pPr>
              <w:widowControl/>
              <w:adjustRightInd w:val="0"/>
              <w:snapToGrid w:val="0"/>
              <w:spacing w:line="340" w:lineRule="exact"/>
              <w:jc w:val="center"/>
              <w:rPr>
                <w:rFonts w:ascii="仿宋" w:hAnsi="仿宋" w:eastAsia="仿宋" w:cs="Times New Roman"/>
                <w:kern w:val="0"/>
                <w:sz w:val="24"/>
                <w:szCs w:val="24"/>
              </w:rPr>
            </w:pPr>
            <w:r>
              <w:rPr>
                <w:rFonts w:hint="eastAsia" w:ascii="仿宋" w:hAnsi="仿宋" w:eastAsia="仿宋" w:cs="仿宋"/>
                <w:kern w:val="0"/>
                <w:sz w:val="24"/>
                <w:szCs w:val="24"/>
              </w:rPr>
              <w:t>村庄道路硬化占比</w:t>
            </w:r>
          </w:p>
        </w:tc>
        <w:tc>
          <w:tcPr>
            <w:tcW w:w="1152" w:type="dxa"/>
            <w:shd w:val="clear" w:color="000000" w:fill="FFFFFF"/>
            <w:noWrap/>
            <w:vAlign w:val="center"/>
          </w:tcPr>
          <w:p>
            <w:pPr>
              <w:widowControl/>
              <w:spacing w:line="340" w:lineRule="exact"/>
              <w:jc w:val="center"/>
              <w:rPr>
                <w:rFonts w:ascii="仿宋" w:hAnsi="仿宋" w:eastAsia="仿宋" w:cs="仿宋"/>
                <w:kern w:val="0"/>
                <w:sz w:val="24"/>
                <w:szCs w:val="24"/>
              </w:rPr>
            </w:pPr>
            <w:r>
              <w:rPr>
                <w:rFonts w:ascii="仿宋" w:hAnsi="仿宋" w:eastAsia="仿宋" w:cs="仿宋"/>
                <w:kern w:val="0"/>
                <w:sz w:val="24"/>
                <w:szCs w:val="24"/>
              </w:rPr>
              <w:t>100</w:t>
            </w:r>
          </w:p>
        </w:tc>
        <w:tc>
          <w:tcPr>
            <w:tcW w:w="1285" w:type="dxa"/>
            <w:gridSpan w:val="2"/>
            <w:tcBorders>
              <w:right w:val="single" w:color="auto" w:sz="4" w:space="0"/>
            </w:tcBorders>
            <w:shd w:val="clear" w:color="000000" w:fill="FFFFFF"/>
            <w:noWrap/>
            <w:vAlign w:val="center"/>
          </w:tcPr>
          <w:p>
            <w:pPr>
              <w:widowControl/>
              <w:spacing w:line="340" w:lineRule="exact"/>
              <w:jc w:val="center"/>
              <w:rPr>
                <w:rFonts w:ascii="仿宋" w:hAnsi="仿宋" w:eastAsia="仿宋" w:cs="仿宋"/>
                <w:kern w:val="0"/>
                <w:sz w:val="24"/>
                <w:szCs w:val="24"/>
              </w:rPr>
            </w:pPr>
            <w:r>
              <w:rPr>
                <w:rFonts w:ascii="仿宋" w:hAnsi="仿宋" w:eastAsia="仿宋" w:cs="仿宋"/>
                <w:kern w:val="0"/>
                <w:sz w:val="24"/>
                <w:szCs w:val="24"/>
              </w:rPr>
              <w:t>100</w:t>
            </w:r>
          </w:p>
        </w:tc>
        <w:tc>
          <w:tcPr>
            <w:tcW w:w="851" w:type="dxa"/>
            <w:shd w:val="clear" w:color="000000" w:fill="FFFFFF"/>
            <w:noWrap/>
            <w:vAlign w:val="center"/>
          </w:tcPr>
          <w:p>
            <w:pPr>
              <w:widowControl/>
              <w:adjustRightInd w:val="0"/>
              <w:snapToGrid w:val="0"/>
              <w:spacing w:line="340" w:lineRule="exact"/>
              <w:jc w:val="center"/>
              <w:rPr>
                <w:rFonts w:ascii="仿宋" w:hAnsi="仿宋" w:eastAsia="仿宋" w:cs="仿宋"/>
                <w:kern w:val="0"/>
                <w:sz w:val="24"/>
                <w:szCs w:val="24"/>
              </w:rPr>
            </w:pPr>
            <w:r>
              <w:rPr>
                <w:rFonts w:ascii="仿宋" w:hAnsi="仿宋" w:eastAsia="仿宋" w:cs="仿宋"/>
                <w:kern w:val="0"/>
                <w:sz w:val="24"/>
                <w:szCs w:val="24"/>
              </w:rPr>
              <w:t>%</w:t>
            </w:r>
          </w:p>
        </w:tc>
        <w:tc>
          <w:tcPr>
            <w:tcW w:w="992" w:type="dxa"/>
            <w:shd w:val="clear" w:color="000000" w:fill="FFFFFF"/>
          </w:tcPr>
          <w:p>
            <w:pPr>
              <w:widowControl/>
              <w:adjustRightInd w:val="0"/>
              <w:snapToGrid w:val="0"/>
              <w:spacing w:line="340" w:lineRule="exact"/>
              <w:jc w:val="center"/>
              <w:rPr>
                <w:rFonts w:ascii="仿宋" w:hAnsi="仿宋" w:eastAsia="仿宋" w:cs="Times New Roman"/>
                <w:kern w:val="0"/>
                <w:sz w:val="24"/>
                <w:szCs w:val="24"/>
              </w:rPr>
            </w:pPr>
            <w:r>
              <w:rPr>
                <w:rFonts w:hint="eastAsia" w:ascii="仿宋" w:hAnsi="仿宋" w:eastAsia="仿宋" w:cs="仿宋"/>
                <w:kern w:val="0"/>
                <w:sz w:val="24"/>
                <w:szCs w:val="24"/>
              </w:rPr>
              <w:t>预期性</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93" w:hRule="atLeast"/>
        </w:trPr>
        <w:tc>
          <w:tcPr>
            <w:tcW w:w="842" w:type="dxa"/>
            <w:vMerge w:val="continue"/>
            <w:vAlign w:val="center"/>
          </w:tcPr>
          <w:p>
            <w:pPr>
              <w:widowControl/>
              <w:adjustRightInd w:val="0"/>
              <w:snapToGrid w:val="0"/>
              <w:spacing w:line="340" w:lineRule="exact"/>
              <w:jc w:val="left"/>
              <w:rPr>
                <w:rFonts w:ascii="仿宋" w:hAnsi="仿宋" w:eastAsia="仿宋" w:cs="Times New Roman"/>
                <w:kern w:val="0"/>
                <w:sz w:val="24"/>
                <w:szCs w:val="24"/>
              </w:rPr>
            </w:pPr>
          </w:p>
        </w:tc>
        <w:tc>
          <w:tcPr>
            <w:tcW w:w="4200" w:type="dxa"/>
            <w:shd w:val="clear" w:color="000000" w:fill="FFFFFF"/>
            <w:vAlign w:val="center"/>
          </w:tcPr>
          <w:p>
            <w:pPr>
              <w:widowControl/>
              <w:adjustRightInd w:val="0"/>
              <w:snapToGrid w:val="0"/>
              <w:spacing w:line="340" w:lineRule="exact"/>
              <w:jc w:val="center"/>
              <w:rPr>
                <w:rFonts w:ascii="仿宋" w:hAnsi="仿宋" w:eastAsia="仿宋" w:cs="Times New Roman"/>
                <w:kern w:val="0"/>
                <w:sz w:val="24"/>
                <w:szCs w:val="24"/>
              </w:rPr>
            </w:pPr>
            <w:r>
              <w:rPr>
                <w:rFonts w:hint="eastAsia" w:ascii="仿宋" w:hAnsi="仿宋" w:eastAsia="仿宋" w:cs="仿宋"/>
                <w:kern w:val="0"/>
                <w:sz w:val="24"/>
                <w:szCs w:val="24"/>
              </w:rPr>
              <w:t>农村自来水普及率</w:t>
            </w:r>
          </w:p>
        </w:tc>
        <w:tc>
          <w:tcPr>
            <w:tcW w:w="1152" w:type="dxa"/>
            <w:shd w:val="clear" w:color="000000" w:fill="FFFFFF"/>
            <w:noWrap/>
            <w:vAlign w:val="center"/>
          </w:tcPr>
          <w:p>
            <w:pPr>
              <w:widowControl/>
              <w:spacing w:line="340" w:lineRule="exact"/>
              <w:jc w:val="center"/>
              <w:rPr>
                <w:rFonts w:ascii="仿宋" w:hAnsi="仿宋" w:eastAsia="仿宋" w:cs="仿宋"/>
                <w:kern w:val="0"/>
                <w:sz w:val="24"/>
                <w:szCs w:val="24"/>
              </w:rPr>
            </w:pPr>
            <w:r>
              <w:rPr>
                <w:rFonts w:ascii="仿宋" w:hAnsi="仿宋" w:eastAsia="仿宋" w:cs="仿宋"/>
                <w:kern w:val="0"/>
                <w:sz w:val="24"/>
                <w:szCs w:val="24"/>
              </w:rPr>
              <w:t>87</w:t>
            </w:r>
          </w:p>
        </w:tc>
        <w:tc>
          <w:tcPr>
            <w:tcW w:w="1285" w:type="dxa"/>
            <w:gridSpan w:val="2"/>
            <w:tcBorders>
              <w:right w:val="single" w:color="auto" w:sz="4" w:space="0"/>
            </w:tcBorders>
            <w:shd w:val="clear" w:color="000000" w:fill="FFFFFF"/>
            <w:noWrap/>
            <w:vAlign w:val="center"/>
          </w:tcPr>
          <w:p>
            <w:pPr>
              <w:widowControl/>
              <w:spacing w:line="340" w:lineRule="exact"/>
              <w:jc w:val="center"/>
              <w:rPr>
                <w:rFonts w:ascii="仿宋" w:hAnsi="仿宋" w:eastAsia="仿宋" w:cs="仿宋"/>
                <w:kern w:val="0"/>
                <w:sz w:val="24"/>
                <w:szCs w:val="24"/>
              </w:rPr>
            </w:pPr>
            <w:r>
              <w:rPr>
                <w:rFonts w:ascii="仿宋" w:hAnsi="仿宋" w:eastAsia="仿宋" w:cs="仿宋"/>
                <w:kern w:val="0"/>
                <w:sz w:val="24"/>
                <w:szCs w:val="24"/>
              </w:rPr>
              <w:t>&gt;90</w:t>
            </w:r>
          </w:p>
        </w:tc>
        <w:tc>
          <w:tcPr>
            <w:tcW w:w="851" w:type="dxa"/>
            <w:shd w:val="clear" w:color="000000" w:fill="FFFFFF"/>
            <w:noWrap/>
            <w:vAlign w:val="center"/>
          </w:tcPr>
          <w:p>
            <w:pPr>
              <w:widowControl/>
              <w:adjustRightInd w:val="0"/>
              <w:snapToGrid w:val="0"/>
              <w:spacing w:line="340" w:lineRule="exact"/>
              <w:jc w:val="center"/>
              <w:rPr>
                <w:rFonts w:ascii="仿宋" w:hAnsi="仿宋" w:eastAsia="仿宋" w:cs="仿宋"/>
                <w:kern w:val="0"/>
                <w:sz w:val="24"/>
                <w:szCs w:val="24"/>
              </w:rPr>
            </w:pPr>
            <w:r>
              <w:rPr>
                <w:rFonts w:ascii="仿宋" w:hAnsi="仿宋" w:eastAsia="仿宋" w:cs="仿宋"/>
                <w:kern w:val="0"/>
                <w:sz w:val="24"/>
                <w:szCs w:val="24"/>
              </w:rPr>
              <w:t>%</w:t>
            </w:r>
          </w:p>
        </w:tc>
        <w:tc>
          <w:tcPr>
            <w:tcW w:w="992" w:type="dxa"/>
            <w:shd w:val="clear" w:color="000000" w:fill="FFFFFF"/>
          </w:tcPr>
          <w:p>
            <w:pPr>
              <w:widowControl/>
              <w:adjustRightInd w:val="0"/>
              <w:snapToGrid w:val="0"/>
              <w:spacing w:line="340" w:lineRule="exact"/>
              <w:jc w:val="center"/>
              <w:rPr>
                <w:rFonts w:ascii="仿宋" w:hAnsi="仿宋" w:eastAsia="仿宋" w:cs="Times New Roman"/>
                <w:kern w:val="0"/>
                <w:sz w:val="24"/>
                <w:szCs w:val="24"/>
              </w:rPr>
            </w:pPr>
            <w:r>
              <w:rPr>
                <w:rFonts w:hint="eastAsia" w:ascii="仿宋" w:hAnsi="仿宋" w:eastAsia="仿宋" w:cs="仿宋"/>
                <w:kern w:val="0"/>
                <w:sz w:val="24"/>
                <w:szCs w:val="24"/>
              </w:rPr>
              <w:t>预期性</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93" w:hRule="atLeast"/>
        </w:trPr>
        <w:tc>
          <w:tcPr>
            <w:tcW w:w="842" w:type="dxa"/>
            <w:vMerge w:val="continue"/>
            <w:vAlign w:val="center"/>
          </w:tcPr>
          <w:p>
            <w:pPr>
              <w:widowControl/>
              <w:adjustRightInd w:val="0"/>
              <w:snapToGrid w:val="0"/>
              <w:spacing w:line="340" w:lineRule="exact"/>
              <w:jc w:val="left"/>
              <w:rPr>
                <w:rFonts w:ascii="仿宋" w:hAnsi="仿宋" w:eastAsia="仿宋" w:cs="Times New Roman"/>
                <w:kern w:val="0"/>
                <w:sz w:val="24"/>
                <w:szCs w:val="24"/>
              </w:rPr>
            </w:pPr>
          </w:p>
        </w:tc>
        <w:tc>
          <w:tcPr>
            <w:tcW w:w="4200" w:type="dxa"/>
            <w:shd w:val="clear" w:color="000000" w:fill="FFFFFF"/>
            <w:vAlign w:val="center"/>
          </w:tcPr>
          <w:p>
            <w:pPr>
              <w:widowControl/>
              <w:adjustRightInd w:val="0"/>
              <w:snapToGrid w:val="0"/>
              <w:spacing w:line="340" w:lineRule="exact"/>
              <w:jc w:val="center"/>
              <w:rPr>
                <w:rFonts w:ascii="仿宋" w:hAnsi="仿宋" w:eastAsia="仿宋" w:cs="Times New Roman"/>
                <w:kern w:val="0"/>
                <w:sz w:val="24"/>
                <w:szCs w:val="24"/>
              </w:rPr>
            </w:pPr>
            <w:r>
              <w:rPr>
                <w:rFonts w:hint="eastAsia" w:ascii="仿宋" w:hAnsi="仿宋" w:eastAsia="仿宋" w:cs="仿宋"/>
                <w:kern w:val="0"/>
                <w:sz w:val="24"/>
                <w:szCs w:val="24"/>
              </w:rPr>
              <w:t>农村卫生厕所普及率</w:t>
            </w:r>
          </w:p>
        </w:tc>
        <w:tc>
          <w:tcPr>
            <w:tcW w:w="1152" w:type="dxa"/>
            <w:shd w:val="clear" w:color="000000" w:fill="FFFFFF"/>
            <w:noWrap/>
            <w:vAlign w:val="center"/>
          </w:tcPr>
          <w:p>
            <w:pPr>
              <w:widowControl/>
              <w:spacing w:line="340" w:lineRule="exact"/>
              <w:jc w:val="center"/>
              <w:rPr>
                <w:rFonts w:ascii="仿宋" w:hAnsi="仿宋" w:eastAsia="仿宋" w:cs="仿宋"/>
                <w:kern w:val="0"/>
                <w:sz w:val="24"/>
                <w:szCs w:val="24"/>
              </w:rPr>
            </w:pPr>
            <w:r>
              <w:rPr>
                <w:rFonts w:ascii="仿宋" w:hAnsi="仿宋" w:eastAsia="仿宋" w:cs="仿宋"/>
                <w:kern w:val="0"/>
                <w:sz w:val="24"/>
                <w:szCs w:val="24"/>
              </w:rPr>
              <w:t>91.79</w:t>
            </w:r>
          </w:p>
        </w:tc>
        <w:tc>
          <w:tcPr>
            <w:tcW w:w="1285" w:type="dxa"/>
            <w:gridSpan w:val="2"/>
            <w:tcBorders>
              <w:right w:val="single" w:color="auto" w:sz="4" w:space="0"/>
            </w:tcBorders>
            <w:shd w:val="clear" w:color="000000" w:fill="FFFFFF"/>
            <w:noWrap/>
            <w:vAlign w:val="center"/>
          </w:tcPr>
          <w:p>
            <w:pPr>
              <w:widowControl/>
              <w:spacing w:line="340" w:lineRule="exact"/>
              <w:jc w:val="center"/>
              <w:rPr>
                <w:rFonts w:ascii="仿宋" w:hAnsi="仿宋" w:eastAsia="仿宋" w:cs="仿宋"/>
                <w:kern w:val="0"/>
                <w:sz w:val="24"/>
                <w:szCs w:val="24"/>
              </w:rPr>
            </w:pPr>
            <w:r>
              <w:rPr>
                <w:rFonts w:ascii="仿宋" w:hAnsi="仿宋" w:eastAsia="仿宋" w:cs="仿宋"/>
                <w:kern w:val="0"/>
                <w:sz w:val="24"/>
                <w:szCs w:val="24"/>
              </w:rPr>
              <w:t>96</w:t>
            </w:r>
          </w:p>
        </w:tc>
        <w:tc>
          <w:tcPr>
            <w:tcW w:w="851" w:type="dxa"/>
            <w:shd w:val="clear" w:color="000000" w:fill="FFFFFF"/>
            <w:noWrap/>
            <w:vAlign w:val="center"/>
          </w:tcPr>
          <w:p>
            <w:pPr>
              <w:widowControl/>
              <w:adjustRightInd w:val="0"/>
              <w:snapToGrid w:val="0"/>
              <w:spacing w:line="340" w:lineRule="exact"/>
              <w:jc w:val="center"/>
              <w:rPr>
                <w:rFonts w:ascii="仿宋" w:hAnsi="仿宋" w:eastAsia="仿宋" w:cs="仿宋"/>
                <w:kern w:val="0"/>
                <w:sz w:val="24"/>
                <w:szCs w:val="24"/>
              </w:rPr>
            </w:pPr>
            <w:r>
              <w:rPr>
                <w:rFonts w:ascii="仿宋" w:hAnsi="仿宋" w:eastAsia="仿宋" w:cs="仿宋"/>
                <w:kern w:val="0"/>
                <w:sz w:val="24"/>
                <w:szCs w:val="24"/>
              </w:rPr>
              <w:t>%</w:t>
            </w:r>
          </w:p>
        </w:tc>
        <w:tc>
          <w:tcPr>
            <w:tcW w:w="992" w:type="dxa"/>
            <w:shd w:val="clear" w:color="000000" w:fill="FFFFFF"/>
          </w:tcPr>
          <w:p>
            <w:pPr>
              <w:widowControl/>
              <w:adjustRightInd w:val="0"/>
              <w:snapToGrid w:val="0"/>
              <w:spacing w:line="340" w:lineRule="exact"/>
              <w:jc w:val="center"/>
              <w:rPr>
                <w:rFonts w:ascii="仿宋" w:hAnsi="仿宋" w:eastAsia="仿宋" w:cs="Times New Roman"/>
                <w:kern w:val="0"/>
                <w:sz w:val="24"/>
                <w:szCs w:val="24"/>
              </w:rPr>
            </w:pPr>
            <w:r>
              <w:rPr>
                <w:rFonts w:hint="eastAsia" w:ascii="仿宋" w:hAnsi="仿宋" w:eastAsia="仿宋" w:cs="仿宋"/>
                <w:kern w:val="0"/>
                <w:sz w:val="24"/>
                <w:szCs w:val="24"/>
              </w:rPr>
              <w:t>预期性</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28" w:hRule="atLeast"/>
        </w:trPr>
        <w:tc>
          <w:tcPr>
            <w:tcW w:w="842" w:type="dxa"/>
            <w:vMerge w:val="continue"/>
            <w:vAlign w:val="center"/>
          </w:tcPr>
          <w:p>
            <w:pPr>
              <w:widowControl/>
              <w:adjustRightInd w:val="0"/>
              <w:snapToGrid w:val="0"/>
              <w:spacing w:line="340" w:lineRule="exact"/>
              <w:jc w:val="left"/>
              <w:rPr>
                <w:rFonts w:ascii="仿宋" w:hAnsi="仿宋" w:eastAsia="仿宋" w:cs="Times New Roman"/>
                <w:kern w:val="0"/>
                <w:sz w:val="24"/>
                <w:szCs w:val="24"/>
              </w:rPr>
            </w:pPr>
          </w:p>
        </w:tc>
        <w:tc>
          <w:tcPr>
            <w:tcW w:w="4200" w:type="dxa"/>
            <w:shd w:val="clear" w:color="000000" w:fill="FFFFFF"/>
            <w:vAlign w:val="center"/>
          </w:tcPr>
          <w:p>
            <w:pPr>
              <w:widowControl/>
              <w:adjustRightInd w:val="0"/>
              <w:snapToGrid w:val="0"/>
              <w:spacing w:line="340" w:lineRule="exact"/>
              <w:jc w:val="center"/>
              <w:rPr>
                <w:rFonts w:ascii="仿宋" w:hAnsi="仿宋" w:eastAsia="仿宋" w:cs="Times New Roman"/>
                <w:kern w:val="0"/>
                <w:sz w:val="24"/>
                <w:szCs w:val="24"/>
              </w:rPr>
            </w:pPr>
            <w:r>
              <w:rPr>
                <w:rFonts w:hint="eastAsia" w:ascii="仿宋" w:hAnsi="仿宋" w:eastAsia="仿宋" w:cs="仿宋"/>
                <w:kern w:val="0"/>
                <w:sz w:val="24"/>
                <w:szCs w:val="24"/>
              </w:rPr>
              <w:t>农村生活污水治理率</w:t>
            </w:r>
          </w:p>
        </w:tc>
        <w:tc>
          <w:tcPr>
            <w:tcW w:w="1152" w:type="dxa"/>
            <w:shd w:val="clear" w:color="000000" w:fill="FFFFFF"/>
            <w:noWrap/>
            <w:vAlign w:val="center"/>
          </w:tcPr>
          <w:p>
            <w:pPr>
              <w:widowControl/>
              <w:spacing w:line="340" w:lineRule="exact"/>
              <w:jc w:val="center"/>
              <w:rPr>
                <w:rFonts w:ascii="仿宋" w:hAnsi="仿宋" w:eastAsia="仿宋" w:cs="仿宋"/>
                <w:kern w:val="0"/>
                <w:sz w:val="24"/>
                <w:szCs w:val="24"/>
              </w:rPr>
            </w:pPr>
            <w:r>
              <w:rPr>
                <w:rFonts w:ascii="仿宋" w:hAnsi="仿宋" w:eastAsia="仿宋" w:cs="仿宋"/>
                <w:kern w:val="0"/>
                <w:sz w:val="24"/>
                <w:szCs w:val="24"/>
              </w:rPr>
              <w:t>20</w:t>
            </w:r>
          </w:p>
        </w:tc>
        <w:tc>
          <w:tcPr>
            <w:tcW w:w="1277" w:type="dxa"/>
            <w:tcBorders>
              <w:right w:val="single" w:color="auto" w:sz="4" w:space="0"/>
            </w:tcBorders>
            <w:shd w:val="clear" w:color="000000" w:fill="FFFFFF"/>
            <w:noWrap/>
            <w:vAlign w:val="center"/>
          </w:tcPr>
          <w:p>
            <w:pPr>
              <w:widowControl/>
              <w:adjustRightInd w:val="0"/>
              <w:snapToGrid w:val="0"/>
              <w:spacing w:line="340" w:lineRule="exact"/>
              <w:jc w:val="center"/>
              <w:rPr>
                <w:rFonts w:ascii="宋体" w:cs="Times New Roman"/>
              </w:rPr>
            </w:pPr>
            <w:r>
              <w:rPr>
                <w:rFonts w:ascii="仿宋" w:hAnsi="仿宋" w:eastAsia="仿宋" w:cs="仿宋"/>
                <w:kern w:val="0"/>
                <w:sz w:val="24"/>
                <w:szCs w:val="24"/>
              </w:rPr>
              <w:t>30</w:t>
            </w:r>
          </w:p>
        </w:tc>
        <w:tc>
          <w:tcPr>
            <w:tcW w:w="859" w:type="dxa"/>
            <w:gridSpan w:val="2"/>
            <w:tcBorders>
              <w:left w:val="single" w:color="auto" w:sz="4" w:space="0"/>
            </w:tcBorders>
            <w:shd w:val="clear" w:color="000000" w:fill="FFFFFF"/>
            <w:noWrap/>
            <w:vAlign w:val="center"/>
          </w:tcPr>
          <w:p>
            <w:pPr>
              <w:widowControl/>
              <w:adjustRightInd w:val="0"/>
              <w:snapToGrid w:val="0"/>
              <w:spacing w:line="340" w:lineRule="exact"/>
              <w:jc w:val="center"/>
              <w:rPr>
                <w:rFonts w:ascii="仿宋" w:hAnsi="仿宋" w:eastAsia="仿宋" w:cs="仿宋"/>
                <w:kern w:val="0"/>
                <w:sz w:val="24"/>
                <w:szCs w:val="24"/>
              </w:rPr>
            </w:pPr>
            <w:r>
              <w:rPr>
                <w:rFonts w:ascii="仿宋" w:hAnsi="仿宋" w:eastAsia="仿宋" w:cs="仿宋"/>
                <w:kern w:val="0"/>
                <w:sz w:val="24"/>
                <w:szCs w:val="24"/>
              </w:rPr>
              <w:t>%</w:t>
            </w:r>
          </w:p>
        </w:tc>
        <w:tc>
          <w:tcPr>
            <w:tcW w:w="992" w:type="dxa"/>
            <w:shd w:val="clear" w:color="000000" w:fill="FFFFFF"/>
          </w:tcPr>
          <w:p>
            <w:pPr>
              <w:widowControl/>
              <w:adjustRightInd w:val="0"/>
              <w:snapToGrid w:val="0"/>
              <w:spacing w:line="340" w:lineRule="exact"/>
              <w:jc w:val="center"/>
              <w:rPr>
                <w:rFonts w:ascii="仿宋" w:hAnsi="仿宋" w:eastAsia="仿宋" w:cs="Times New Roman"/>
                <w:kern w:val="0"/>
                <w:sz w:val="24"/>
                <w:szCs w:val="24"/>
              </w:rPr>
            </w:pPr>
            <w:r>
              <w:rPr>
                <w:rFonts w:hint="eastAsia" w:ascii="仿宋" w:hAnsi="仿宋" w:eastAsia="仿宋" w:cs="仿宋"/>
                <w:kern w:val="0"/>
                <w:sz w:val="24"/>
                <w:szCs w:val="24"/>
              </w:rPr>
              <w:t>预期性</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28" w:hRule="atLeast"/>
        </w:trPr>
        <w:tc>
          <w:tcPr>
            <w:tcW w:w="842" w:type="dxa"/>
            <w:vMerge w:val="continue"/>
            <w:vAlign w:val="center"/>
          </w:tcPr>
          <w:p>
            <w:pPr>
              <w:widowControl/>
              <w:adjustRightInd w:val="0"/>
              <w:snapToGrid w:val="0"/>
              <w:spacing w:line="340" w:lineRule="exact"/>
              <w:jc w:val="left"/>
              <w:rPr>
                <w:rFonts w:ascii="仿宋" w:hAnsi="仿宋" w:eastAsia="仿宋" w:cs="Times New Roman"/>
                <w:kern w:val="0"/>
                <w:sz w:val="24"/>
                <w:szCs w:val="24"/>
              </w:rPr>
            </w:pPr>
          </w:p>
        </w:tc>
        <w:tc>
          <w:tcPr>
            <w:tcW w:w="4200" w:type="dxa"/>
            <w:shd w:val="clear" w:color="000000" w:fill="FFFFFF"/>
            <w:vAlign w:val="center"/>
          </w:tcPr>
          <w:p>
            <w:pPr>
              <w:widowControl/>
              <w:adjustRightInd w:val="0"/>
              <w:snapToGrid w:val="0"/>
              <w:spacing w:line="340" w:lineRule="exact"/>
              <w:jc w:val="center"/>
              <w:rPr>
                <w:rFonts w:ascii="仿宋" w:hAnsi="仿宋" w:eastAsia="仿宋" w:cs="Times New Roman"/>
                <w:kern w:val="0"/>
                <w:sz w:val="24"/>
                <w:szCs w:val="24"/>
              </w:rPr>
            </w:pPr>
            <w:r>
              <w:rPr>
                <w:rFonts w:hint="eastAsia" w:ascii="仿宋" w:hAnsi="仿宋" w:eastAsia="仿宋" w:cs="仿宋"/>
                <w:kern w:val="0"/>
                <w:sz w:val="24"/>
                <w:szCs w:val="24"/>
              </w:rPr>
              <w:t>农村义务教育学校专任教师本科以上学历比例</w:t>
            </w:r>
          </w:p>
        </w:tc>
        <w:tc>
          <w:tcPr>
            <w:tcW w:w="1152" w:type="dxa"/>
            <w:shd w:val="clear" w:color="000000" w:fill="FFFFFF"/>
            <w:noWrap/>
            <w:vAlign w:val="center"/>
          </w:tcPr>
          <w:p>
            <w:pPr>
              <w:widowControl/>
              <w:spacing w:line="340" w:lineRule="exact"/>
              <w:jc w:val="center"/>
              <w:rPr>
                <w:rFonts w:ascii="仿宋" w:hAnsi="仿宋" w:eastAsia="仿宋" w:cs="仿宋"/>
                <w:kern w:val="0"/>
                <w:sz w:val="24"/>
                <w:szCs w:val="24"/>
              </w:rPr>
            </w:pPr>
            <w:r>
              <w:rPr>
                <w:rFonts w:ascii="仿宋" w:hAnsi="仿宋" w:eastAsia="仿宋" w:cs="仿宋"/>
                <w:kern w:val="0"/>
                <w:sz w:val="24"/>
                <w:szCs w:val="24"/>
              </w:rPr>
              <w:t>-</w:t>
            </w:r>
          </w:p>
        </w:tc>
        <w:tc>
          <w:tcPr>
            <w:tcW w:w="1285" w:type="dxa"/>
            <w:gridSpan w:val="2"/>
            <w:tcBorders>
              <w:right w:val="single" w:color="auto" w:sz="4" w:space="0"/>
            </w:tcBorders>
            <w:shd w:val="clear" w:color="000000" w:fill="FFFFFF"/>
            <w:noWrap/>
            <w:vAlign w:val="center"/>
          </w:tcPr>
          <w:p>
            <w:pPr>
              <w:widowControl/>
              <w:spacing w:line="340" w:lineRule="exact"/>
              <w:jc w:val="center"/>
              <w:rPr>
                <w:rFonts w:ascii="仿宋" w:hAnsi="仿宋" w:eastAsia="仿宋" w:cs="仿宋"/>
                <w:kern w:val="0"/>
                <w:sz w:val="24"/>
                <w:szCs w:val="24"/>
              </w:rPr>
            </w:pPr>
            <w:r>
              <w:rPr>
                <w:rFonts w:ascii="仿宋" w:hAnsi="仿宋" w:eastAsia="仿宋" w:cs="仿宋"/>
                <w:kern w:val="0"/>
                <w:sz w:val="24"/>
                <w:szCs w:val="24"/>
              </w:rPr>
              <w:t>65</w:t>
            </w:r>
          </w:p>
        </w:tc>
        <w:tc>
          <w:tcPr>
            <w:tcW w:w="851" w:type="dxa"/>
            <w:tcBorders>
              <w:left w:val="single" w:color="auto" w:sz="4" w:space="0"/>
            </w:tcBorders>
            <w:shd w:val="clear" w:color="000000" w:fill="FFFFFF"/>
            <w:noWrap/>
            <w:vAlign w:val="center"/>
          </w:tcPr>
          <w:p>
            <w:pPr>
              <w:widowControl/>
              <w:adjustRightInd w:val="0"/>
              <w:snapToGrid w:val="0"/>
              <w:spacing w:line="340" w:lineRule="exact"/>
              <w:jc w:val="center"/>
              <w:rPr>
                <w:rFonts w:ascii="宋体" w:cs="Times New Roman"/>
              </w:rPr>
            </w:pPr>
            <w:r>
              <w:rPr>
                <w:rFonts w:ascii="宋体" w:hAnsi="宋体" w:cs="宋体"/>
              </w:rPr>
              <w:t>%</w:t>
            </w:r>
          </w:p>
        </w:tc>
        <w:tc>
          <w:tcPr>
            <w:tcW w:w="992" w:type="dxa"/>
            <w:shd w:val="clear" w:color="000000" w:fill="FFFFFF"/>
          </w:tcPr>
          <w:p>
            <w:pPr>
              <w:widowControl/>
              <w:adjustRightInd w:val="0"/>
              <w:snapToGrid w:val="0"/>
              <w:spacing w:line="340" w:lineRule="exact"/>
              <w:jc w:val="center"/>
              <w:rPr>
                <w:rFonts w:ascii="仿宋" w:hAnsi="仿宋" w:eastAsia="仿宋" w:cs="Times New Roman"/>
                <w:kern w:val="0"/>
                <w:sz w:val="24"/>
                <w:szCs w:val="24"/>
              </w:rPr>
            </w:pPr>
            <w:r>
              <w:rPr>
                <w:rFonts w:hint="eastAsia" w:ascii="仿宋" w:hAnsi="仿宋" w:eastAsia="仿宋" w:cs="仿宋"/>
                <w:kern w:val="0"/>
                <w:sz w:val="24"/>
                <w:szCs w:val="24"/>
              </w:rPr>
              <w:t>预期性</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28" w:hRule="atLeast"/>
        </w:trPr>
        <w:tc>
          <w:tcPr>
            <w:tcW w:w="842" w:type="dxa"/>
            <w:vMerge w:val="continue"/>
            <w:vAlign w:val="center"/>
          </w:tcPr>
          <w:p>
            <w:pPr>
              <w:widowControl/>
              <w:adjustRightInd w:val="0"/>
              <w:snapToGrid w:val="0"/>
              <w:spacing w:line="340" w:lineRule="exact"/>
              <w:jc w:val="left"/>
              <w:rPr>
                <w:rFonts w:ascii="仿宋" w:hAnsi="仿宋" w:eastAsia="仿宋" w:cs="Times New Roman"/>
                <w:kern w:val="0"/>
                <w:sz w:val="24"/>
                <w:szCs w:val="24"/>
              </w:rPr>
            </w:pPr>
          </w:p>
        </w:tc>
        <w:tc>
          <w:tcPr>
            <w:tcW w:w="4200" w:type="dxa"/>
            <w:shd w:val="clear" w:color="000000" w:fill="FFFFFF"/>
            <w:vAlign w:val="center"/>
          </w:tcPr>
          <w:p>
            <w:pPr>
              <w:widowControl/>
              <w:adjustRightInd w:val="0"/>
              <w:snapToGrid w:val="0"/>
              <w:spacing w:line="340" w:lineRule="exact"/>
              <w:jc w:val="center"/>
              <w:rPr>
                <w:rFonts w:ascii="仿宋" w:hAnsi="仿宋" w:eastAsia="仿宋" w:cs="Times New Roman"/>
                <w:kern w:val="0"/>
                <w:sz w:val="24"/>
                <w:szCs w:val="24"/>
              </w:rPr>
            </w:pPr>
            <w:r>
              <w:rPr>
                <w:rFonts w:hint="eastAsia" w:ascii="仿宋" w:hAnsi="仿宋" w:eastAsia="仿宋" w:cs="仿宋"/>
                <w:kern w:val="0"/>
                <w:sz w:val="24"/>
                <w:szCs w:val="24"/>
              </w:rPr>
              <w:t>乡村医生中执业（助理）医师比例</w:t>
            </w:r>
          </w:p>
        </w:tc>
        <w:tc>
          <w:tcPr>
            <w:tcW w:w="1152" w:type="dxa"/>
            <w:shd w:val="clear" w:color="000000" w:fill="FFFFFF"/>
            <w:noWrap/>
            <w:vAlign w:val="center"/>
          </w:tcPr>
          <w:p>
            <w:pPr>
              <w:widowControl/>
              <w:spacing w:line="340" w:lineRule="exact"/>
              <w:jc w:val="center"/>
              <w:rPr>
                <w:rFonts w:ascii="仿宋" w:hAnsi="仿宋" w:eastAsia="仿宋" w:cs="仿宋"/>
                <w:kern w:val="0"/>
                <w:sz w:val="24"/>
                <w:szCs w:val="24"/>
              </w:rPr>
            </w:pPr>
            <w:r>
              <w:rPr>
                <w:rFonts w:ascii="仿宋" w:hAnsi="仿宋" w:eastAsia="仿宋" w:cs="仿宋"/>
                <w:kern w:val="0"/>
                <w:sz w:val="24"/>
                <w:szCs w:val="24"/>
              </w:rPr>
              <w:t>22.44</w:t>
            </w:r>
          </w:p>
        </w:tc>
        <w:tc>
          <w:tcPr>
            <w:tcW w:w="1285" w:type="dxa"/>
            <w:gridSpan w:val="2"/>
            <w:tcBorders>
              <w:right w:val="single" w:color="auto" w:sz="4" w:space="0"/>
            </w:tcBorders>
            <w:shd w:val="clear" w:color="000000" w:fill="FFFFFF"/>
            <w:noWrap/>
            <w:vAlign w:val="center"/>
          </w:tcPr>
          <w:p>
            <w:pPr>
              <w:widowControl/>
              <w:spacing w:line="340" w:lineRule="exact"/>
              <w:jc w:val="center"/>
              <w:rPr>
                <w:rFonts w:ascii="仿宋" w:hAnsi="仿宋" w:eastAsia="仿宋" w:cs="仿宋"/>
                <w:kern w:val="0"/>
                <w:sz w:val="24"/>
                <w:szCs w:val="24"/>
              </w:rPr>
            </w:pPr>
            <w:r>
              <w:rPr>
                <w:rFonts w:ascii="仿宋" w:hAnsi="仿宋" w:eastAsia="仿宋" w:cs="仿宋"/>
                <w:kern w:val="0"/>
                <w:sz w:val="24"/>
                <w:szCs w:val="24"/>
              </w:rPr>
              <w:t>45</w:t>
            </w:r>
          </w:p>
        </w:tc>
        <w:tc>
          <w:tcPr>
            <w:tcW w:w="851" w:type="dxa"/>
            <w:tcBorders>
              <w:left w:val="single" w:color="auto" w:sz="4" w:space="0"/>
            </w:tcBorders>
            <w:shd w:val="clear" w:color="000000" w:fill="FFFFFF"/>
            <w:noWrap/>
            <w:vAlign w:val="center"/>
          </w:tcPr>
          <w:p>
            <w:pPr>
              <w:widowControl/>
              <w:adjustRightInd w:val="0"/>
              <w:snapToGrid w:val="0"/>
              <w:spacing w:line="340" w:lineRule="exact"/>
              <w:jc w:val="center"/>
              <w:rPr>
                <w:rFonts w:ascii="宋体" w:cs="Times New Roman"/>
              </w:rPr>
            </w:pPr>
            <w:r>
              <w:rPr>
                <w:rFonts w:ascii="宋体" w:hAnsi="宋体" w:cs="宋体"/>
              </w:rPr>
              <w:t>%</w:t>
            </w:r>
          </w:p>
        </w:tc>
        <w:tc>
          <w:tcPr>
            <w:tcW w:w="992" w:type="dxa"/>
            <w:shd w:val="clear" w:color="000000" w:fill="FFFFFF"/>
          </w:tcPr>
          <w:p>
            <w:pPr>
              <w:widowControl/>
              <w:adjustRightInd w:val="0"/>
              <w:snapToGrid w:val="0"/>
              <w:spacing w:line="340" w:lineRule="exact"/>
              <w:jc w:val="center"/>
              <w:rPr>
                <w:rFonts w:ascii="仿宋" w:hAnsi="仿宋" w:eastAsia="仿宋" w:cs="Times New Roman"/>
                <w:kern w:val="0"/>
                <w:sz w:val="24"/>
                <w:szCs w:val="24"/>
              </w:rPr>
            </w:pPr>
            <w:r>
              <w:rPr>
                <w:rFonts w:hint="eastAsia" w:ascii="仿宋" w:hAnsi="仿宋" w:eastAsia="仿宋" w:cs="仿宋"/>
                <w:kern w:val="0"/>
                <w:sz w:val="24"/>
                <w:szCs w:val="24"/>
              </w:rPr>
              <w:t>预期性</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28" w:hRule="atLeast"/>
        </w:trPr>
        <w:tc>
          <w:tcPr>
            <w:tcW w:w="842" w:type="dxa"/>
            <w:vMerge w:val="continue"/>
            <w:vAlign w:val="center"/>
          </w:tcPr>
          <w:p>
            <w:pPr>
              <w:widowControl/>
              <w:adjustRightInd w:val="0"/>
              <w:snapToGrid w:val="0"/>
              <w:spacing w:line="340" w:lineRule="exact"/>
              <w:jc w:val="left"/>
              <w:rPr>
                <w:rFonts w:ascii="仿宋" w:hAnsi="仿宋" w:eastAsia="仿宋" w:cs="Times New Roman"/>
                <w:kern w:val="0"/>
                <w:sz w:val="24"/>
                <w:szCs w:val="24"/>
              </w:rPr>
            </w:pPr>
          </w:p>
        </w:tc>
        <w:tc>
          <w:tcPr>
            <w:tcW w:w="4200" w:type="dxa"/>
            <w:shd w:val="clear" w:color="000000" w:fill="FFFFFF"/>
            <w:vAlign w:val="center"/>
          </w:tcPr>
          <w:p>
            <w:pPr>
              <w:widowControl/>
              <w:adjustRightInd w:val="0"/>
              <w:snapToGrid w:val="0"/>
              <w:spacing w:line="340" w:lineRule="exact"/>
              <w:jc w:val="center"/>
              <w:rPr>
                <w:rFonts w:ascii="仿宋" w:hAnsi="仿宋" w:eastAsia="仿宋" w:cs="Times New Roman"/>
                <w:kern w:val="0"/>
                <w:sz w:val="24"/>
                <w:szCs w:val="24"/>
              </w:rPr>
            </w:pPr>
            <w:r>
              <w:rPr>
                <w:rFonts w:hint="eastAsia" w:ascii="仿宋" w:hAnsi="仿宋" w:eastAsia="仿宋" w:cs="仿宋"/>
                <w:kern w:val="0"/>
                <w:sz w:val="24"/>
                <w:szCs w:val="24"/>
              </w:rPr>
              <w:t>村庄宽带网络普及率</w:t>
            </w:r>
          </w:p>
        </w:tc>
        <w:tc>
          <w:tcPr>
            <w:tcW w:w="1152" w:type="dxa"/>
            <w:shd w:val="clear" w:color="000000" w:fill="FFFFFF"/>
            <w:noWrap/>
            <w:vAlign w:val="center"/>
          </w:tcPr>
          <w:p>
            <w:pPr>
              <w:widowControl/>
              <w:spacing w:line="340" w:lineRule="exact"/>
              <w:jc w:val="center"/>
              <w:rPr>
                <w:rFonts w:ascii="仿宋" w:hAnsi="仿宋" w:eastAsia="仿宋" w:cs="仿宋"/>
                <w:kern w:val="0"/>
                <w:sz w:val="24"/>
                <w:szCs w:val="24"/>
              </w:rPr>
            </w:pPr>
            <w:r>
              <w:rPr>
                <w:rFonts w:ascii="仿宋" w:hAnsi="仿宋" w:eastAsia="仿宋" w:cs="仿宋"/>
                <w:kern w:val="0"/>
                <w:sz w:val="24"/>
                <w:szCs w:val="24"/>
              </w:rPr>
              <w:t>95</w:t>
            </w:r>
          </w:p>
        </w:tc>
        <w:tc>
          <w:tcPr>
            <w:tcW w:w="1285" w:type="dxa"/>
            <w:gridSpan w:val="2"/>
            <w:tcBorders>
              <w:right w:val="single" w:color="auto" w:sz="4" w:space="0"/>
            </w:tcBorders>
            <w:shd w:val="clear" w:color="000000" w:fill="FFFFFF"/>
            <w:noWrap/>
            <w:vAlign w:val="center"/>
          </w:tcPr>
          <w:p>
            <w:pPr>
              <w:widowControl/>
              <w:spacing w:line="340" w:lineRule="exact"/>
              <w:jc w:val="center"/>
              <w:rPr>
                <w:rFonts w:ascii="仿宋" w:hAnsi="仿宋" w:eastAsia="仿宋" w:cs="仿宋"/>
                <w:kern w:val="0"/>
                <w:sz w:val="24"/>
                <w:szCs w:val="24"/>
              </w:rPr>
            </w:pPr>
            <w:r>
              <w:rPr>
                <w:rFonts w:ascii="仿宋" w:hAnsi="仿宋" w:eastAsia="仿宋" w:cs="仿宋"/>
                <w:kern w:val="0"/>
                <w:sz w:val="24"/>
                <w:szCs w:val="24"/>
              </w:rPr>
              <w:t>100</w:t>
            </w:r>
          </w:p>
        </w:tc>
        <w:tc>
          <w:tcPr>
            <w:tcW w:w="851" w:type="dxa"/>
            <w:tcBorders>
              <w:left w:val="single" w:color="auto" w:sz="4" w:space="0"/>
            </w:tcBorders>
            <w:shd w:val="clear" w:color="000000" w:fill="FFFFFF"/>
            <w:noWrap/>
            <w:vAlign w:val="center"/>
          </w:tcPr>
          <w:p>
            <w:pPr>
              <w:widowControl/>
              <w:adjustRightInd w:val="0"/>
              <w:snapToGrid w:val="0"/>
              <w:spacing w:line="340" w:lineRule="exact"/>
              <w:jc w:val="center"/>
              <w:rPr>
                <w:rFonts w:ascii="仿宋" w:hAnsi="仿宋" w:eastAsia="仿宋" w:cs="Times New Roman"/>
                <w:kern w:val="0"/>
                <w:sz w:val="24"/>
                <w:szCs w:val="24"/>
              </w:rPr>
            </w:pPr>
            <w:r>
              <w:rPr>
                <w:rFonts w:ascii="宋体" w:hAnsi="宋体" w:cs="宋体"/>
              </w:rPr>
              <w:t>%</w:t>
            </w:r>
          </w:p>
        </w:tc>
        <w:tc>
          <w:tcPr>
            <w:tcW w:w="992" w:type="dxa"/>
            <w:shd w:val="clear" w:color="000000" w:fill="FFFFFF"/>
          </w:tcPr>
          <w:p>
            <w:pPr>
              <w:widowControl/>
              <w:adjustRightInd w:val="0"/>
              <w:snapToGrid w:val="0"/>
              <w:spacing w:line="340" w:lineRule="exact"/>
              <w:jc w:val="center"/>
              <w:rPr>
                <w:rFonts w:ascii="宋体" w:cs="Times New Roman"/>
              </w:rPr>
            </w:pPr>
            <w:r>
              <w:rPr>
                <w:rFonts w:hint="eastAsia" w:ascii="仿宋" w:hAnsi="仿宋" w:eastAsia="仿宋" w:cs="仿宋"/>
                <w:kern w:val="0"/>
                <w:sz w:val="24"/>
                <w:szCs w:val="24"/>
              </w:rPr>
              <w:t>预期性</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26" w:hRule="atLeast"/>
        </w:trPr>
        <w:tc>
          <w:tcPr>
            <w:tcW w:w="842" w:type="dxa"/>
            <w:vMerge w:val="restart"/>
            <w:vAlign w:val="center"/>
          </w:tcPr>
          <w:p>
            <w:pPr>
              <w:widowControl/>
              <w:adjustRightInd w:val="0"/>
              <w:snapToGrid w:val="0"/>
              <w:spacing w:line="340" w:lineRule="exact"/>
              <w:jc w:val="center"/>
              <w:rPr>
                <w:rFonts w:ascii="仿宋" w:hAnsi="仿宋" w:eastAsia="仿宋" w:cs="Times New Roman"/>
                <w:kern w:val="0"/>
                <w:sz w:val="24"/>
                <w:szCs w:val="24"/>
              </w:rPr>
            </w:pPr>
            <w:r>
              <w:rPr>
                <w:rFonts w:hint="eastAsia" w:ascii="仿宋" w:hAnsi="仿宋" w:eastAsia="仿宋" w:cs="仿宋"/>
                <w:kern w:val="0"/>
                <w:sz w:val="24"/>
                <w:szCs w:val="24"/>
              </w:rPr>
              <w:t>农民富裕富足</w:t>
            </w:r>
          </w:p>
        </w:tc>
        <w:tc>
          <w:tcPr>
            <w:tcW w:w="4200" w:type="dxa"/>
            <w:shd w:val="clear" w:color="000000" w:fill="FFFFFF"/>
            <w:vAlign w:val="center"/>
          </w:tcPr>
          <w:p>
            <w:pPr>
              <w:widowControl/>
              <w:adjustRightInd w:val="0"/>
              <w:snapToGrid w:val="0"/>
              <w:spacing w:line="340" w:lineRule="exact"/>
              <w:jc w:val="center"/>
              <w:rPr>
                <w:rFonts w:ascii="仿宋" w:hAnsi="仿宋" w:eastAsia="仿宋" w:cs="Times New Roman"/>
                <w:kern w:val="0"/>
                <w:sz w:val="24"/>
                <w:szCs w:val="24"/>
              </w:rPr>
            </w:pPr>
            <w:r>
              <w:rPr>
                <w:rFonts w:hint="eastAsia" w:ascii="仿宋" w:hAnsi="仿宋" w:eastAsia="仿宋" w:cs="仿宋"/>
                <w:kern w:val="0"/>
                <w:sz w:val="24"/>
                <w:szCs w:val="24"/>
              </w:rPr>
              <w:t>农村居民人均可支配收入</w:t>
            </w:r>
          </w:p>
        </w:tc>
        <w:tc>
          <w:tcPr>
            <w:tcW w:w="1152" w:type="dxa"/>
            <w:shd w:val="clear" w:color="000000" w:fill="FFFFFF"/>
            <w:noWrap/>
            <w:vAlign w:val="center"/>
          </w:tcPr>
          <w:p>
            <w:pPr>
              <w:widowControl/>
              <w:spacing w:line="340" w:lineRule="exact"/>
              <w:jc w:val="center"/>
              <w:rPr>
                <w:rFonts w:ascii="仿宋" w:hAnsi="仿宋" w:eastAsia="仿宋" w:cs="仿宋"/>
                <w:kern w:val="0"/>
                <w:sz w:val="24"/>
                <w:szCs w:val="24"/>
              </w:rPr>
            </w:pPr>
            <w:r>
              <w:rPr>
                <w:rFonts w:ascii="仿宋" w:hAnsi="仿宋" w:eastAsia="仿宋" w:cs="仿宋"/>
                <w:kern w:val="0"/>
                <w:sz w:val="24"/>
                <w:szCs w:val="24"/>
              </w:rPr>
              <w:t>17588</w:t>
            </w:r>
          </w:p>
        </w:tc>
        <w:tc>
          <w:tcPr>
            <w:tcW w:w="1285" w:type="dxa"/>
            <w:gridSpan w:val="2"/>
            <w:tcBorders>
              <w:right w:val="single" w:color="auto" w:sz="4" w:space="0"/>
            </w:tcBorders>
            <w:shd w:val="clear" w:color="000000" w:fill="FFFFFF"/>
            <w:noWrap/>
            <w:vAlign w:val="center"/>
          </w:tcPr>
          <w:p>
            <w:pPr>
              <w:widowControl/>
              <w:spacing w:line="340" w:lineRule="exact"/>
              <w:jc w:val="center"/>
              <w:rPr>
                <w:rFonts w:ascii="仿宋" w:hAnsi="仿宋" w:eastAsia="仿宋" w:cs="仿宋"/>
                <w:kern w:val="0"/>
                <w:sz w:val="24"/>
                <w:szCs w:val="24"/>
              </w:rPr>
            </w:pPr>
            <w:r>
              <w:rPr>
                <w:rFonts w:ascii="仿宋" w:hAnsi="仿宋" w:eastAsia="仿宋" w:cs="仿宋"/>
                <w:kern w:val="0"/>
                <w:sz w:val="24"/>
                <w:szCs w:val="24"/>
              </w:rPr>
              <w:t>24600</w:t>
            </w:r>
          </w:p>
        </w:tc>
        <w:tc>
          <w:tcPr>
            <w:tcW w:w="851" w:type="dxa"/>
            <w:shd w:val="clear" w:color="000000" w:fill="FFFFFF"/>
            <w:noWrap/>
            <w:vAlign w:val="center"/>
          </w:tcPr>
          <w:p>
            <w:pPr>
              <w:widowControl/>
              <w:adjustRightInd w:val="0"/>
              <w:snapToGrid w:val="0"/>
              <w:spacing w:line="340" w:lineRule="exact"/>
              <w:jc w:val="center"/>
              <w:rPr>
                <w:rFonts w:ascii="仿宋" w:hAnsi="仿宋" w:eastAsia="仿宋" w:cs="Times New Roman"/>
                <w:kern w:val="0"/>
                <w:sz w:val="24"/>
                <w:szCs w:val="24"/>
              </w:rPr>
            </w:pPr>
            <w:r>
              <w:rPr>
                <w:rFonts w:hint="eastAsia" w:ascii="仿宋" w:hAnsi="仿宋" w:eastAsia="仿宋" w:cs="仿宋"/>
                <w:kern w:val="0"/>
                <w:sz w:val="24"/>
                <w:szCs w:val="24"/>
              </w:rPr>
              <w:t>元</w:t>
            </w:r>
          </w:p>
        </w:tc>
        <w:tc>
          <w:tcPr>
            <w:tcW w:w="992" w:type="dxa"/>
            <w:shd w:val="clear" w:color="000000" w:fill="FFFFFF"/>
          </w:tcPr>
          <w:p>
            <w:pPr>
              <w:widowControl/>
              <w:adjustRightInd w:val="0"/>
              <w:snapToGrid w:val="0"/>
              <w:spacing w:line="340" w:lineRule="exact"/>
              <w:jc w:val="center"/>
              <w:rPr>
                <w:rFonts w:ascii="仿宋" w:hAnsi="仿宋" w:eastAsia="仿宋" w:cs="Times New Roman"/>
                <w:kern w:val="0"/>
                <w:sz w:val="24"/>
                <w:szCs w:val="24"/>
              </w:rPr>
            </w:pPr>
            <w:r>
              <w:rPr>
                <w:rFonts w:hint="eastAsia" w:ascii="仿宋" w:hAnsi="仿宋" w:eastAsia="仿宋" w:cs="仿宋"/>
                <w:kern w:val="0"/>
                <w:sz w:val="24"/>
                <w:szCs w:val="24"/>
              </w:rPr>
              <w:t>预期性</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86" w:hRule="atLeast"/>
        </w:trPr>
        <w:tc>
          <w:tcPr>
            <w:tcW w:w="842" w:type="dxa"/>
            <w:vMerge w:val="continue"/>
            <w:tcBorders>
              <w:bottom w:val="single" w:color="auto" w:sz="4" w:space="0"/>
            </w:tcBorders>
            <w:vAlign w:val="center"/>
          </w:tcPr>
          <w:p>
            <w:pPr>
              <w:widowControl/>
              <w:adjustRightInd w:val="0"/>
              <w:snapToGrid w:val="0"/>
              <w:spacing w:line="340" w:lineRule="exact"/>
              <w:jc w:val="left"/>
              <w:rPr>
                <w:rFonts w:ascii="仿宋" w:hAnsi="仿宋" w:eastAsia="仿宋" w:cs="Times New Roman"/>
                <w:kern w:val="0"/>
                <w:sz w:val="24"/>
                <w:szCs w:val="24"/>
              </w:rPr>
            </w:pPr>
          </w:p>
        </w:tc>
        <w:tc>
          <w:tcPr>
            <w:tcW w:w="4200" w:type="dxa"/>
            <w:tcBorders>
              <w:bottom w:val="single" w:color="auto" w:sz="4" w:space="0"/>
            </w:tcBorders>
            <w:shd w:val="clear" w:color="000000" w:fill="FFFFFF"/>
            <w:vAlign w:val="center"/>
          </w:tcPr>
          <w:p>
            <w:pPr>
              <w:widowControl/>
              <w:adjustRightInd w:val="0"/>
              <w:snapToGrid w:val="0"/>
              <w:spacing w:line="340" w:lineRule="exact"/>
              <w:jc w:val="center"/>
              <w:rPr>
                <w:rFonts w:ascii="仿宋" w:hAnsi="仿宋" w:eastAsia="仿宋" w:cs="Times New Roman"/>
                <w:kern w:val="0"/>
                <w:sz w:val="24"/>
                <w:szCs w:val="24"/>
              </w:rPr>
            </w:pPr>
            <w:r>
              <w:rPr>
                <w:rFonts w:hint="eastAsia" w:ascii="仿宋" w:hAnsi="仿宋" w:eastAsia="仿宋" w:cs="仿宋"/>
                <w:kern w:val="0"/>
                <w:sz w:val="24"/>
                <w:szCs w:val="24"/>
              </w:rPr>
              <w:t>城乡居民人均可支配收入比</w:t>
            </w:r>
          </w:p>
        </w:tc>
        <w:tc>
          <w:tcPr>
            <w:tcW w:w="1152" w:type="dxa"/>
            <w:shd w:val="clear" w:color="000000" w:fill="FFFFFF"/>
            <w:noWrap/>
            <w:vAlign w:val="center"/>
          </w:tcPr>
          <w:p>
            <w:pPr>
              <w:widowControl/>
              <w:spacing w:line="340" w:lineRule="exact"/>
              <w:jc w:val="center"/>
              <w:rPr>
                <w:rFonts w:ascii="仿宋" w:hAnsi="仿宋" w:eastAsia="仿宋" w:cs="仿宋"/>
                <w:kern w:val="0"/>
                <w:sz w:val="24"/>
                <w:szCs w:val="24"/>
              </w:rPr>
            </w:pPr>
            <w:r>
              <w:rPr>
                <w:rFonts w:ascii="仿宋" w:hAnsi="仿宋" w:eastAsia="仿宋" w:cs="仿宋"/>
                <w:kern w:val="0"/>
                <w:sz w:val="24"/>
                <w:szCs w:val="24"/>
              </w:rPr>
              <w:t>2.09</w:t>
            </w:r>
          </w:p>
        </w:tc>
        <w:tc>
          <w:tcPr>
            <w:tcW w:w="1285" w:type="dxa"/>
            <w:gridSpan w:val="2"/>
            <w:tcBorders>
              <w:right w:val="single" w:color="auto" w:sz="4" w:space="0"/>
            </w:tcBorders>
            <w:shd w:val="clear" w:color="000000" w:fill="FFFFFF"/>
            <w:noWrap/>
            <w:vAlign w:val="center"/>
          </w:tcPr>
          <w:p>
            <w:pPr>
              <w:widowControl/>
              <w:spacing w:line="340" w:lineRule="exact"/>
              <w:jc w:val="center"/>
              <w:rPr>
                <w:rFonts w:ascii="仿宋" w:hAnsi="仿宋" w:eastAsia="仿宋" w:cs="仿宋"/>
                <w:kern w:val="0"/>
                <w:sz w:val="24"/>
                <w:szCs w:val="24"/>
              </w:rPr>
            </w:pPr>
            <w:r>
              <w:rPr>
                <w:rFonts w:ascii="仿宋" w:hAnsi="仿宋" w:eastAsia="仿宋" w:cs="仿宋"/>
                <w:kern w:val="0"/>
                <w:sz w:val="24"/>
                <w:szCs w:val="24"/>
              </w:rPr>
              <w:t>2.0</w:t>
            </w:r>
          </w:p>
        </w:tc>
        <w:tc>
          <w:tcPr>
            <w:tcW w:w="851" w:type="dxa"/>
            <w:shd w:val="clear" w:color="000000" w:fill="FFFFFF"/>
            <w:noWrap/>
            <w:vAlign w:val="center"/>
          </w:tcPr>
          <w:p>
            <w:pPr>
              <w:widowControl/>
              <w:adjustRightInd w:val="0"/>
              <w:snapToGrid w:val="0"/>
              <w:spacing w:line="340" w:lineRule="exact"/>
              <w:jc w:val="center"/>
              <w:rPr>
                <w:rFonts w:ascii="仿宋" w:hAnsi="仿宋" w:eastAsia="仿宋" w:cs="仿宋"/>
                <w:kern w:val="0"/>
                <w:sz w:val="24"/>
                <w:szCs w:val="24"/>
              </w:rPr>
            </w:pPr>
            <w:r>
              <w:rPr>
                <w:rFonts w:ascii="仿宋" w:hAnsi="仿宋" w:eastAsia="仿宋" w:cs="仿宋"/>
                <w:kern w:val="0"/>
                <w:sz w:val="24"/>
                <w:szCs w:val="24"/>
              </w:rPr>
              <w:t>/</w:t>
            </w:r>
          </w:p>
        </w:tc>
        <w:tc>
          <w:tcPr>
            <w:tcW w:w="992" w:type="dxa"/>
            <w:shd w:val="clear" w:color="000000" w:fill="FFFFFF"/>
          </w:tcPr>
          <w:p>
            <w:pPr>
              <w:widowControl/>
              <w:adjustRightInd w:val="0"/>
              <w:snapToGrid w:val="0"/>
              <w:spacing w:line="340" w:lineRule="exact"/>
              <w:jc w:val="center"/>
              <w:rPr>
                <w:rFonts w:ascii="仿宋" w:hAnsi="仿宋" w:eastAsia="仿宋" w:cs="Times New Roman"/>
                <w:kern w:val="0"/>
                <w:sz w:val="24"/>
                <w:szCs w:val="24"/>
              </w:rPr>
            </w:pPr>
            <w:r>
              <w:rPr>
                <w:rFonts w:hint="eastAsia" w:ascii="仿宋" w:hAnsi="仿宋" w:eastAsia="仿宋" w:cs="仿宋"/>
                <w:kern w:val="0"/>
                <w:sz w:val="24"/>
                <w:szCs w:val="24"/>
              </w:rPr>
              <w:t>预期性</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86" w:hRule="atLeast"/>
        </w:trPr>
        <w:tc>
          <w:tcPr>
            <w:tcW w:w="842" w:type="dxa"/>
            <w:vMerge w:val="continue"/>
            <w:tcBorders>
              <w:bottom w:val="single" w:color="auto" w:sz="4" w:space="0"/>
            </w:tcBorders>
            <w:vAlign w:val="center"/>
          </w:tcPr>
          <w:p>
            <w:pPr>
              <w:widowControl/>
              <w:adjustRightInd w:val="0"/>
              <w:snapToGrid w:val="0"/>
              <w:spacing w:line="340" w:lineRule="exact"/>
              <w:jc w:val="left"/>
              <w:rPr>
                <w:rFonts w:ascii="仿宋" w:hAnsi="仿宋" w:eastAsia="仿宋" w:cs="Times New Roman"/>
                <w:kern w:val="0"/>
                <w:sz w:val="24"/>
                <w:szCs w:val="24"/>
              </w:rPr>
            </w:pPr>
          </w:p>
        </w:tc>
        <w:tc>
          <w:tcPr>
            <w:tcW w:w="4200" w:type="dxa"/>
            <w:tcBorders>
              <w:bottom w:val="single" w:color="auto" w:sz="4" w:space="0"/>
            </w:tcBorders>
            <w:shd w:val="clear" w:color="000000" w:fill="FFFFFF"/>
            <w:vAlign w:val="center"/>
          </w:tcPr>
          <w:p>
            <w:pPr>
              <w:widowControl/>
              <w:adjustRightInd w:val="0"/>
              <w:snapToGrid w:val="0"/>
              <w:spacing w:line="340" w:lineRule="exact"/>
              <w:jc w:val="center"/>
              <w:rPr>
                <w:rFonts w:ascii="仿宋" w:hAnsi="仿宋" w:eastAsia="仿宋" w:cs="Times New Roman"/>
                <w:kern w:val="0"/>
                <w:sz w:val="24"/>
                <w:szCs w:val="24"/>
              </w:rPr>
            </w:pPr>
            <w:r>
              <w:rPr>
                <w:rFonts w:hint="eastAsia" w:ascii="仿宋" w:hAnsi="仿宋" w:eastAsia="仿宋" w:cs="仿宋"/>
                <w:kern w:val="0"/>
                <w:sz w:val="24"/>
                <w:szCs w:val="24"/>
              </w:rPr>
              <w:t>农村居民教育文化娱乐消费支出占比</w:t>
            </w:r>
          </w:p>
        </w:tc>
        <w:tc>
          <w:tcPr>
            <w:tcW w:w="1152" w:type="dxa"/>
            <w:shd w:val="clear" w:color="000000" w:fill="FFFFFF"/>
            <w:noWrap/>
            <w:vAlign w:val="center"/>
          </w:tcPr>
          <w:p>
            <w:pPr>
              <w:widowControl/>
              <w:spacing w:line="340" w:lineRule="exact"/>
              <w:jc w:val="center"/>
              <w:rPr>
                <w:rFonts w:ascii="仿宋" w:hAnsi="仿宋" w:eastAsia="仿宋" w:cs="仿宋"/>
                <w:kern w:val="0"/>
                <w:sz w:val="24"/>
                <w:szCs w:val="24"/>
              </w:rPr>
            </w:pPr>
            <w:r>
              <w:rPr>
                <w:rFonts w:ascii="仿宋" w:hAnsi="仿宋" w:eastAsia="仿宋" w:cs="仿宋"/>
                <w:kern w:val="0"/>
                <w:sz w:val="24"/>
                <w:szCs w:val="24"/>
              </w:rPr>
              <w:t>12.48</w:t>
            </w:r>
          </w:p>
        </w:tc>
        <w:tc>
          <w:tcPr>
            <w:tcW w:w="1285" w:type="dxa"/>
            <w:gridSpan w:val="2"/>
            <w:tcBorders>
              <w:right w:val="single" w:color="auto" w:sz="4" w:space="0"/>
            </w:tcBorders>
            <w:shd w:val="clear" w:color="000000" w:fill="FFFFFF"/>
            <w:noWrap/>
            <w:vAlign w:val="center"/>
          </w:tcPr>
          <w:p>
            <w:pPr>
              <w:widowControl/>
              <w:spacing w:line="340" w:lineRule="exact"/>
              <w:jc w:val="center"/>
              <w:rPr>
                <w:rFonts w:ascii="仿宋" w:hAnsi="仿宋" w:eastAsia="仿宋" w:cs="仿宋"/>
                <w:kern w:val="0"/>
                <w:sz w:val="24"/>
                <w:szCs w:val="24"/>
              </w:rPr>
            </w:pPr>
            <w:r>
              <w:rPr>
                <w:rFonts w:ascii="仿宋" w:hAnsi="仿宋" w:eastAsia="仿宋" w:cs="仿宋"/>
                <w:kern w:val="0"/>
                <w:sz w:val="24"/>
                <w:szCs w:val="24"/>
              </w:rPr>
              <w:t>13</w:t>
            </w:r>
          </w:p>
        </w:tc>
        <w:tc>
          <w:tcPr>
            <w:tcW w:w="851" w:type="dxa"/>
            <w:shd w:val="clear" w:color="000000" w:fill="FFFFFF"/>
            <w:noWrap/>
            <w:vAlign w:val="center"/>
          </w:tcPr>
          <w:p>
            <w:pPr>
              <w:widowControl/>
              <w:adjustRightInd w:val="0"/>
              <w:snapToGrid w:val="0"/>
              <w:spacing w:line="340" w:lineRule="exact"/>
              <w:jc w:val="center"/>
              <w:rPr>
                <w:rFonts w:ascii="仿宋" w:hAnsi="仿宋" w:eastAsia="仿宋" w:cs="仿宋"/>
                <w:kern w:val="0"/>
                <w:sz w:val="24"/>
                <w:szCs w:val="24"/>
              </w:rPr>
            </w:pPr>
            <w:r>
              <w:rPr>
                <w:rFonts w:ascii="仿宋" w:hAnsi="仿宋" w:eastAsia="仿宋" w:cs="仿宋"/>
                <w:kern w:val="0"/>
                <w:sz w:val="24"/>
                <w:szCs w:val="24"/>
              </w:rPr>
              <w:t>%</w:t>
            </w:r>
          </w:p>
        </w:tc>
        <w:tc>
          <w:tcPr>
            <w:tcW w:w="992" w:type="dxa"/>
            <w:shd w:val="clear" w:color="000000" w:fill="FFFFFF"/>
          </w:tcPr>
          <w:p>
            <w:pPr>
              <w:widowControl/>
              <w:adjustRightInd w:val="0"/>
              <w:snapToGrid w:val="0"/>
              <w:spacing w:line="340" w:lineRule="exact"/>
              <w:jc w:val="center"/>
              <w:rPr>
                <w:rFonts w:ascii="仿宋" w:hAnsi="仿宋" w:eastAsia="仿宋" w:cs="Times New Roman"/>
                <w:kern w:val="0"/>
                <w:sz w:val="24"/>
                <w:szCs w:val="24"/>
              </w:rPr>
            </w:pPr>
            <w:r>
              <w:rPr>
                <w:rFonts w:hint="eastAsia" w:ascii="仿宋" w:hAnsi="仿宋" w:eastAsia="仿宋" w:cs="仿宋"/>
                <w:kern w:val="0"/>
                <w:sz w:val="24"/>
                <w:szCs w:val="24"/>
              </w:rPr>
              <w:t>预期性</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4" w:hRule="atLeast"/>
        </w:trPr>
        <w:tc>
          <w:tcPr>
            <w:tcW w:w="842" w:type="dxa"/>
            <w:vMerge w:val="restart"/>
            <w:tcBorders>
              <w:top w:val="single" w:color="auto" w:sz="4" w:space="0"/>
            </w:tcBorders>
            <w:vAlign w:val="center"/>
          </w:tcPr>
          <w:p>
            <w:pPr>
              <w:widowControl/>
              <w:adjustRightInd w:val="0"/>
              <w:snapToGrid w:val="0"/>
              <w:spacing w:line="340" w:lineRule="exact"/>
              <w:jc w:val="left"/>
              <w:rPr>
                <w:rFonts w:ascii="仿宋" w:hAnsi="仿宋" w:eastAsia="仿宋" w:cs="Times New Roman"/>
                <w:kern w:val="0"/>
                <w:sz w:val="24"/>
                <w:szCs w:val="24"/>
              </w:rPr>
            </w:pPr>
            <w:r>
              <w:rPr>
                <w:rFonts w:hint="eastAsia" w:ascii="仿宋" w:hAnsi="仿宋" w:eastAsia="仿宋" w:cs="仿宋"/>
                <w:kern w:val="0"/>
                <w:sz w:val="24"/>
                <w:szCs w:val="24"/>
              </w:rPr>
              <w:t>乡村治理有效</w:t>
            </w:r>
          </w:p>
        </w:tc>
        <w:tc>
          <w:tcPr>
            <w:tcW w:w="4200" w:type="dxa"/>
            <w:shd w:val="clear" w:color="000000" w:fill="FFFFFF"/>
            <w:vAlign w:val="center"/>
          </w:tcPr>
          <w:p>
            <w:pPr>
              <w:widowControl/>
              <w:adjustRightInd w:val="0"/>
              <w:snapToGrid w:val="0"/>
              <w:spacing w:line="340" w:lineRule="exact"/>
              <w:jc w:val="center"/>
              <w:rPr>
                <w:rFonts w:ascii="仿宋" w:hAnsi="仿宋" w:eastAsia="仿宋" w:cs="Times New Roman"/>
                <w:kern w:val="0"/>
                <w:sz w:val="24"/>
                <w:szCs w:val="24"/>
              </w:rPr>
            </w:pPr>
            <w:r>
              <w:rPr>
                <w:rFonts w:hint="eastAsia" w:ascii="仿宋" w:hAnsi="仿宋" w:eastAsia="仿宋" w:cs="仿宋"/>
                <w:kern w:val="0"/>
                <w:sz w:val="24"/>
                <w:szCs w:val="24"/>
              </w:rPr>
              <w:t>县级及以上文明村占比</w:t>
            </w:r>
          </w:p>
        </w:tc>
        <w:tc>
          <w:tcPr>
            <w:tcW w:w="1152" w:type="dxa"/>
            <w:shd w:val="clear" w:color="000000" w:fill="FFFFFF"/>
            <w:noWrap/>
            <w:vAlign w:val="center"/>
          </w:tcPr>
          <w:p>
            <w:pPr>
              <w:widowControl/>
              <w:adjustRightInd w:val="0"/>
              <w:snapToGrid w:val="0"/>
              <w:spacing w:line="340" w:lineRule="exact"/>
              <w:jc w:val="center"/>
              <w:rPr>
                <w:rFonts w:ascii="仿宋" w:hAnsi="仿宋" w:eastAsia="仿宋" w:cs="仿宋"/>
                <w:kern w:val="0"/>
                <w:sz w:val="24"/>
                <w:szCs w:val="24"/>
              </w:rPr>
            </w:pPr>
            <w:r>
              <w:rPr>
                <w:rFonts w:ascii="仿宋" w:hAnsi="仿宋" w:eastAsia="仿宋" w:cs="仿宋"/>
                <w:kern w:val="0"/>
                <w:sz w:val="24"/>
                <w:szCs w:val="24"/>
              </w:rPr>
              <w:t>51</w:t>
            </w:r>
          </w:p>
        </w:tc>
        <w:tc>
          <w:tcPr>
            <w:tcW w:w="1285" w:type="dxa"/>
            <w:gridSpan w:val="2"/>
            <w:tcBorders>
              <w:right w:val="single" w:color="auto" w:sz="4" w:space="0"/>
            </w:tcBorders>
            <w:shd w:val="clear" w:color="000000" w:fill="FFFFFF"/>
            <w:noWrap/>
            <w:vAlign w:val="center"/>
          </w:tcPr>
          <w:p>
            <w:pPr>
              <w:widowControl/>
              <w:adjustRightInd w:val="0"/>
              <w:snapToGrid w:val="0"/>
              <w:spacing w:line="340" w:lineRule="exact"/>
              <w:jc w:val="center"/>
              <w:rPr>
                <w:rFonts w:ascii="仿宋" w:hAnsi="仿宋" w:eastAsia="仿宋" w:cs="仿宋"/>
                <w:kern w:val="0"/>
                <w:sz w:val="24"/>
                <w:szCs w:val="24"/>
              </w:rPr>
            </w:pPr>
            <w:r>
              <w:rPr>
                <w:rFonts w:ascii="仿宋" w:hAnsi="仿宋" w:eastAsia="仿宋" w:cs="仿宋"/>
                <w:kern w:val="0"/>
                <w:sz w:val="24"/>
                <w:szCs w:val="24"/>
              </w:rPr>
              <w:t>60</w:t>
            </w:r>
          </w:p>
        </w:tc>
        <w:tc>
          <w:tcPr>
            <w:tcW w:w="851" w:type="dxa"/>
            <w:shd w:val="clear" w:color="000000" w:fill="FFFFFF"/>
            <w:noWrap/>
            <w:vAlign w:val="center"/>
          </w:tcPr>
          <w:p>
            <w:pPr>
              <w:widowControl/>
              <w:adjustRightInd w:val="0"/>
              <w:snapToGrid w:val="0"/>
              <w:spacing w:line="340" w:lineRule="exact"/>
              <w:jc w:val="center"/>
              <w:rPr>
                <w:rFonts w:ascii="仿宋" w:hAnsi="仿宋" w:eastAsia="仿宋" w:cs="仿宋"/>
                <w:kern w:val="0"/>
                <w:sz w:val="24"/>
                <w:szCs w:val="24"/>
              </w:rPr>
            </w:pPr>
            <w:r>
              <w:rPr>
                <w:rFonts w:ascii="仿宋" w:hAnsi="仿宋" w:eastAsia="仿宋" w:cs="仿宋"/>
                <w:kern w:val="0"/>
                <w:sz w:val="24"/>
                <w:szCs w:val="24"/>
              </w:rPr>
              <w:t>%</w:t>
            </w:r>
          </w:p>
        </w:tc>
        <w:tc>
          <w:tcPr>
            <w:tcW w:w="992" w:type="dxa"/>
            <w:shd w:val="clear" w:color="000000" w:fill="FFFFFF"/>
          </w:tcPr>
          <w:p>
            <w:pPr>
              <w:widowControl/>
              <w:adjustRightInd w:val="0"/>
              <w:snapToGrid w:val="0"/>
              <w:spacing w:line="340" w:lineRule="exact"/>
              <w:jc w:val="center"/>
              <w:rPr>
                <w:rFonts w:ascii="仿宋" w:hAnsi="仿宋" w:eastAsia="仿宋" w:cs="Times New Roman"/>
                <w:kern w:val="0"/>
                <w:sz w:val="24"/>
                <w:szCs w:val="24"/>
              </w:rPr>
            </w:pPr>
            <w:r>
              <w:rPr>
                <w:rFonts w:hint="eastAsia" w:ascii="仿宋" w:hAnsi="仿宋" w:eastAsia="仿宋" w:cs="仿宋"/>
                <w:kern w:val="0"/>
                <w:sz w:val="24"/>
                <w:szCs w:val="24"/>
              </w:rPr>
              <w:t>预期性</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93" w:hRule="atLeast"/>
        </w:trPr>
        <w:tc>
          <w:tcPr>
            <w:tcW w:w="842" w:type="dxa"/>
            <w:vMerge w:val="continue"/>
            <w:vAlign w:val="center"/>
          </w:tcPr>
          <w:p>
            <w:pPr>
              <w:widowControl/>
              <w:adjustRightInd w:val="0"/>
              <w:snapToGrid w:val="0"/>
              <w:spacing w:line="340" w:lineRule="exact"/>
              <w:jc w:val="left"/>
              <w:rPr>
                <w:rFonts w:ascii="仿宋" w:hAnsi="仿宋" w:eastAsia="仿宋" w:cs="Times New Roman"/>
                <w:kern w:val="0"/>
                <w:sz w:val="24"/>
                <w:szCs w:val="24"/>
              </w:rPr>
            </w:pPr>
          </w:p>
        </w:tc>
        <w:tc>
          <w:tcPr>
            <w:tcW w:w="4200" w:type="dxa"/>
            <w:shd w:val="clear" w:color="000000" w:fill="FFFFFF"/>
            <w:vAlign w:val="center"/>
          </w:tcPr>
          <w:p>
            <w:pPr>
              <w:widowControl/>
              <w:adjustRightInd w:val="0"/>
              <w:snapToGrid w:val="0"/>
              <w:spacing w:line="340" w:lineRule="exact"/>
              <w:jc w:val="center"/>
              <w:rPr>
                <w:rFonts w:ascii="仿宋" w:hAnsi="仿宋" w:eastAsia="仿宋" w:cs="Times New Roman"/>
                <w:kern w:val="0"/>
                <w:sz w:val="24"/>
                <w:szCs w:val="24"/>
              </w:rPr>
            </w:pPr>
            <w:r>
              <w:rPr>
                <w:rFonts w:hint="eastAsia" w:ascii="仿宋" w:hAnsi="仿宋" w:eastAsia="仿宋" w:cs="仿宋"/>
                <w:kern w:val="0"/>
                <w:sz w:val="24"/>
                <w:szCs w:val="24"/>
              </w:rPr>
              <w:t>建立农村集体经济组织的行政村占比</w:t>
            </w:r>
          </w:p>
        </w:tc>
        <w:tc>
          <w:tcPr>
            <w:tcW w:w="1152" w:type="dxa"/>
            <w:shd w:val="clear" w:color="000000" w:fill="FFFFFF"/>
            <w:noWrap/>
            <w:vAlign w:val="center"/>
          </w:tcPr>
          <w:p>
            <w:pPr>
              <w:widowControl/>
              <w:adjustRightInd w:val="0"/>
              <w:snapToGrid w:val="0"/>
              <w:spacing w:line="340" w:lineRule="exact"/>
              <w:jc w:val="center"/>
              <w:rPr>
                <w:rFonts w:ascii="仿宋" w:hAnsi="仿宋" w:eastAsia="仿宋" w:cs="仿宋"/>
                <w:kern w:val="0"/>
                <w:sz w:val="24"/>
                <w:szCs w:val="24"/>
              </w:rPr>
            </w:pPr>
            <w:r>
              <w:rPr>
                <w:rFonts w:ascii="仿宋" w:hAnsi="仿宋" w:eastAsia="仿宋" w:cs="仿宋"/>
                <w:kern w:val="0"/>
                <w:sz w:val="24"/>
                <w:szCs w:val="24"/>
              </w:rPr>
              <w:t>100</w:t>
            </w:r>
          </w:p>
        </w:tc>
        <w:tc>
          <w:tcPr>
            <w:tcW w:w="1285" w:type="dxa"/>
            <w:gridSpan w:val="2"/>
            <w:tcBorders>
              <w:right w:val="single" w:color="auto" w:sz="4" w:space="0"/>
            </w:tcBorders>
            <w:shd w:val="clear" w:color="000000" w:fill="FFFFFF"/>
            <w:noWrap/>
            <w:vAlign w:val="center"/>
          </w:tcPr>
          <w:p>
            <w:pPr>
              <w:widowControl/>
              <w:adjustRightInd w:val="0"/>
              <w:snapToGrid w:val="0"/>
              <w:spacing w:line="340" w:lineRule="exact"/>
              <w:jc w:val="center"/>
              <w:rPr>
                <w:rFonts w:ascii="仿宋" w:hAnsi="仿宋" w:eastAsia="仿宋" w:cs="仿宋"/>
                <w:kern w:val="0"/>
                <w:sz w:val="24"/>
                <w:szCs w:val="24"/>
              </w:rPr>
            </w:pPr>
            <w:r>
              <w:rPr>
                <w:rFonts w:ascii="仿宋" w:hAnsi="仿宋" w:eastAsia="仿宋" w:cs="仿宋"/>
                <w:kern w:val="0"/>
                <w:sz w:val="24"/>
                <w:szCs w:val="24"/>
              </w:rPr>
              <w:t>100</w:t>
            </w:r>
          </w:p>
        </w:tc>
        <w:tc>
          <w:tcPr>
            <w:tcW w:w="851" w:type="dxa"/>
            <w:shd w:val="clear" w:color="000000" w:fill="FFFFFF"/>
            <w:noWrap/>
            <w:vAlign w:val="center"/>
          </w:tcPr>
          <w:p>
            <w:pPr>
              <w:widowControl/>
              <w:adjustRightInd w:val="0"/>
              <w:snapToGrid w:val="0"/>
              <w:spacing w:line="340" w:lineRule="exact"/>
              <w:jc w:val="center"/>
              <w:rPr>
                <w:rFonts w:ascii="仿宋" w:hAnsi="仿宋" w:eastAsia="仿宋" w:cs="仿宋"/>
                <w:kern w:val="0"/>
                <w:sz w:val="24"/>
                <w:szCs w:val="24"/>
              </w:rPr>
            </w:pPr>
            <w:r>
              <w:rPr>
                <w:rFonts w:ascii="仿宋" w:hAnsi="仿宋" w:eastAsia="仿宋" w:cs="仿宋"/>
                <w:kern w:val="0"/>
                <w:sz w:val="24"/>
                <w:szCs w:val="24"/>
              </w:rPr>
              <w:t>%</w:t>
            </w:r>
          </w:p>
        </w:tc>
        <w:tc>
          <w:tcPr>
            <w:tcW w:w="992" w:type="dxa"/>
            <w:shd w:val="clear" w:color="000000" w:fill="FFFFFF"/>
          </w:tcPr>
          <w:p>
            <w:pPr>
              <w:widowControl/>
              <w:adjustRightInd w:val="0"/>
              <w:snapToGrid w:val="0"/>
              <w:spacing w:line="340" w:lineRule="exact"/>
              <w:jc w:val="center"/>
              <w:rPr>
                <w:rFonts w:ascii="仿宋" w:hAnsi="仿宋" w:eastAsia="仿宋" w:cs="Times New Roman"/>
                <w:kern w:val="0"/>
                <w:sz w:val="24"/>
                <w:szCs w:val="24"/>
              </w:rPr>
            </w:pPr>
            <w:r>
              <w:rPr>
                <w:rFonts w:hint="eastAsia" w:ascii="仿宋" w:hAnsi="仿宋" w:eastAsia="仿宋" w:cs="仿宋"/>
                <w:kern w:val="0"/>
                <w:sz w:val="24"/>
                <w:szCs w:val="24"/>
              </w:rPr>
              <w:t>预期性</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93" w:hRule="atLeast"/>
        </w:trPr>
        <w:tc>
          <w:tcPr>
            <w:tcW w:w="842" w:type="dxa"/>
            <w:vMerge w:val="continue"/>
            <w:vAlign w:val="center"/>
          </w:tcPr>
          <w:p>
            <w:pPr>
              <w:widowControl/>
              <w:adjustRightInd w:val="0"/>
              <w:snapToGrid w:val="0"/>
              <w:spacing w:line="340" w:lineRule="exact"/>
              <w:jc w:val="left"/>
              <w:rPr>
                <w:rFonts w:ascii="仿宋" w:hAnsi="仿宋" w:eastAsia="仿宋" w:cs="Times New Roman"/>
                <w:kern w:val="0"/>
                <w:sz w:val="24"/>
                <w:szCs w:val="24"/>
              </w:rPr>
            </w:pPr>
          </w:p>
        </w:tc>
        <w:tc>
          <w:tcPr>
            <w:tcW w:w="4200" w:type="dxa"/>
            <w:shd w:val="clear" w:color="000000" w:fill="FFFFFF"/>
            <w:vAlign w:val="center"/>
          </w:tcPr>
          <w:p>
            <w:pPr>
              <w:widowControl/>
              <w:adjustRightInd w:val="0"/>
              <w:snapToGrid w:val="0"/>
              <w:spacing w:line="340" w:lineRule="exact"/>
              <w:jc w:val="center"/>
              <w:rPr>
                <w:rFonts w:ascii="仿宋" w:hAnsi="仿宋" w:eastAsia="仿宋" w:cs="Times New Roman"/>
                <w:kern w:val="0"/>
                <w:sz w:val="24"/>
                <w:szCs w:val="24"/>
              </w:rPr>
            </w:pPr>
            <w:r>
              <w:rPr>
                <w:rFonts w:hint="eastAsia" w:ascii="仿宋" w:hAnsi="仿宋" w:eastAsia="仿宋" w:cs="仿宋"/>
                <w:kern w:val="0"/>
                <w:sz w:val="24"/>
                <w:szCs w:val="24"/>
              </w:rPr>
              <w:t>建有综合服务站的村占比</w:t>
            </w:r>
          </w:p>
        </w:tc>
        <w:tc>
          <w:tcPr>
            <w:tcW w:w="1152" w:type="dxa"/>
            <w:shd w:val="clear" w:color="000000" w:fill="FFFFFF"/>
            <w:noWrap/>
            <w:vAlign w:val="center"/>
          </w:tcPr>
          <w:p>
            <w:pPr>
              <w:widowControl/>
              <w:adjustRightInd w:val="0"/>
              <w:snapToGrid w:val="0"/>
              <w:spacing w:line="340" w:lineRule="exact"/>
              <w:jc w:val="center"/>
              <w:rPr>
                <w:rFonts w:ascii="仿宋" w:hAnsi="仿宋" w:eastAsia="仿宋" w:cs="仿宋"/>
                <w:kern w:val="0"/>
                <w:sz w:val="24"/>
                <w:szCs w:val="24"/>
              </w:rPr>
            </w:pPr>
            <w:r>
              <w:rPr>
                <w:rFonts w:ascii="仿宋" w:hAnsi="仿宋" w:eastAsia="仿宋" w:cs="仿宋"/>
                <w:kern w:val="0"/>
                <w:sz w:val="24"/>
                <w:szCs w:val="24"/>
              </w:rPr>
              <w:t>99.8</w:t>
            </w:r>
          </w:p>
        </w:tc>
        <w:tc>
          <w:tcPr>
            <w:tcW w:w="1285" w:type="dxa"/>
            <w:gridSpan w:val="2"/>
            <w:tcBorders>
              <w:right w:val="single" w:color="auto" w:sz="4" w:space="0"/>
            </w:tcBorders>
            <w:shd w:val="clear" w:color="000000" w:fill="FFFFFF"/>
            <w:noWrap/>
            <w:vAlign w:val="center"/>
          </w:tcPr>
          <w:p>
            <w:pPr>
              <w:widowControl/>
              <w:adjustRightInd w:val="0"/>
              <w:snapToGrid w:val="0"/>
              <w:spacing w:line="340" w:lineRule="exact"/>
              <w:jc w:val="center"/>
              <w:rPr>
                <w:rFonts w:ascii="仿宋" w:eastAsia="仿宋" w:cs="仿宋"/>
                <w:kern w:val="0"/>
                <w:sz w:val="24"/>
                <w:szCs w:val="24"/>
              </w:rPr>
            </w:pPr>
            <w:r>
              <w:rPr>
                <w:rFonts w:ascii="仿宋" w:hAnsi="仿宋" w:eastAsia="仿宋" w:cs="仿宋"/>
                <w:kern w:val="0"/>
                <w:sz w:val="24"/>
                <w:szCs w:val="24"/>
              </w:rPr>
              <w:t>100</w:t>
            </w:r>
          </w:p>
        </w:tc>
        <w:tc>
          <w:tcPr>
            <w:tcW w:w="851" w:type="dxa"/>
            <w:shd w:val="clear" w:color="000000" w:fill="FFFFFF"/>
            <w:noWrap/>
            <w:vAlign w:val="center"/>
          </w:tcPr>
          <w:p>
            <w:pPr>
              <w:widowControl/>
              <w:adjustRightInd w:val="0"/>
              <w:snapToGrid w:val="0"/>
              <w:spacing w:line="340" w:lineRule="exact"/>
              <w:jc w:val="center"/>
              <w:rPr>
                <w:rFonts w:ascii="仿宋" w:hAnsi="仿宋" w:eastAsia="仿宋" w:cs="仿宋"/>
                <w:kern w:val="0"/>
                <w:sz w:val="24"/>
                <w:szCs w:val="24"/>
              </w:rPr>
            </w:pPr>
            <w:r>
              <w:rPr>
                <w:rFonts w:ascii="仿宋" w:hAnsi="仿宋" w:eastAsia="仿宋" w:cs="仿宋"/>
                <w:kern w:val="0"/>
                <w:sz w:val="24"/>
                <w:szCs w:val="24"/>
              </w:rPr>
              <w:t>%</w:t>
            </w:r>
          </w:p>
        </w:tc>
        <w:tc>
          <w:tcPr>
            <w:tcW w:w="992" w:type="dxa"/>
            <w:shd w:val="clear" w:color="000000" w:fill="FFFFFF"/>
          </w:tcPr>
          <w:p>
            <w:pPr>
              <w:widowControl/>
              <w:adjustRightInd w:val="0"/>
              <w:snapToGrid w:val="0"/>
              <w:spacing w:line="340" w:lineRule="exact"/>
              <w:jc w:val="center"/>
              <w:rPr>
                <w:rFonts w:ascii="仿宋" w:hAnsi="仿宋" w:eastAsia="仿宋" w:cs="Times New Roman"/>
                <w:kern w:val="0"/>
                <w:sz w:val="24"/>
                <w:szCs w:val="24"/>
              </w:rPr>
            </w:pPr>
            <w:r>
              <w:rPr>
                <w:rFonts w:hint="eastAsia" w:ascii="仿宋" w:hAnsi="仿宋" w:eastAsia="仿宋" w:cs="仿宋"/>
                <w:kern w:val="0"/>
                <w:sz w:val="24"/>
                <w:szCs w:val="24"/>
              </w:rPr>
              <w:t>预期性</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47" w:hRule="atLeast"/>
        </w:trPr>
        <w:tc>
          <w:tcPr>
            <w:tcW w:w="842" w:type="dxa"/>
            <w:vMerge w:val="continue"/>
            <w:vAlign w:val="center"/>
          </w:tcPr>
          <w:p>
            <w:pPr>
              <w:widowControl/>
              <w:adjustRightInd w:val="0"/>
              <w:snapToGrid w:val="0"/>
              <w:spacing w:line="340" w:lineRule="exact"/>
              <w:jc w:val="left"/>
              <w:rPr>
                <w:rFonts w:ascii="仿宋" w:hAnsi="仿宋" w:eastAsia="仿宋" w:cs="Times New Roman"/>
                <w:kern w:val="0"/>
                <w:sz w:val="24"/>
                <w:szCs w:val="24"/>
              </w:rPr>
            </w:pPr>
          </w:p>
        </w:tc>
        <w:tc>
          <w:tcPr>
            <w:tcW w:w="4200" w:type="dxa"/>
            <w:shd w:val="clear" w:color="000000" w:fill="FFFFFF"/>
            <w:vAlign w:val="center"/>
          </w:tcPr>
          <w:p>
            <w:pPr>
              <w:widowControl/>
              <w:adjustRightInd w:val="0"/>
              <w:snapToGrid w:val="0"/>
              <w:spacing w:line="340" w:lineRule="exact"/>
              <w:jc w:val="center"/>
              <w:rPr>
                <w:rFonts w:ascii="仿宋" w:hAnsi="仿宋" w:eastAsia="仿宋" w:cs="Times New Roman"/>
                <w:kern w:val="0"/>
                <w:sz w:val="24"/>
                <w:szCs w:val="24"/>
              </w:rPr>
            </w:pPr>
            <w:r>
              <w:rPr>
                <w:rFonts w:hint="eastAsia" w:ascii="仿宋" w:hAnsi="仿宋" w:eastAsia="仿宋" w:cs="仿宋"/>
                <w:kern w:val="0"/>
                <w:sz w:val="24"/>
                <w:szCs w:val="24"/>
              </w:rPr>
              <w:t>集体收益</w:t>
            </w:r>
            <w:r>
              <w:rPr>
                <w:rFonts w:ascii="仿宋" w:hAnsi="仿宋" w:eastAsia="仿宋" w:cs="仿宋"/>
                <w:kern w:val="0"/>
                <w:sz w:val="24"/>
                <w:szCs w:val="24"/>
              </w:rPr>
              <w:t>5</w:t>
            </w:r>
            <w:r>
              <w:rPr>
                <w:rFonts w:hint="eastAsia" w:ascii="仿宋" w:hAnsi="仿宋" w:eastAsia="仿宋" w:cs="仿宋"/>
                <w:kern w:val="0"/>
                <w:sz w:val="24"/>
                <w:szCs w:val="24"/>
              </w:rPr>
              <w:t>万元以上的村占比</w:t>
            </w:r>
          </w:p>
        </w:tc>
        <w:tc>
          <w:tcPr>
            <w:tcW w:w="1152" w:type="dxa"/>
            <w:shd w:val="clear" w:color="000000" w:fill="FFFFFF"/>
            <w:noWrap/>
            <w:vAlign w:val="center"/>
          </w:tcPr>
          <w:p>
            <w:pPr>
              <w:widowControl/>
              <w:adjustRightInd w:val="0"/>
              <w:snapToGrid w:val="0"/>
              <w:spacing w:line="340" w:lineRule="exact"/>
              <w:jc w:val="center"/>
              <w:rPr>
                <w:rFonts w:ascii="仿宋" w:hAnsi="仿宋" w:eastAsia="仿宋" w:cs="仿宋"/>
                <w:kern w:val="0"/>
                <w:sz w:val="24"/>
                <w:szCs w:val="24"/>
              </w:rPr>
            </w:pPr>
            <w:r>
              <w:rPr>
                <w:rFonts w:ascii="仿宋" w:hAnsi="仿宋" w:eastAsia="仿宋" w:cs="仿宋"/>
                <w:kern w:val="0"/>
                <w:sz w:val="24"/>
                <w:szCs w:val="24"/>
              </w:rPr>
              <w:t>85</w:t>
            </w:r>
          </w:p>
        </w:tc>
        <w:tc>
          <w:tcPr>
            <w:tcW w:w="1285" w:type="dxa"/>
            <w:gridSpan w:val="2"/>
            <w:tcBorders>
              <w:right w:val="single" w:color="auto" w:sz="4" w:space="0"/>
            </w:tcBorders>
            <w:shd w:val="clear" w:color="000000" w:fill="FFFFFF"/>
            <w:noWrap/>
            <w:vAlign w:val="center"/>
          </w:tcPr>
          <w:p>
            <w:pPr>
              <w:widowControl/>
              <w:adjustRightInd w:val="0"/>
              <w:snapToGrid w:val="0"/>
              <w:spacing w:line="340" w:lineRule="exact"/>
              <w:jc w:val="center"/>
              <w:rPr>
                <w:rFonts w:ascii="仿宋" w:hAnsi="仿宋" w:eastAsia="仿宋" w:cs="仿宋"/>
                <w:kern w:val="0"/>
                <w:sz w:val="24"/>
                <w:szCs w:val="24"/>
              </w:rPr>
            </w:pPr>
            <w:r>
              <w:rPr>
                <w:rFonts w:ascii="仿宋" w:hAnsi="仿宋" w:eastAsia="仿宋" w:cs="仿宋"/>
                <w:kern w:val="0"/>
                <w:sz w:val="24"/>
                <w:szCs w:val="24"/>
              </w:rPr>
              <w:t>100</w:t>
            </w:r>
          </w:p>
        </w:tc>
        <w:tc>
          <w:tcPr>
            <w:tcW w:w="851" w:type="dxa"/>
            <w:shd w:val="clear" w:color="000000" w:fill="FFFFFF"/>
            <w:noWrap/>
            <w:vAlign w:val="center"/>
          </w:tcPr>
          <w:p>
            <w:pPr>
              <w:widowControl/>
              <w:adjustRightInd w:val="0"/>
              <w:snapToGrid w:val="0"/>
              <w:spacing w:line="340" w:lineRule="exact"/>
              <w:jc w:val="center"/>
              <w:rPr>
                <w:rFonts w:ascii="仿宋" w:hAnsi="仿宋" w:eastAsia="仿宋" w:cs="仿宋"/>
                <w:kern w:val="0"/>
                <w:sz w:val="24"/>
                <w:szCs w:val="24"/>
              </w:rPr>
            </w:pPr>
            <w:r>
              <w:rPr>
                <w:rFonts w:ascii="仿宋" w:hAnsi="仿宋" w:eastAsia="仿宋" w:cs="仿宋"/>
                <w:kern w:val="0"/>
                <w:sz w:val="24"/>
                <w:szCs w:val="24"/>
              </w:rPr>
              <w:t>%</w:t>
            </w:r>
          </w:p>
        </w:tc>
        <w:tc>
          <w:tcPr>
            <w:tcW w:w="992" w:type="dxa"/>
            <w:shd w:val="clear" w:color="000000" w:fill="FFFFFF"/>
          </w:tcPr>
          <w:p>
            <w:pPr>
              <w:widowControl/>
              <w:adjustRightInd w:val="0"/>
              <w:snapToGrid w:val="0"/>
              <w:spacing w:line="340" w:lineRule="exact"/>
              <w:jc w:val="center"/>
              <w:rPr>
                <w:rFonts w:ascii="仿宋" w:hAnsi="仿宋" w:eastAsia="仿宋" w:cs="Times New Roman"/>
                <w:kern w:val="0"/>
                <w:sz w:val="24"/>
                <w:szCs w:val="24"/>
              </w:rPr>
            </w:pPr>
            <w:r>
              <w:rPr>
                <w:rFonts w:hint="eastAsia" w:ascii="仿宋" w:hAnsi="仿宋" w:eastAsia="仿宋" w:cs="仿宋"/>
                <w:kern w:val="0"/>
                <w:sz w:val="24"/>
                <w:szCs w:val="24"/>
              </w:rPr>
              <w:t>预期性</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47" w:hRule="atLeast"/>
        </w:trPr>
        <w:tc>
          <w:tcPr>
            <w:tcW w:w="842" w:type="dxa"/>
            <w:vMerge w:val="continue"/>
            <w:vAlign w:val="center"/>
          </w:tcPr>
          <w:p>
            <w:pPr>
              <w:widowControl/>
              <w:adjustRightInd w:val="0"/>
              <w:snapToGrid w:val="0"/>
              <w:spacing w:line="340" w:lineRule="exact"/>
              <w:jc w:val="left"/>
              <w:rPr>
                <w:rFonts w:ascii="仿宋" w:hAnsi="仿宋" w:eastAsia="仿宋" w:cs="Times New Roman"/>
                <w:kern w:val="0"/>
                <w:sz w:val="24"/>
                <w:szCs w:val="24"/>
              </w:rPr>
            </w:pPr>
          </w:p>
        </w:tc>
        <w:tc>
          <w:tcPr>
            <w:tcW w:w="4200" w:type="dxa"/>
            <w:shd w:val="clear" w:color="000000" w:fill="FFFFFF"/>
            <w:vAlign w:val="center"/>
          </w:tcPr>
          <w:p>
            <w:pPr>
              <w:widowControl/>
              <w:adjustRightInd w:val="0"/>
              <w:snapToGrid w:val="0"/>
              <w:spacing w:line="340" w:lineRule="exact"/>
              <w:jc w:val="center"/>
              <w:rPr>
                <w:rFonts w:ascii="仿宋" w:hAnsi="仿宋" w:eastAsia="仿宋" w:cs="Times New Roman"/>
                <w:kern w:val="0"/>
                <w:sz w:val="24"/>
                <w:szCs w:val="24"/>
              </w:rPr>
            </w:pPr>
            <w:r>
              <w:rPr>
                <w:rFonts w:hint="eastAsia" w:ascii="仿宋" w:hAnsi="仿宋" w:eastAsia="仿宋" w:cs="仿宋"/>
                <w:kern w:val="0"/>
                <w:sz w:val="24"/>
                <w:szCs w:val="24"/>
              </w:rPr>
              <w:t>村级自治组织规范化建设覆盖率</w:t>
            </w:r>
          </w:p>
        </w:tc>
        <w:tc>
          <w:tcPr>
            <w:tcW w:w="1152" w:type="dxa"/>
            <w:shd w:val="clear" w:color="000000" w:fill="FFFFFF"/>
            <w:noWrap/>
            <w:vAlign w:val="center"/>
          </w:tcPr>
          <w:p>
            <w:pPr>
              <w:widowControl/>
              <w:adjustRightInd w:val="0"/>
              <w:snapToGrid w:val="0"/>
              <w:spacing w:line="340" w:lineRule="exact"/>
              <w:jc w:val="center"/>
              <w:rPr>
                <w:rFonts w:ascii="仿宋" w:hAnsi="仿宋" w:eastAsia="仿宋" w:cs="仿宋"/>
                <w:kern w:val="0"/>
                <w:sz w:val="24"/>
                <w:szCs w:val="24"/>
              </w:rPr>
            </w:pPr>
            <w:r>
              <w:rPr>
                <w:rFonts w:ascii="仿宋" w:hAnsi="仿宋" w:eastAsia="仿宋" w:cs="仿宋"/>
                <w:kern w:val="0"/>
                <w:sz w:val="24"/>
                <w:szCs w:val="24"/>
              </w:rPr>
              <w:t>98</w:t>
            </w:r>
          </w:p>
        </w:tc>
        <w:tc>
          <w:tcPr>
            <w:tcW w:w="1285" w:type="dxa"/>
            <w:gridSpan w:val="2"/>
            <w:tcBorders>
              <w:right w:val="single" w:color="auto" w:sz="4" w:space="0"/>
            </w:tcBorders>
            <w:shd w:val="clear" w:color="000000" w:fill="FFFFFF"/>
            <w:noWrap/>
            <w:vAlign w:val="center"/>
          </w:tcPr>
          <w:p>
            <w:pPr>
              <w:widowControl/>
              <w:adjustRightInd w:val="0"/>
              <w:snapToGrid w:val="0"/>
              <w:spacing w:line="340" w:lineRule="exact"/>
              <w:jc w:val="center"/>
              <w:rPr>
                <w:rFonts w:ascii="仿宋" w:hAnsi="仿宋" w:eastAsia="仿宋" w:cs="仿宋"/>
                <w:kern w:val="0"/>
                <w:sz w:val="24"/>
                <w:szCs w:val="24"/>
              </w:rPr>
            </w:pPr>
            <w:r>
              <w:rPr>
                <w:rFonts w:ascii="仿宋" w:hAnsi="仿宋" w:eastAsia="仿宋" w:cs="仿宋"/>
                <w:kern w:val="0"/>
                <w:sz w:val="24"/>
                <w:szCs w:val="24"/>
              </w:rPr>
              <w:t>100</w:t>
            </w:r>
          </w:p>
        </w:tc>
        <w:tc>
          <w:tcPr>
            <w:tcW w:w="851" w:type="dxa"/>
            <w:shd w:val="clear" w:color="000000" w:fill="FFFFFF"/>
            <w:noWrap/>
            <w:vAlign w:val="center"/>
          </w:tcPr>
          <w:p>
            <w:pPr>
              <w:widowControl/>
              <w:adjustRightInd w:val="0"/>
              <w:snapToGrid w:val="0"/>
              <w:spacing w:line="340" w:lineRule="exact"/>
              <w:jc w:val="center"/>
              <w:rPr>
                <w:rFonts w:ascii="仿宋" w:hAnsi="仿宋" w:eastAsia="仿宋" w:cs="仿宋"/>
                <w:kern w:val="0"/>
                <w:sz w:val="24"/>
                <w:szCs w:val="24"/>
              </w:rPr>
            </w:pPr>
            <w:r>
              <w:rPr>
                <w:rFonts w:ascii="仿宋" w:hAnsi="仿宋" w:eastAsia="仿宋" w:cs="仿宋"/>
                <w:kern w:val="0"/>
                <w:sz w:val="24"/>
                <w:szCs w:val="24"/>
              </w:rPr>
              <w:t>%</w:t>
            </w:r>
          </w:p>
        </w:tc>
        <w:tc>
          <w:tcPr>
            <w:tcW w:w="992" w:type="dxa"/>
            <w:shd w:val="clear" w:color="000000" w:fill="FFFFFF"/>
          </w:tcPr>
          <w:p>
            <w:pPr>
              <w:widowControl/>
              <w:adjustRightInd w:val="0"/>
              <w:snapToGrid w:val="0"/>
              <w:spacing w:line="340" w:lineRule="exact"/>
              <w:jc w:val="center"/>
              <w:rPr>
                <w:rFonts w:ascii="仿宋" w:hAnsi="仿宋" w:eastAsia="仿宋" w:cs="Times New Roman"/>
                <w:kern w:val="0"/>
                <w:sz w:val="24"/>
                <w:szCs w:val="24"/>
              </w:rPr>
            </w:pPr>
            <w:r>
              <w:rPr>
                <w:rFonts w:hint="eastAsia" w:ascii="仿宋" w:hAnsi="仿宋" w:eastAsia="仿宋" w:cs="仿宋"/>
                <w:kern w:val="0"/>
                <w:sz w:val="24"/>
                <w:szCs w:val="24"/>
              </w:rPr>
              <w:t>预期性</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47" w:hRule="atLeast"/>
        </w:trPr>
        <w:tc>
          <w:tcPr>
            <w:tcW w:w="842" w:type="dxa"/>
            <w:vMerge w:val="continue"/>
            <w:vAlign w:val="center"/>
          </w:tcPr>
          <w:p>
            <w:pPr>
              <w:widowControl/>
              <w:adjustRightInd w:val="0"/>
              <w:snapToGrid w:val="0"/>
              <w:spacing w:line="340" w:lineRule="exact"/>
              <w:jc w:val="left"/>
              <w:rPr>
                <w:rFonts w:ascii="仿宋" w:hAnsi="仿宋" w:eastAsia="仿宋" w:cs="Times New Roman"/>
                <w:kern w:val="0"/>
                <w:sz w:val="24"/>
                <w:szCs w:val="24"/>
              </w:rPr>
            </w:pPr>
          </w:p>
        </w:tc>
        <w:tc>
          <w:tcPr>
            <w:tcW w:w="4200" w:type="dxa"/>
            <w:shd w:val="clear" w:color="000000" w:fill="FFFFFF"/>
            <w:vAlign w:val="center"/>
          </w:tcPr>
          <w:p>
            <w:pPr>
              <w:widowControl/>
              <w:adjustRightInd w:val="0"/>
              <w:snapToGrid w:val="0"/>
              <w:spacing w:line="340" w:lineRule="exact"/>
              <w:jc w:val="center"/>
              <w:rPr>
                <w:rFonts w:ascii="仿宋" w:hAnsi="仿宋" w:eastAsia="仿宋" w:cs="Times New Roman"/>
                <w:kern w:val="0"/>
                <w:sz w:val="24"/>
                <w:szCs w:val="24"/>
              </w:rPr>
            </w:pPr>
            <w:r>
              <w:rPr>
                <w:rFonts w:hint="eastAsia" w:ascii="仿宋" w:hAnsi="仿宋" w:eastAsia="仿宋" w:cs="仿宋"/>
                <w:kern w:val="0"/>
                <w:sz w:val="24"/>
                <w:szCs w:val="24"/>
              </w:rPr>
              <w:t>村民理事会覆盖率</w:t>
            </w:r>
          </w:p>
        </w:tc>
        <w:tc>
          <w:tcPr>
            <w:tcW w:w="1152" w:type="dxa"/>
            <w:shd w:val="clear" w:color="000000" w:fill="FFFFFF"/>
            <w:noWrap/>
            <w:vAlign w:val="center"/>
          </w:tcPr>
          <w:p>
            <w:pPr>
              <w:widowControl/>
              <w:adjustRightInd w:val="0"/>
              <w:snapToGrid w:val="0"/>
              <w:spacing w:line="340" w:lineRule="exact"/>
              <w:jc w:val="center"/>
              <w:rPr>
                <w:rFonts w:ascii="仿宋" w:hAnsi="仿宋" w:eastAsia="仿宋" w:cs="仿宋"/>
                <w:kern w:val="0"/>
                <w:sz w:val="24"/>
                <w:szCs w:val="24"/>
              </w:rPr>
            </w:pPr>
            <w:r>
              <w:rPr>
                <w:rFonts w:ascii="仿宋" w:hAnsi="仿宋" w:eastAsia="仿宋" w:cs="仿宋"/>
                <w:kern w:val="0"/>
                <w:sz w:val="24"/>
                <w:szCs w:val="24"/>
              </w:rPr>
              <w:t>98</w:t>
            </w:r>
          </w:p>
        </w:tc>
        <w:tc>
          <w:tcPr>
            <w:tcW w:w="1285" w:type="dxa"/>
            <w:gridSpan w:val="2"/>
            <w:tcBorders>
              <w:right w:val="single" w:color="auto" w:sz="4" w:space="0"/>
            </w:tcBorders>
            <w:shd w:val="clear" w:color="000000" w:fill="FFFFFF"/>
            <w:noWrap/>
            <w:vAlign w:val="center"/>
          </w:tcPr>
          <w:p>
            <w:pPr>
              <w:widowControl/>
              <w:adjustRightInd w:val="0"/>
              <w:snapToGrid w:val="0"/>
              <w:spacing w:line="340" w:lineRule="exact"/>
              <w:jc w:val="center"/>
              <w:rPr>
                <w:rFonts w:ascii="仿宋" w:hAnsi="仿宋" w:eastAsia="仿宋" w:cs="仿宋"/>
                <w:kern w:val="0"/>
                <w:sz w:val="24"/>
                <w:szCs w:val="24"/>
              </w:rPr>
            </w:pPr>
            <w:r>
              <w:rPr>
                <w:rFonts w:ascii="仿宋" w:hAnsi="仿宋" w:eastAsia="仿宋" w:cs="仿宋"/>
                <w:kern w:val="0"/>
                <w:sz w:val="24"/>
                <w:szCs w:val="24"/>
              </w:rPr>
              <w:t>100</w:t>
            </w:r>
          </w:p>
        </w:tc>
        <w:tc>
          <w:tcPr>
            <w:tcW w:w="851" w:type="dxa"/>
            <w:shd w:val="clear" w:color="000000" w:fill="FFFFFF"/>
            <w:noWrap/>
            <w:vAlign w:val="center"/>
          </w:tcPr>
          <w:p>
            <w:pPr>
              <w:widowControl/>
              <w:adjustRightInd w:val="0"/>
              <w:snapToGrid w:val="0"/>
              <w:spacing w:line="340" w:lineRule="exact"/>
              <w:jc w:val="center"/>
              <w:rPr>
                <w:rFonts w:ascii="仿宋" w:hAnsi="仿宋" w:eastAsia="仿宋" w:cs="仿宋"/>
                <w:kern w:val="0"/>
                <w:sz w:val="24"/>
                <w:szCs w:val="24"/>
              </w:rPr>
            </w:pPr>
            <w:r>
              <w:rPr>
                <w:rFonts w:ascii="仿宋" w:hAnsi="仿宋" w:eastAsia="仿宋" w:cs="仿宋"/>
                <w:kern w:val="0"/>
                <w:sz w:val="24"/>
                <w:szCs w:val="24"/>
              </w:rPr>
              <w:t>%</w:t>
            </w:r>
          </w:p>
        </w:tc>
        <w:tc>
          <w:tcPr>
            <w:tcW w:w="992" w:type="dxa"/>
            <w:shd w:val="clear" w:color="000000" w:fill="FFFFFF"/>
          </w:tcPr>
          <w:p>
            <w:pPr>
              <w:widowControl/>
              <w:adjustRightInd w:val="0"/>
              <w:snapToGrid w:val="0"/>
              <w:spacing w:line="340" w:lineRule="exact"/>
              <w:jc w:val="center"/>
              <w:rPr>
                <w:rFonts w:ascii="仿宋" w:hAnsi="仿宋" w:eastAsia="仿宋" w:cs="Times New Roman"/>
                <w:kern w:val="0"/>
                <w:sz w:val="24"/>
                <w:szCs w:val="24"/>
              </w:rPr>
            </w:pPr>
            <w:r>
              <w:rPr>
                <w:rFonts w:hint="eastAsia" w:ascii="仿宋" w:hAnsi="仿宋" w:eastAsia="仿宋" w:cs="仿宋"/>
                <w:kern w:val="0"/>
                <w:sz w:val="24"/>
                <w:szCs w:val="24"/>
              </w:rPr>
              <w:t>预期性</w:t>
            </w:r>
          </w:p>
        </w:tc>
      </w:tr>
    </w:tbl>
    <w:p>
      <w:pPr>
        <w:pStyle w:val="3"/>
        <w:keepNext w:val="0"/>
        <w:keepLines w:val="0"/>
        <w:pageBreakBefore/>
        <w:jc w:val="center"/>
        <w:rPr>
          <w:rFonts w:ascii="黑体" w:hAnsi="黑体" w:eastAsia="黑体" w:cs="Times New Roman"/>
          <w:sz w:val="30"/>
          <w:szCs w:val="30"/>
        </w:rPr>
      </w:pPr>
      <w:bookmarkStart w:id="79" w:name="_Toc96329888"/>
      <w:r>
        <w:rPr>
          <w:rFonts w:hint="eastAsia" w:ascii="黑体" w:hAnsi="黑体" w:eastAsia="黑体" w:cs="黑体"/>
          <w:sz w:val="30"/>
          <w:szCs w:val="30"/>
        </w:rPr>
        <w:t>第三章</w:t>
      </w:r>
      <w:r>
        <w:rPr>
          <w:rFonts w:ascii="黑体" w:hAnsi="黑体" w:eastAsia="黑体" w:cs="黑体"/>
          <w:sz w:val="30"/>
          <w:szCs w:val="30"/>
        </w:rPr>
        <w:t xml:space="preserve"> </w:t>
      </w:r>
      <w:r>
        <w:rPr>
          <w:rFonts w:hint="eastAsia" w:ascii="黑体" w:hAnsi="黑体" w:eastAsia="黑体" w:cs="黑体"/>
          <w:sz w:val="30"/>
          <w:szCs w:val="30"/>
        </w:rPr>
        <w:t>构建“保障有力</w:t>
      </w:r>
      <w:r>
        <w:rPr>
          <w:rFonts w:ascii="黑体" w:hAnsi="黑体" w:eastAsia="黑体" w:cs="黑体"/>
          <w:sz w:val="30"/>
          <w:szCs w:val="30"/>
        </w:rPr>
        <w:t xml:space="preserve"> </w:t>
      </w:r>
      <w:r>
        <w:rPr>
          <w:rFonts w:hint="eastAsia" w:ascii="黑体" w:hAnsi="黑体" w:eastAsia="黑体" w:cs="黑体"/>
          <w:sz w:val="30"/>
          <w:szCs w:val="30"/>
        </w:rPr>
        <w:t>全面发展”的富硒绿色有机农业全产业链发展体系</w:t>
      </w:r>
      <w:bookmarkEnd w:id="79"/>
    </w:p>
    <w:p>
      <w:pPr>
        <w:pStyle w:val="2"/>
        <w:jc w:val="center"/>
        <w:rPr>
          <w:rFonts w:ascii="黑体" w:hAnsi="黑体" w:eastAsia="黑体" w:cs="Times New Roman"/>
          <w:sz w:val="30"/>
          <w:szCs w:val="30"/>
        </w:rPr>
      </w:pPr>
      <w:bookmarkStart w:id="80" w:name="_Toc96329889"/>
      <w:r>
        <w:rPr>
          <w:rFonts w:hint="eastAsia" w:ascii="黑体" w:hAnsi="黑体" w:eastAsia="黑体" w:cs="黑体"/>
          <w:sz w:val="30"/>
          <w:szCs w:val="30"/>
        </w:rPr>
        <w:t>第一节</w:t>
      </w:r>
      <w:r>
        <w:rPr>
          <w:rFonts w:ascii="黑体" w:hAnsi="黑体" w:eastAsia="黑体" w:cs="黑体"/>
          <w:sz w:val="30"/>
          <w:szCs w:val="30"/>
        </w:rPr>
        <w:t xml:space="preserve"> </w:t>
      </w:r>
      <w:r>
        <w:rPr>
          <w:rFonts w:hint="eastAsia" w:ascii="黑体" w:hAnsi="黑体" w:eastAsia="黑体" w:cs="黑体"/>
          <w:sz w:val="30"/>
          <w:szCs w:val="30"/>
        </w:rPr>
        <w:t>保障粮食等重要农产品供给能力</w:t>
      </w:r>
      <w:bookmarkEnd w:id="80"/>
    </w:p>
    <w:p>
      <w:pPr>
        <w:pStyle w:val="4"/>
        <w:spacing w:before="0" w:after="0" w:line="360" w:lineRule="auto"/>
        <w:ind w:firstLine="602" w:firstLineChars="200"/>
        <w:rPr>
          <w:rFonts w:ascii="仿宋" w:hAnsi="仿宋" w:eastAsia="仿宋" w:cs="Times New Roman"/>
          <w:sz w:val="30"/>
          <w:szCs w:val="30"/>
        </w:rPr>
      </w:pPr>
      <w:bookmarkStart w:id="81" w:name="_Toc96329890"/>
      <w:r>
        <w:rPr>
          <w:rFonts w:hint="eastAsia" w:ascii="仿宋" w:hAnsi="仿宋" w:eastAsia="仿宋" w:cs="仿宋"/>
          <w:sz w:val="30"/>
          <w:szCs w:val="30"/>
        </w:rPr>
        <w:t>一、巩固提升粮食产能</w:t>
      </w:r>
      <w:bookmarkEnd w:id="81"/>
    </w:p>
    <w:p>
      <w:pPr>
        <w:pStyle w:val="6"/>
        <w:snapToGrid w:val="0"/>
        <w:spacing w:line="560" w:lineRule="exact"/>
        <w:ind w:left="0" w:firstLine="600" w:firstLineChars="200"/>
        <w:jc w:val="both"/>
        <w:rPr>
          <w:rFonts w:ascii="仿宋" w:hAnsi="仿宋" w:eastAsia="仿宋" w:cs="Times New Roman"/>
          <w:sz w:val="30"/>
          <w:szCs w:val="30"/>
        </w:rPr>
      </w:pPr>
      <w:r>
        <w:rPr>
          <w:rFonts w:hint="eastAsia" w:ascii="仿宋" w:hAnsi="仿宋" w:eastAsia="仿宋" w:cs="仿宋"/>
          <w:sz w:val="30"/>
          <w:szCs w:val="30"/>
        </w:rPr>
        <w:t>深入实施“藏粮于地、藏粮于技”战略，严格落实粮食安全党政同责要求，强化粮食生产考核，稳定粮食播种面积，狠抓落实粮食生产任务，确保全市粮食总产保持稳中有增。严格落实国家、省市扶持粮食生产的相关政策，积极落实稻谷</w:t>
      </w:r>
      <w:r>
        <w:rPr>
          <w:rFonts w:hint="eastAsia" w:ascii="仿宋" w:hAnsi="仿宋" w:eastAsia="仿宋" w:cs="仿宋"/>
          <w:sz w:val="30"/>
          <w:szCs w:val="30"/>
          <w:lang w:val="en-US"/>
        </w:rPr>
        <w:t>补贴和</w:t>
      </w:r>
      <w:r>
        <w:rPr>
          <w:rFonts w:hint="eastAsia" w:ascii="仿宋" w:hAnsi="仿宋" w:eastAsia="仿宋" w:cs="仿宋"/>
          <w:sz w:val="30"/>
          <w:szCs w:val="30"/>
        </w:rPr>
        <w:t>产粮大县</w:t>
      </w:r>
      <w:r>
        <w:rPr>
          <w:rFonts w:hint="eastAsia" w:ascii="仿宋" w:hAnsi="仿宋" w:eastAsia="仿宋" w:cs="仿宋"/>
          <w:sz w:val="30"/>
          <w:szCs w:val="30"/>
          <w:lang w:val="en-US"/>
        </w:rPr>
        <w:t>奖补</w:t>
      </w:r>
      <w:r>
        <w:rPr>
          <w:rFonts w:hint="eastAsia" w:ascii="仿宋" w:hAnsi="仿宋" w:eastAsia="仿宋" w:cs="仿宋"/>
          <w:sz w:val="30"/>
          <w:szCs w:val="30"/>
        </w:rPr>
        <w:t>政策。鼓励粮食生产适度规模经营，加大对种粮大户、家庭农场、农民合作社等新型经营主体的支</w:t>
      </w:r>
      <w:r>
        <w:rPr>
          <w:rFonts w:hint="eastAsia" w:ascii="仿宋" w:hAnsi="仿宋" w:eastAsia="仿宋" w:cs="仿宋"/>
          <w:sz w:val="30"/>
          <w:szCs w:val="30"/>
          <w:lang w:val="en-US"/>
        </w:rPr>
        <w:t>持力度。大力推进粮食生产托管，鼓励社会化服务组织开展粮食生产的耕、种、防、收等服</w:t>
      </w:r>
      <w:r>
        <w:rPr>
          <w:rFonts w:hint="eastAsia" w:ascii="仿宋" w:hAnsi="仿宋" w:eastAsia="仿宋" w:cs="仿宋"/>
          <w:sz w:val="30"/>
          <w:szCs w:val="30"/>
        </w:rPr>
        <w:t>务。扎实推进“优质稻米工程”“优质粮食工程”和赣产“中国好粮油”行动，着力调优水稻品种结构，大力发展优质稻、富硒功能稻、有机稻生产。</w:t>
      </w:r>
    </w:p>
    <w:p>
      <w:pPr>
        <w:pStyle w:val="4"/>
        <w:spacing w:before="0" w:after="0" w:line="360" w:lineRule="auto"/>
        <w:ind w:firstLine="602" w:firstLineChars="200"/>
        <w:rPr>
          <w:rFonts w:ascii="仿宋" w:hAnsi="仿宋" w:eastAsia="仿宋" w:cs="Times New Roman"/>
          <w:sz w:val="30"/>
          <w:szCs w:val="30"/>
        </w:rPr>
      </w:pPr>
      <w:bookmarkStart w:id="82" w:name="_Toc96329891"/>
      <w:r>
        <w:rPr>
          <w:rFonts w:hint="eastAsia" w:ascii="仿宋" w:hAnsi="仿宋" w:eastAsia="仿宋" w:cs="仿宋"/>
          <w:sz w:val="30"/>
          <w:szCs w:val="30"/>
        </w:rPr>
        <w:t>二、推进畜牧业稳定发展</w:t>
      </w:r>
      <w:bookmarkEnd w:id="82"/>
    </w:p>
    <w:p>
      <w:pPr>
        <w:pStyle w:val="6"/>
        <w:snapToGrid w:val="0"/>
        <w:spacing w:line="560" w:lineRule="exact"/>
        <w:ind w:left="0" w:firstLine="600" w:firstLineChars="200"/>
        <w:jc w:val="both"/>
        <w:rPr>
          <w:rFonts w:ascii="仿宋" w:hAnsi="仿宋" w:eastAsia="仿宋" w:cs="Times New Roman"/>
          <w:sz w:val="30"/>
          <w:szCs w:val="30"/>
        </w:rPr>
      </w:pPr>
      <w:r>
        <w:rPr>
          <w:rFonts w:hint="eastAsia" w:ascii="仿宋" w:hAnsi="仿宋" w:eastAsia="仿宋" w:cs="仿宋"/>
          <w:sz w:val="30"/>
          <w:szCs w:val="30"/>
        </w:rPr>
        <w:t>做好非洲猪瘟防控常态化，持续稳定发展生猪，恢复生猪产能。大力推广畜禽良种。继续实施畜禽遗传改良计划和现代种业提升工程，重点开展家禽特别是肉鸡父母代推广，瘦肉型猪本土化选育，良种牛羊专门化品种推广。强化畜禽遗传资源保护，加强锦江牛、康乐黄鸡、丰城灰鹅、万载兔、宜丰中蜂等地方品种资源保护和有序开发。健全饲草料供应体系。因地制宜推行人工牧草种植，增加青贮玉米、饲用苎麻、燕麦种植，推进饲草料专业化生产，初步形成秸秆和饲草料加工、流通、配送体系。全面推广饲料精准配方、精细加工和新型生物饲料应用。提升畜牧业智能化。开展畜禽养殖标准化示范创建，打造一批全程机械化养殖场和智能化管理的标杆示范企业，引导养殖场（户）改造提升基础设施条件，扩大养殖规模，提升标准化养殖水平；引领养殖专业合作社、家庭牧场通过统一生产、统一服务、统一营销、技术共享、品牌共创等方式，形成稳定的产业联合体，提升市场竞争力。</w:t>
      </w:r>
    </w:p>
    <w:p>
      <w:pPr>
        <w:pStyle w:val="4"/>
        <w:spacing w:before="0" w:after="0" w:line="360" w:lineRule="auto"/>
        <w:ind w:firstLine="602" w:firstLineChars="200"/>
        <w:rPr>
          <w:rFonts w:ascii="仿宋" w:hAnsi="仿宋" w:eastAsia="仿宋" w:cs="Times New Roman"/>
          <w:sz w:val="30"/>
          <w:szCs w:val="30"/>
        </w:rPr>
      </w:pPr>
      <w:bookmarkStart w:id="83" w:name="_Toc96329892"/>
      <w:r>
        <w:rPr>
          <w:rFonts w:hint="eastAsia" w:ascii="仿宋" w:hAnsi="仿宋" w:eastAsia="仿宋" w:cs="仿宋"/>
          <w:sz w:val="30"/>
          <w:szCs w:val="30"/>
        </w:rPr>
        <w:t>三、加快渔业转型升级</w:t>
      </w:r>
      <w:bookmarkEnd w:id="83"/>
    </w:p>
    <w:p>
      <w:pPr>
        <w:spacing w:line="360" w:lineRule="auto"/>
        <w:ind w:firstLine="594" w:firstLineChars="198"/>
        <w:rPr>
          <w:rFonts w:ascii="仿宋" w:hAnsi="仿宋" w:eastAsia="仿宋" w:cs="仿宋"/>
          <w:sz w:val="30"/>
          <w:szCs w:val="30"/>
        </w:rPr>
      </w:pPr>
      <w:r>
        <w:rPr>
          <w:rFonts w:hint="eastAsia" w:ascii="仿宋" w:hAnsi="仿宋" w:eastAsia="仿宋" w:cs="仿宋"/>
          <w:sz w:val="30"/>
          <w:szCs w:val="30"/>
        </w:rPr>
        <w:t>调优水产养殖产品结构，大力发展优质高效的水产养殖品种，促使养殖品种从质次价廉向优质高效转变。以发展稻田综合种养为契机，积极促进传统渔业转型升级，积极发展绿色生态渔业，实现渔业的可持续发展；大力发展娃娃鱼、棘胸蛙等特色生态养殖；继续推进休闲渔业建设，加快将休闲渔业与旅游、餐饮等环节融合，将捕捞、养殖、加工与渔文化相融合，推动一二三产业融合发展。实施渔业品牌战略，主打明月山石蛙、九岭大鲵品牌，融入“鄱阳湖”特色渔业品牌，积极打造一批具有渔业文化的休闲农业品牌。以“健康、绿色、安全”为重点，加快循环水养殖、水产养殖尾水处理等项目建设，保障水产养殖尾水排放安全。</w:t>
      </w:r>
      <w:r>
        <w:rPr>
          <w:rFonts w:ascii="仿宋" w:hAnsi="仿宋" w:eastAsia="仿宋" w:cs="仿宋"/>
          <w:sz w:val="30"/>
          <w:szCs w:val="30"/>
        </w:rPr>
        <w:t xml:space="preserve"> </w:t>
      </w:r>
    </w:p>
    <w:p>
      <w:pPr>
        <w:pStyle w:val="4"/>
        <w:spacing w:before="0" w:after="0" w:line="360" w:lineRule="auto"/>
        <w:ind w:firstLine="602" w:firstLineChars="200"/>
        <w:rPr>
          <w:rFonts w:ascii="仿宋" w:hAnsi="仿宋" w:eastAsia="仿宋" w:cs="Times New Roman"/>
          <w:sz w:val="30"/>
          <w:szCs w:val="30"/>
        </w:rPr>
      </w:pPr>
      <w:bookmarkStart w:id="84" w:name="_Toc96329893"/>
      <w:r>
        <w:rPr>
          <w:rFonts w:hint="eastAsia" w:ascii="仿宋" w:hAnsi="仿宋" w:eastAsia="仿宋" w:cs="仿宋"/>
          <w:sz w:val="30"/>
          <w:szCs w:val="30"/>
        </w:rPr>
        <w:t>四、促进菜果茶经济作物多样发展</w:t>
      </w:r>
      <w:bookmarkEnd w:id="84"/>
    </w:p>
    <w:p>
      <w:pPr>
        <w:spacing w:line="360" w:lineRule="auto"/>
        <w:ind w:firstLine="594" w:firstLineChars="198"/>
        <w:rPr>
          <w:rFonts w:ascii="仿宋" w:hAnsi="仿宋" w:eastAsia="仿宋" w:cs="Times New Roman"/>
          <w:sz w:val="30"/>
          <w:szCs w:val="30"/>
        </w:rPr>
      </w:pPr>
      <w:r>
        <w:rPr>
          <w:rFonts w:hint="eastAsia" w:ascii="仿宋" w:hAnsi="仿宋" w:eastAsia="仿宋" w:cs="仿宋"/>
          <w:sz w:val="30"/>
          <w:szCs w:val="30"/>
        </w:rPr>
        <w:t>按照“扩面、提质、增效”的要求，大力发展蔬菜、水果、茶叶、中药材等经济作物，提高经济作物生产品质。以各县（市、区）中心城区为中心，加快推进城郊蔬菜及主产县蔬菜的发展，辐射带动乡镇发展蔬菜产业。依据市场需求，稳定柑橘的种植面积，加快发展猕猴桃产业，适当发展市场适销对路的梨、杨梅、草莓等时令果品和葡萄、脐橙、火龙果、桑葚、蓝莓等具有商品优势的精品水果。以“江西茶·香天下”为主题，加快实现茶产业由传统型向现代型转变，培育一批茶叶龙头企业，进行茶叶标准加工，引导茗茶生产向“茶园标准化、加工规范化、产品有机化”方向发展，逐步形成以茗茶加工厂为核心的茶叶生产经营格局。推进中药材标准化体系建设和基地创建、中药材地理标志保护认证，构筑种植、加工、研发、营销为一体的中药材产业发展新格局。</w:t>
      </w:r>
    </w:p>
    <w:tbl>
      <w:tblPr>
        <w:tblStyle w:val="16"/>
        <w:tblW w:w="0" w:type="auto"/>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1" w:type="dxa"/>
          </w:tcPr>
          <w:p>
            <w:pPr>
              <w:spacing w:line="500" w:lineRule="exact"/>
              <w:ind w:firstLine="562" w:firstLineChars="200"/>
              <w:jc w:val="center"/>
              <w:rPr>
                <w:rFonts w:ascii="黑体" w:hAnsi="黑体" w:eastAsia="黑体" w:cs="Times New Roman"/>
                <w:b/>
                <w:bCs/>
                <w:kern w:val="0"/>
                <w:sz w:val="28"/>
                <w:szCs w:val="28"/>
              </w:rPr>
            </w:pPr>
            <w:r>
              <w:rPr>
                <w:rFonts w:hint="eastAsia" w:ascii="黑体" w:hAnsi="黑体" w:eastAsia="黑体" w:cs="黑体"/>
                <w:b/>
                <w:bCs/>
                <w:kern w:val="0"/>
                <w:sz w:val="28"/>
                <w:szCs w:val="28"/>
              </w:rPr>
              <w:t>专栏</w:t>
            </w:r>
            <w:r>
              <w:rPr>
                <w:rFonts w:ascii="黑体" w:hAnsi="黑体" w:eastAsia="黑体" w:cs="黑体"/>
                <w:b/>
                <w:bCs/>
                <w:kern w:val="0"/>
                <w:sz w:val="28"/>
                <w:szCs w:val="28"/>
              </w:rPr>
              <w:t xml:space="preserve">2  </w:t>
            </w:r>
            <w:r>
              <w:rPr>
                <w:rFonts w:hint="eastAsia" w:ascii="黑体" w:hAnsi="黑体" w:eastAsia="黑体" w:cs="黑体"/>
                <w:b/>
                <w:bCs/>
                <w:kern w:val="0"/>
                <w:sz w:val="28"/>
                <w:szCs w:val="28"/>
              </w:rPr>
              <w:t>粮食等重要农产品保障工程</w:t>
            </w:r>
          </w:p>
          <w:p>
            <w:pPr>
              <w:spacing w:line="500" w:lineRule="exact"/>
              <w:ind w:firstLine="562" w:firstLineChars="200"/>
              <w:rPr>
                <w:rFonts w:ascii="楷体" w:hAnsi="楷体" w:eastAsia="楷体" w:cs="Times New Roman"/>
                <w:b/>
                <w:bCs/>
                <w:kern w:val="0"/>
                <w:sz w:val="28"/>
                <w:szCs w:val="28"/>
              </w:rPr>
            </w:pPr>
            <w:r>
              <w:rPr>
                <w:rFonts w:hint="eastAsia" w:ascii="楷体" w:hAnsi="楷体" w:eastAsia="楷体" w:cs="楷体"/>
                <w:b/>
                <w:bCs/>
                <w:kern w:val="0"/>
                <w:sz w:val="28"/>
                <w:szCs w:val="28"/>
              </w:rPr>
              <w:t>（一）优质稻米产业发展工程</w:t>
            </w:r>
          </w:p>
          <w:p>
            <w:pPr>
              <w:pStyle w:val="6"/>
              <w:snapToGrid w:val="0"/>
              <w:spacing w:line="560" w:lineRule="exact"/>
              <w:ind w:firstLine="420" w:firstLineChars="200"/>
              <w:rPr>
                <w:rFonts w:ascii="楷体" w:hAnsi="楷体" w:eastAsia="楷体" w:cs="Times New Roman"/>
                <w:kern w:val="0"/>
              </w:rPr>
            </w:pPr>
            <w:r>
              <w:rPr>
                <w:rFonts w:hint="eastAsia" w:ascii="楷体" w:hAnsi="楷体" w:eastAsia="楷体" w:cs="楷体"/>
                <w:lang w:val="en-US"/>
              </w:rPr>
              <w:t>大力推进粮食适度规模经营，优化粮食产业结构。着力建立</w:t>
            </w:r>
            <w:r>
              <w:rPr>
                <w:rFonts w:hint="eastAsia" w:ascii="楷体" w:hAnsi="楷体" w:eastAsia="楷体" w:cs="楷体"/>
              </w:rPr>
              <w:t>以丰城市、樟树市、高安市和袁州区为重点的宜春市富硒功能大米产业园区；以万载县、铜鼓县、宜丰县为重点的有机大米产业基地。</w:t>
            </w:r>
            <w:r>
              <w:rPr>
                <w:rFonts w:hint="eastAsia" w:ascii="楷体" w:hAnsi="楷体" w:eastAsia="楷体" w:cs="楷体"/>
                <w:lang w:val="en-US"/>
              </w:rPr>
              <w:t>打造大米品牌。</w:t>
            </w:r>
            <w:r>
              <w:rPr>
                <w:rFonts w:hint="eastAsia" w:ascii="楷体" w:hAnsi="楷体" w:eastAsia="楷体" w:cs="楷体"/>
                <w:kern w:val="0"/>
              </w:rPr>
              <w:t>到</w:t>
            </w:r>
            <w:r>
              <w:rPr>
                <w:rFonts w:ascii="楷体" w:hAnsi="楷体" w:eastAsia="楷体" w:cs="楷体"/>
                <w:kern w:val="0"/>
              </w:rPr>
              <w:t>2025</w:t>
            </w:r>
            <w:r>
              <w:rPr>
                <w:rFonts w:hint="eastAsia" w:ascii="楷体" w:hAnsi="楷体" w:eastAsia="楷体" w:cs="楷体"/>
                <w:kern w:val="0"/>
              </w:rPr>
              <w:t>年，对接种粮大户、家庭农场和农民合作社等新型经营主体</w:t>
            </w:r>
            <w:r>
              <w:rPr>
                <w:rFonts w:ascii="楷体" w:hAnsi="楷体" w:eastAsia="楷体" w:cs="楷体"/>
                <w:kern w:val="0"/>
              </w:rPr>
              <w:t>1200</w:t>
            </w:r>
            <w:r>
              <w:rPr>
                <w:rFonts w:hint="eastAsia" w:ascii="楷体" w:hAnsi="楷体" w:eastAsia="楷体" w:cs="楷体"/>
                <w:kern w:val="0"/>
              </w:rPr>
              <w:t>个以上，打造具有宜春特色的大米区域品牌</w:t>
            </w:r>
            <w:r>
              <w:rPr>
                <w:rFonts w:ascii="楷体" w:hAnsi="楷体" w:eastAsia="楷体" w:cs="楷体"/>
                <w:kern w:val="0"/>
              </w:rPr>
              <w:t>2</w:t>
            </w:r>
            <w:r>
              <w:rPr>
                <w:rFonts w:hint="eastAsia" w:ascii="楷体" w:hAnsi="楷体" w:eastAsia="楷体" w:cs="楷体"/>
                <w:kern w:val="0"/>
              </w:rPr>
              <w:t>个。</w:t>
            </w:r>
          </w:p>
          <w:p>
            <w:pPr>
              <w:spacing w:line="500" w:lineRule="exact"/>
              <w:ind w:firstLine="562" w:firstLineChars="200"/>
              <w:rPr>
                <w:rFonts w:ascii="楷体" w:hAnsi="楷体" w:eastAsia="楷体" w:cs="Times New Roman"/>
                <w:b/>
                <w:bCs/>
                <w:kern w:val="0"/>
                <w:sz w:val="28"/>
                <w:szCs w:val="28"/>
              </w:rPr>
            </w:pPr>
            <w:r>
              <w:rPr>
                <w:rFonts w:hint="eastAsia" w:ascii="楷体" w:hAnsi="楷体" w:eastAsia="楷体" w:cs="楷体"/>
                <w:b/>
                <w:bCs/>
                <w:kern w:val="0"/>
                <w:sz w:val="28"/>
                <w:szCs w:val="28"/>
              </w:rPr>
              <w:t>（二）蔬菜产业发展工程</w:t>
            </w:r>
          </w:p>
          <w:p>
            <w:pPr>
              <w:spacing w:line="500" w:lineRule="exact"/>
              <w:ind w:firstLine="560" w:firstLineChars="200"/>
              <w:rPr>
                <w:rFonts w:ascii="楷体" w:hAnsi="楷体" w:eastAsia="楷体" w:cs="Times New Roman"/>
                <w:kern w:val="0"/>
                <w:sz w:val="28"/>
                <w:szCs w:val="28"/>
              </w:rPr>
            </w:pPr>
            <w:r>
              <w:rPr>
                <w:rFonts w:hint="eastAsia" w:ascii="楷体" w:hAnsi="楷体" w:eastAsia="楷体" w:cs="楷体"/>
                <w:kern w:val="0"/>
                <w:sz w:val="28"/>
                <w:szCs w:val="28"/>
              </w:rPr>
              <w:t>加快推进城郊蔬菜及主产县蔬菜的发展，逐步形成袁州、高安两个蔬菜优势产区，以设施蔬菜、标准化生产为突破口，做大做强高安辣椒等一批区域蔬菜品牌，建立以高安辣椒品牌特色产区、上高大蒜、生姜特色产区、万载县百合特色产区、丰城市豇豆特色产区和昌铜沿线高山有机蔬菜特色产区的蔬菜产业基地。到</w:t>
            </w:r>
            <w:r>
              <w:rPr>
                <w:rFonts w:ascii="楷体" w:hAnsi="楷体" w:eastAsia="楷体" w:cs="楷体"/>
                <w:kern w:val="0"/>
                <w:sz w:val="28"/>
                <w:szCs w:val="28"/>
              </w:rPr>
              <w:t>2025</w:t>
            </w:r>
            <w:r>
              <w:rPr>
                <w:rFonts w:hint="eastAsia" w:ascii="楷体" w:hAnsi="楷体" w:eastAsia="楷体" w:cs="楷体"/>
                <w:kern w:val="0"/>
                <w:sz w:val="28"/>
                <w:szCs w:val="28"/>
              </w:rPr>
              <w:t>年，全市蔬菜播种面积达到</w:t>
            </w:r>
            <w:r>
              <w:rPr>
                <w:rFonts w:ascii="楷体" w:hAnsi="楷体" w:eastAsia="楷体" w:cs="楷体"/>
                <w:kern w:val="0"/>
                <w:sz w:val="28"/>
                <w:szCs w:val="28"/>
              </w:rPr>
              <w:t>140</w:t>
            </w:r>
            <w:r>
              <w:rPr>
                <w:rFonts w:hint="eastAsia" w:ascii="楷体" w:hAnsi="楷体" w:eastAsia="楷体" w:cs="楷体"/>
                <w:kern w:val="0"/>
                <w:sz w:val="28"/>
                <w:szCs w:val="28"/>
              </w:rPr>
              <w:t>万亩，产量</w:t>
            </w:r>
            <w:r>
              <w:rPr>
                <w:rFonts w:ascii="楷体" w:hAnsi="楷体" w:eastAsia="楷体" w:cs="楷体"/>
                <w:kern w:val="0"/>
                <w:sz w:val="28"/>
                <w:szCs w:val="28"/>
              </w:rPr>
              <w:t>203</w:t>
            </w:r>
            <w:r>
              <w:rPr>
                <w:rFonts w:hint="eastAsia" w:ascii="楷体" w:hAnsi="楷体" w:eastAsia="楷体" w:cs="楷体"/>
                <w:kern w:val="0"/>
                <w:sz w:val="28"/>
                <w:szCs w:val="28"/>
              </w:rPr>
              <w:t>万吨，时鲜蔬菜自给率达</w:t>
            </w:r>
            <w:r>
              <w:rPr>
                <w:rFonts w:ascii="楷体" w:hAnsi="楷体" w:eastAsia="楷体" w:cs="楷体"/>
                <w:kern w:val="0"/>
                <w:sz w:val="28"/>
                <w:szCs w:val="28"/>
              </w:rPr>
              <w:t>80%</w:t>
            </w:r>
            <w:r>
              <w:rPr>
                <w:rFonts w:hint="eastAsia" w:ascii="楷体" w:hAnsi="楷体" w:eastAsia="楷体" w:cs="楷体"/>
                <w:kern w:val="0"/>
                <w:sz w:val="28"/>
                <w:szCs w:val="28"/>
              </w:rPr>
              <w:t>，实现蔬菜市场价格基本稳定，质量安全水平显著提高，质量监管能力明显增强的目标，让城乡居民吃上放心菜、平价菜。</w:t>
            </w:r>
          </w:p>
          <w:p>
            <w:pPr>
              <w:spacing w:line="500" w:lineRule="exact"/>
              <w:ind w:firstLine="562" w:firstLineChars="200"/>
              <w:rPr>
                <w:rFonts w:ascii="楷体" w:hAnsi="楷体" w:eastAsia="楷体" w:cs="Times New Roman"/>
                <w:b/>
                <w:bCs/>
                <w:kern w:val="0"/>
                <w:sz w:val="28"/>
                <w:szCs w:val="28"/>
              </w:rPr>
            </w:pPr>
            <w:r>
              <w:rPr>
                <w:rFonts w:hint="eastAsia" w:ascii="楷体" w:hAnsi="楷体" w:eastAsia="楷体" w:cs="楷体"/>
                <w:b/>
                <w:bCs/>
                <w:kern w:val="0"/>
                <w:sz w:val="28"/>
                <w:szCs w:val="28"/>
              </w:rPr>
              <w:t>（三）果业发展工程</w:t>
            </w:r>
          </w:p>
          <w:p>
            <w:pPr>
              <w:spacing w:line="500" w:lineRule="exact"/>
              <w:ind w:firstLine="560" w:firstLineChars="200"/>
              <w:rPr>
                <w:rFonts w:ascii="楷体" w:hAnsi="楷体" w:eastAsia="楷体" w:cs="Times New Roman"/>
                <w:kern w:val="0"/>
                <w:sz w:val="28"/>
                <w:szCs w:val="28"/>
              </w:rPr>
            </w:pPr>
            <w:r>
              <w:rPr>
                <w:rFonts w:hint="eastAsia" w:ascii="楷体" w:hAnsi="楷体" w:eastAsia="楷体" w:cs="楷体"/>
                <w:kern w:val="0"/>
                <w:sz w:val="28"/>
                <w:szCs w:val="28"/>
              </w:rPr>
              <w:t>建立奉新猕猴桃产区，靖安椪柑产区，丰城市、樟树市、高安市传统早熟梨产区，袁州区、万载县蓝莓产区的水果产业基地。到</w:t>
            </w:r>
            <w:r>
              <w:rPr>
                <w:rFonts w:ascii="楷体" w:hAnsi="楷体" w:eastAsia="楷体" w:cs="楷体"/>
                <w:kern w:val="0"/>
                <w:sz w:val="28"/>
                <w:szCs w:val="28"/>
              </w:rPr>
              <w:t>2025</w:t>
            </w:r>
            <w:r>
              <w:rPr>
                <w:rFonts w:hint="eastAsia" w:ascii="楷体" w:hAnsi="楷体" w:eastAsia="楷体" w:cs="楷体"/>
                <w:kern w:val="0"/>
                <w:sz w:val="28"/>
                <w:szCs w:val="28"/>
              </w:rPr>
              <w:t>年，全市水果面积达到</w:t>
            </w:r>
            <w:r>
              <w:rPr>
                <w:rFonts w:ascii="楷体" w:hAnsi="楷体" w:eastAsia="楷体" w:cs="楷体"/>
                <w:kern w:val="0"/>
                <w:sz w:val="28"/>
                <w:szCs w:val="28"/>
              </w:rPr>
              <w:t>30</w:t>
            </w:r>
            <w:r>
              <w:rPr>
                <w:rFonts w:hint="eastAsia" w:ascii="楷体" w:hAnsi="楷体" w:eastAsia="楷体" w:cs="楷体"/>
                <w:kern w:val="0"/>
                <w:sz w:val="28"/>
                <w:szCs w:val="28"/>
              </w:rPr>
              <w:t>万亩，产量</w:t>
            </w:r>
            <w:r>
              <w:rPr>
                <w:rFonts w:ascii="楷体" w:hAnsi="楷体" w:eastAsia="楷体" w:cs="楷体"/>
                <w:kern w:val="0"/>
                <w:sz w:val="28"/>
                <w:szCs w:val="28"/>
              </w:rPr>
              <w:t>19</w:t>
            </w:r>
            <w:r>
              <w:rPr>
                <w:rFonts w:hint="eastAsia" w:ascii="楷体" w:hAnsi="楷体" w:eastAsia="楷体" w:cs="楷体"/>
                <w:kern w:val="0"/>
                <w:sz w:val="28"/>
                <w:szCs w:val="28"/>
              </w:rPr>
              <w:t>万吨，形成一批特色鲜明的优势产区，建立一批规模化、标准化、设施化的水果产品基地，做大做强袁州脐橙、奉新县猕猴桃、高安市早熟梨等特色水果产业，实现水果产业发展由传统型向现代型转变。</w:t>
            </w:r>
          </w:p>
          <w:p>
            <w:pPr>
              <w:spacing w:line="500" w:lineRule="exact"/>
              <w:ind w:firstLine="562" w:firstLineChars="200"/>
              <w:rPr>
                <w:rFonts w:ascii="楷体" w:hAnsi="楷体" w:eastAsia="楷体" w:cs="Times New Roman"/>
                <w:b/>
                <w:bCs/>
                <w:kern w:val="0"/>
                <w:sz w:val="28"/>
                <w:szCs w:val="28"/>
              </w:rPr>
            </w:pPr>
            <w:r>
              <w:rPr>
                <w:rFonts w:hint="eastAsia" w:ascii="楷体" w:hAnsi="楷体" w:eastAsia="楷体" w:cs="楷体"/>
                <w:b/>
                <w:bCs/>
                <w:kern w:val="0"/>
                <w:sz w:val="28"/>
                <w:szCs w:val="28"/>
              </w:rPr>
              <w:t>（四）茶产业发展工程</w:t>
            </w:r>
          </w:p>
          <w:p>
            <w:pPr>
              <w:spacing w:line="500" w:lineRule="exact"/>
              <w:ind w:firstLine="560" w:firstLineChars="200"/>
              <w:rPr>
                <w:rFonts w:ascii="楷体" w:hAnsi="楷体" w:eastAsia="楷体" w:cs="Times New Roman"/>
                <w:kern w:val="0"/>
                <w:sz w:val="28"/>
                <w:szCs w:val="28"/>
              </w:rPr>
            </w:pPr>
            <w:r>
              <w:rPr>
                <w:rFonts w:hint="eastAsia" w:ascii="楷体" w:hAnsi="楷体" w:eastAsia="楷体" w:cs="楷体"/>
                <w:kern w:val="0"/>
                <w:sz w:val="28"/>
                <w:szCs w:val="28"/>
              </w:rPr>
              <w:t>打造靖安白茶产区、铜鼓宁红茶产区及袁州禅茶产区的优质茶叶基地。到</w:t>
            </w:r>
            <w:r>
              <w:rPr>
                <w:rFonts w:ascii="楷体" w:hAnsi="楷体" w:eastAsia="楷体" w:cs="楷体"/>
                <w:kern w:val="0"/>
                <w:sz w:val="28"/>
                <w:szCs w:val="28"/>
              </w:rPr>
              <w:t>2025</w:t>
            </w:r>
            <w:r>
              <w:rPr>
                <w:rFonts w:hint="eastAsia" w:ascii="楷体" w:hAnsi="楷体" w:eastAsia="楷体" w:cs="楷体"/>
                <w:kern w:val="0"/>
                <w:sz w:val="28"/>
                <w:szCs w:val="28"/>
              </w:rPr>
              <w:t>年，全市茶园总面积达到</w:t>
            </w:r>
            <w:r>
              <w:rPr>
                <w:rFonts w:ascii="楷体" w:hAnsi="楷体" w:eastAsia="楷体" w:cs="楷体"/>
                <w:kern w:val="0"/>
                <w:sz w:val="28"/>
                <w:szCs w:val="28"/>
              </w:rPr>
              <w:t>20</w:t>
            </w:r>
            <w:r>
              <w:rPr>
                <w:rFonts w:hint="eastAsia" w:ascii="楷体" w:hAnsi="楷体" w:eastAsia="楷体" w:cs="楷体"/>
                <w:kern w:val="0"/>
                <w:sz w:val="28"/>
                <w:szCs w:val="28"/>
              </w:rPr>
              <w:t>万亩，总产量</w:t>
            </w:r>
            <w:r>
              <w:rPr>
                <w:rFonts w:ascii="楷体" w:hAnsi="楷体" w:eastAsia="楷体" w:cs="楷体"/>
                <w:kern w:val="0"/>
                <w:sz w:val="28"/>
                <w:szCs w:val="28"/>
              </w:rPr>
              <w:t>0.7</w:t>
            </w:r>
            <w:r>
              <w:rPr>
                <w:rFonts w:hint="eastAsia" w:ascii="楷体" w:hAnsi="楷体" w:eastAsia="楷体" w:cs="楷体"/>
                <w:kern w:val="0"/>
                <w:sz w:val="28"/>
                <w:szCs w:val="28"/>
              </w:rPr>
              <w:t>万吨，培育一批茶叶龙头企业，引导茗茶生产向“茶园标准化、加工规范化、产品有机化”方向发展，逐步形成以茗茶加工厂为核心的茶叶生产经营格局。</w:t>
            </w:r>
          </w:p>
          <w:p>
            <w:pPr>
              <w:spacing w:line="500" w:lineRule="exact"/>
              <w:ind w:firstLine="562" w:firstLineChars="200"/>
              <w:rPr>
                <w:rFonts w:ascii="楷体" w:hAnsi="楷体" w:eastAsia="楷体" w:cs="Times New Roman"/>
                <w:b/>
                <w:bCs/>
                <w:kern w:val="0"/>
                <w:sz w:val="28"/>
                <w:szCs w:val="28"/>
              </w:rPr>
            </w:pPr>
            <w:r>
              <w:rPr>
                <w:rFonts w:hint="eastAsia" w:ascii="楷体" w:hAnsi="楷体" w:eastAsia="楷体" w:cs="楷体"/>
                <w:b/>
                <w:bCs/>
                <w:kern w:val="0"/>
                <w:sz w:val="28"/>
                <w:szCs w:val="28"/>
              </w:rPr>
              <w:t>（五）中药材产业发展工程</w:t>
            </w:r>
          </w:p>
          <w:p>
            <w:pPr>
              <w:spacing w:line="500" w:lineRule="exact"/>
              <w:ind w:firstLine="560" w:firstLineChars="200"/>
              <w:rPr>
                <w:rFonts w:ascii="楷体" w:hAnsi="楷体" w:eastAsia="楷体" w:cs="Times New Roman"/>
                <w:kern w:val="0"/>
                <w:sz w:val="28"/>
                <w:szCs w:val="28"/>
              </w:rPr>
            </w:pPr>
            <w:r>
              <w:rPr>
                <w:rFonts w:hint="eastAsia" w:ascii="楷体" w:hAnsi="楷体" w:eastAsia="楷体" w:cs="楷体"/>
                <w:kern w:val="0"/>
                <w:sz w:val="28"/>
                <w:szCs w:val="28"/>
              </w:rPr>
              <w:t>打造以丰城、樟树两市的</w:t>
            </w:r>
            <w:r>
              <w:rPr>
                <w:rFonts w:ascii="楷体" w:hAnsi="楷体" w:eastAsia="楷体" w:cs="楷体"/>
                <w:kern w:val="0"/>
                <w:sz w:val="28"/>
                <w:szCs w:val="28"/>
              </w:rPr>
              <w:t>105</w:t>
            </w:r>
            <w:r>
              <w:rPr>
                <w:rFonts w:hint="eastAsia" w:ascii="楷体" w:hAnsi="楷体" w:eastAsia="楷体" w:cs="楷体"/>
                <w:kern w:val="0"/>
                <w:sz w:val="28"/>
                <w:szCs w:val="28"/>
              </w:rPr>
              <w:t>国道沿线的“三子一壳”道地中药材种植基地，以高安、上高、万载、袁州四个县（市、区）的</w:t>
            </w:r>
            <w:r>
              <w:rPr>
                <w:rFonts w:ascii="楷体" w:hAnsi="楷体" w:eastAsia="楷体" w:cs="楷体"/>
                <w:kern w:val="0"/>
                <w:sz w:val="28"/>
                <w:szCs w:val="28"/>
              </w:rPr>
              <w:t>320</w:t>
            </w:r>
            <w:r>
              <w:rPr>
                <w:rFonts w:hint="eastAsia" w:ascii="楷体" w:hAnsi="楷体" w:eastAsia="楷体" w:cs="楷体"/>
                <w:kern w:val="0"/>
                <w:sz w:val="28"/>
                <w:szCs w:val="28"/>
              </w:rPr>
              <w:t>国道沿线的粉防己、太子参、白芍、金银花、菊花等品种为主的规范化特色中药材种植基地，以昌铜高速沿线的黄精、罗汉果等为主的生态木本中药材种植基地。到</w:t>
            </w:r>
            <w:r>
              <w:rPr>
                <w:rFonts w:ascii="楷体" w:hAnsi="楷体" w:eastAsia="楷体" w:cs="楷体"/>
                <w:kern w:val="0"/>
                <w:sz w:val="28"/>
                <w:szCs w:val="28"/>
              </w:rPr>
              <w:t>2025</w:t>
            </w:r>
            <w:r>
              <w:rPr>
                <w:rFonts w:hint="eastAsia" w:ascii="楷体" w:hAnsi="楷体" w:eastAsia="楷体" w:cs="楷体"/>
                <w:kern w:val="0"/>
                <w:sz w:val="28"/>
                <w:szCs w:val="28"/>
              </w:rPr>
              <w:t>年，全市中药材种植面积稳定在</w:t>
            </w:r>
            <w:r>
              <w:rPr>
                <w:rFonts w:ascii="楷体" w:hAnsi="楷体" w:eastAsia="楷体" w:cs="楷体"/>
                <w:kern w:val="0"/>
                <w:sz w:val="28"/>
                <w:szCs w:val="28"/>
              </w:rPr>
              <w:t>120</w:t>
            </w:r>
            <w:r>
              <w:rPr>
                <w:rFonts w:hint="eastAsia" w:ascii="楷体" w:hAnsi="楷体" w:eastAsia="楷体" w:cs="楷体"/>
                <w:kern w:val="0"/>
                <w:sz w:val="28"/>
                <w:szCs w:val="28"/>
              </w:rPr>
              <w:t>万亩以上。</w:t>
            </w:r>
          </w:p>
          <w:p>
            <w:pPr>
              <w:spacing w:line="500" w:lineRule="exact"/>
              <w:ind w:firstLine="562" w:firstLineChars="200"/>
              <w:rPr>
                <w:rFonts w:ascii="楷体" w:hAnsi="楷体" w:eastAsia="楷体" w:cs="Times New Roman"/>
                <w:b/>
                <w:bCs/>
                <w:kern w:val="0"/>
                <w:sz w:val="28"/>
                <w:szCs w:val="28"/>
              </w:rPr>
            </w:pPr>
            <w:r>
              <w:rPr>
                <w:rFonts w:hint="eastAsia" w:ascii="楷体" w:hAnsi="楷体" w:eastAsia="楷体" w:cs="楷体"/>
                <w:b/>
                <w:bCs/>
                <w:kern w:val="0"/>
                <w:sz w:val="28"/>
                <w:szCs w:val="28"/>
              </w:rPr>
              <w:t>（六）畜牧业发展工程</w:t>
            </w:r>
          </w:p>
          <w:p>
            <w:pPr>
              <w:spacing w:line="500" w:lineRule="exact"/>
              <w:ind w:firstLine="560" w:firstLineChars="200"/>
              <w:rPr>
                <w:rFonts w:ascii="楷体" w:hAnsi="楷体" w:eastAsia="楷体" w:cs="Times New Roman"/>
                <w:kern w:val="0"/>
                <w:sz w:val="28"/>
                <w:szCs w:val="28"/>
              </w:rPr>
            </w:pPr>
            <w:r>
              <w:rPr>
                <w:rFonts w:hint="eastAsia" w:ascii="楷体" w:hAnsi="楷体" w:eastAsia="楷体" w:cs="楷体"/>
                <w:kern w:val="0"/>
                <w:sz w:val="28"/>
                <w:szCs w:val="28"/>
              </w:rPr>
              <w:t>以高安市肉牛优势产区发展为重点，示范带动上高县、宜丰县、奉新县、万载县等肉牛养殖基地发展。到</w:t>
            </w:r>
            <w:r>
              <w:rPr>
                <w:rFonts w:ascii="楷体" w:hAnsi="楷体" w:eastAsia="楷体" w:cs="楷体"/>
                <w:kern w:val="0"/>
                <w:sz w:val="28"/>
                <w:szCs w:val="28"/>
              </w:rPr>
              <w:t>2025</w:t>
            </w:r>
            <w:r>
              <w:rPr>
                <w:rFonts w:hint="eastAsia" w:ascii="楷体" w:hAnsi="楷体" w:eastAsia="楷体" w:cs="楷体"/>
                <w:kern w:val="0"/>
                <w:sz w:val="28"/>
                <w:szCs w:val="28"/>
              </w:rPr>
              <w:t>年，畜牧业整体竞争力显著提高，动物疫病防控能力显著增强，绿色发展水平显著提高，畜禽产品供应安全保障能力显著提升，猪肉、禽肉、禽蛋和牛羊肉实现基本自给，生猪养殖规模化率和畜禽粪污综合利用率分别达到</w:t>
            </w:r>
            <w:r>
              <w:rPr>
                <w:rFonts w:ascii="楷体" w:hAnsi="楷体" w:eastAsia="楷体" w:cs="楷体"/>
                <w:kern w:val="0"/>
                <w:sz w:val="28"/>
                <w:szCs w:val="28"/>
              </w:rPr>
              <w:t>80%</w:t>
            </w:r>
            <w:r>
              <w:rPr>
                <w:rFonts w:hint="eastAsia" w:ascii="楷体" w:hAnsi="楷体" w:eastAsia="楷体" w:cs="楷体"/>
                <w:kern w:val="0"/>
                <w:sz w:val="28"/>
                <w:szCs w:val="28"/>
              </w:rPr>
              <w:t>以上和</w:t>
            </w:r>
            <w:r>
              <w:rPr>
                <w:rFonts w:ascii="楷体" w:hAnsi="楷体" w:eastAsia="楷体" w:cs="楷体"/>
                <w:kern w:val="0"/>
                <w:sz w:val="28"/>
                <w:szCs w:val="28"/>
              </w:rPr>
              <w:t>95%</w:t>
            </w:r>
            <w:r>
              <w:rPr>
                <w:rFonts w:hint="eastAsia" w:ascii="楷体" w:hAnsi="楷体" w:eastAsia="楷体" w:cs="楷体"/>
                <w:kern w:val="0"/>
                <w:sz w:val="28"/>
                <w:szCs w:val="28"/>
              </w:rPr>
              <w:t>左右。</w:t>
            </w:r>
          </w:p>
          <w:p>
            <w:pPr>
              <w:spacing w:line="500" w:lineRule="exact"/>
              <w:ind w:firstLine="562" w:firstLineChars="200"/>
              <w:rPr>
                <w:rFonts w:ascii="楷体" w:hAnsi="楷体" w:eastAsia="楷体" w:cs="Times New Roman"/>
                <w:b/>
                <w:bCs/>
                <w:kern w:val="0"/>
                <w:sz w:val="28"/>
                <w:szCs w:val="28"/>
              </w:rPr>
            </w:pPr>
            <w:r>
              <w:rPr>
                <w:rFonts w:hint="eastAsia" w:ascii="楷体" w:hAnsi="楷体" w:eastAsia="楷体" w:cs="楷体"/>
                <w:b/>
                <w:bCs/>
                <w:kern w:val="0"/>
                <w:sz w:val="28"/>
                <w:szCs w:val="28"/>
              </w:rPr>
              <w:t>（七）水产业发展工程</w:t>
            </w:r>
          </w:p>
          <w:p>
            <w:pPr>
              <w:spacing w:line="500" w:lineRule="exact"/>
              <w:ind w:firstLine="560" w:firstLineChars="200"/>
              <w:rPr>
                <w:rFonts w:ascii="楷体" w:hAnsi="楷体" w:eastAsia="楷体" w:cs="Times New Roman"/>
                <w:kern w:val="0"/>
                <w:sz w:val="28"/>
                <w:szCs w:val="28"/>
              </w:rPr>
            </w:pPr>
            <w:r>
              <w:rPr>
                <w:rFonts w:hint="eastAsia" w:ascii="楷体" w:hAnsi="楷体" w:eastAsia="楷体" w:cs="楷体"/>
                <w:kern w:val="0"/>
                <w:sz w:val="28"/>
                <w:szCs w:val="28"/>
              </w:rPr>
              <w:t>到</w:t>
            </w:r>
            <w:r>
              <w:rPr>
                <w:rFonts w:ascii="楷体" w:hAnsi="楷体" w:eastAsia="楷体" w:cs="楷体"/>
                <w:kern w:val="0"/>
                <w:sz w:val="28"/>
                <w:szCs w:val="28"/>
              </w:rPr>
              <w:t>2025</w:t>
            </w:r>
            <w:r>
              <w:rPr>
                <w:rFonts w:hint="eastAsia" w:ascii="楷体" w:hAnsi="楷体" w:eastAsia="楷体" w:cs="楷体"/>
                <w:kern w:val="0"/>
                <w:sz w:val="28"/>
                <w:szCs w:val="28"/>
              </w:rPr>
              <w:t>年，全市稻渔综合种养面积达到</w:t>
            </w:r>
            <w:r>
              <w:rPr>
                <w:rFonts w:ascii="楷体" w:hAnsi="楷体" w:eastAsia="楷体" w:cs="楷体"/>
                <w:kern w:val="0"/>
                <w:sz w:val="28"/>
                <w:szCs w:val="28"/>
              </w:rPr>
              <w:t>15</w:t>
            </w:r>
            <w:r>
              <w:rPr>
                <w:rFonts w:hint="eastAsia" w:ascii="楷体" w:hAnsi="楷体" w:eastAsia="楷体" w:cs="楷体"/>
                <w:kern w:val="0"/>
                <w:sz w:val="28"/>
                <w:szCs w:val="28"/>
              </w:rPr>
              <w:t>万亩，其中万载县整县推进建设</w:t>
            </w:r>
            <w:r>
              <w:rPr>
                <w:rFonts w:ascii="楷体" w:hAnsi="楷体" w:eastAsia="楷体" w:cs="楷体"/>
                <w:kern w:val="0"/>
                <w:sz w:val="28"/>
                <w:szCs w:val="28"/>
              </w:rPr>
              <w:t>9</w:t>
            </w:r>
            <w:r>
              <w:rPr>
                <w:rFonts w:hint="eastAsia" w:ascii="楷体" w:hAnsi="楷体" w:eastAsia="楷体" w:cs="楷体"/>
                <w:kern w:val="0"/>
                <w:sz w:val="28"/>
                <w:szCs w:val="28"/>
              </w:rPr>
              <w:t>万亩，辐射带动袁州区、上高县、丰城市、高安市等地推进整片“稻渔综合种养”</w:t>
            </w:r>
            <w:r>
              <w:rPr>
                <w:rFonts w:ascii="楷体" w:hAnsi="楷体" w:eastAsia="楷体" w:cs="楷体"/>
                <w:kern w:val="0"/>
                <w:sz w:val="28"/>
                <w:szCs w:val="28"/>
              </w:rPr>
              <w:t>6</w:t>
            </w:r>
            <w:r>
              <w:rPr>
                <w:rFonts w:hint="eastAsia" w:ascii="楷体" w:hAnsi="楷体" w:eastAsia="楷体" w:cs="楷体"/>
                <w:kern w:val="0"/>
                <w:sz w:val="28"/>
                <w:szCs w:val="28"/>
              </w:rPr>
              <w:t>万亩。加快循环水养殖、水产养殖尾水处理等项目建设。大力发展娃娃鱼、棘胸蛙等特色生态养殖。主打明月山石蛙、九岭大鲵品牌，融入“鄱阳湖”特色渔业品牌建设。</w:t>
            </w:r>
          </w:p>
        </w:tc>
      </w:tr>
    </w:tbl>
    <w:p>
      <w:pPr>
        <w:pStyle w:val="2"/>
        <w:jc w:val="center"/>
        <w:rPr>
          <w:rFonts w:ascii="黑体" w:hAnsi="黑体" w:eastAsia="黑体" w:cs="Times New Roman"/>
          <w:sz w:val="30"/>
          <w:szCs w:val="30"/>
        </w:rPr>
      </w:pPr>
      <w:bookmarkStart w:id="85" w:name="_Toc96329894"/>
      <w:r>
        <w:rPr>
          <w:rFonts w:hint="eastAsia" w:ascii="黑体" w:hAnsi="黑体" w:eastAsia="黑体" w:cs="黑体"/>
          <w:sz w:val="30"/>
          <w:szCs w:val="30"/>
        </w:rPr>
        <w:t>第二节</w:t>
      </w:r>
      <w:r>
        <w:rPr>
          <w:rFonts w:ascii="黑体" w:hAnsi="黑体" w:eastAsia="黑体" w:cs="黑体"/>
          <w:sz w:val="30"/>
          <w:szCs w:val="30"/>
        </w:rPr>
        <w:t xml:space="preserve"> </w:t>
      </w:r>
      <w:r>
        <w:rPr>
          <w:rFonts w:hint="eastAsia" w:ascii="黑体" w:hAnsi="黑体" w:eastAsia="黑体" w:cs="黑体"/>
          <w:sz w:val="30"/>
          <w:szCs w:val="30"/>
        </w:rPr>
        <w:t>优化富硒绿色有机农业产业布局</w:t>
      </w:r>
      <w:bookmarkEnd w:id="85"/>
    </w:p>
    <w:p>
      <w:pPr>
        <w:pStyle w:val="4"/>
        <w:spacing w:before="0" w:after="0" w:line="360" w:lineRule="auto"/>
        <w:ind w:firstLine="602" w:firstLineChars="200"/>
        <w:rPr>
          <w:rFonts w:ascii="仿宋" w:hAnsi="仿宋" w:eastAsia="仿宋" w:cs="Times New Roman"/>
          <w:sz w:val="30"/>
          <w:szCs w:val="30"/>
        </w:rPr>
      </w:pPr>
      <w:bookmarkStart w:id="86" w:name="_Toc96329895"/>
      <w:r>
        <w:rPr>
          <w:rFonts w:hint="eastAsia" w:ascii="仿宋" w:hAnsi="仿宋" w:eastAsia="仿宋" w:cs="仿宋"/>
          <w:sz w:val="30"/>
          <w:szCs w:val="30"/>
        </w:rPr>
        <w:t>一、打造富硒绿色有机农产品优势区</w:t>
      </w:r>
      <w:bookmarkEnd w:id="86"/>
    </w:p>
    <w:p>
      <w:pPr>
        <w:ind w:firstLine="600" w:firstLineChars="200"/>
        <w:rPr>
          <w:rFonts w:ascii="仿宋" w:hAnsi="仿宋" w:eastAsia="仿宋" w:cs="Times New Roman"/>
          <w:sz w:val="30"/>
          <w:szCs w:val="30"/>
        </w:rPr>
      </w:pPr>
      <w:r>
        <w:rPr>
          <w:rFonts w:hint="eastAsia" w:ascii="仿宋" w:hAnsi="仿宋" w:eastAsia="仿宋" w:cs="仿宋"/>
          <w:sz w:val="30"/>
          <w:szCs w:val="30"/>
        </w:rPr>
        <w:t>全面落实中央“六稳”“六保”决策部署，紧抓部省共建江西绿色有机农产品基地试点省契机，进一步优化富硒绿色有机产业结构布局，将宜春打造成以“高标准、高品质、高技术、强品牌”富硒产业为引领，全域创建富硒绿色有机农产品大市。</w:t>
      </w:r>
    </w:p>
    <w:p>
      <w:pPr>
        <w:ind w:firstLine="600" w:firstLineChars="200"/>
        <w:rPr>
          <w:rFonts w:ascii="仿宋" w:hAnsi="仿宋" w:eastAsia="仿宋" w:cs="Times New Roman"/>
          <w:sz w:val="30"/>
          <w:szCs w:val="30"/>
        </w:rPr>
      </w:pPr>
      <w:r>
        <w:rPr>
          <w:rFonts w:hint="eastAsia" w:ascii="仿宋" w:hAnsi="仿宋" w:eastAsia="仿宋" w:cs="仿宋"/>
          <w:sz w:val="30"/>
          <w:szCs w:val="30"/>
        </w:rPr>
        <w:t>持续打造富硒产业“一区两带三核”。“一区”：国际知名硒产业发展示范区；“两带”：以袁州、明月山、万载为中心，辐射铜鼓、宜丰、奉新、靖安一线的农、旅、养融合的富硒生态康养旅游产业带，以丰城、高安、樟树、上高为主线的集富硒产品研发、加工制造、冷链物流为一体的富硒资源综合利用产业带；“三核”：袁州、万载富硒产业发展科技创新核，明月山富硒养生旅游产业发展核，丰城、高安富硒产业发展集成示范核。打造“昌铜万高速”有机农业带。在生态条件优越、产业基础优良的昌铜、铜万高速公路沿线，着力打造具有明显地域特色的有机农业带，推进铜鼓、靖安整县建设有机农业县，奉新、宜丰、万载等地的山区乡镇发展有机农业。打造“袁上万”“丰樟高”绿色食品产业集群。在有机农业重点区域以外的县市区和乡镇，全域发展绿色食品产业，突出打造集生产加工、研发销售、物流仓储为一体的“袁州（明月山）、上高、万载”“樟树、丰城、高安”绿色食品、生态绿色养殖产业集群。打造一批特色农产品优势区。依托宜春富硒大米、宜春富硒竹笋、宜春特色水果、袁州有机茶油、樟树绿色中药材、丰城绿色水产、靖安有机白茶、奉新有机猕猴桃、高安绿色大米、上高绿色食品、宜丰绿色蜂蜜、铜鼓有机茶叶、万载有机百合、明月山富硒菊花等特色农产品资源，集中打造一批特色优势明显、产业基础好、发展潜力大、带动能力强的特色农产品优势区，形成特色鲜明、竞相发展的产业格局。</w:t>
      </w:r>
    </w:p>
    <w:p>
      <w:pPr>
        <w:pStyle w:val="2"/>
        <w:jc w:val="center"/>
        <w:rPr>
          <w:rFonts w:ascii="仿宋" w:hAnsi="仿宋" w:eastAsia="仿宋" w:cs="Times New Roman"/>
          <w:sz w:val="30"/>
          <w:szCs w:val="30"/>
        </w:rPr>
      </w:pPr>
      <w:bookmarkStart w:id="87" w:name="_Toc19155"/>
      <w:r>
        <w:rPr>
          <w:rFonts w:cs="Times New Roman"/>
        </w:rPr>
        <w:drawing>
          <wp:inline distT="0" distB="0" distL="114300" distR="114300">
            <wp:extent cx="4143375" cy="3295650"/>
            <wp:effectExtent l="0" t="0" r="1905" b="11430"/>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pic:cNvPicPr>
                  </pic:nvPicPr>
                  <pic:blipFill>
                    <a:blip r:embed="rId4"/>
                    <a:stretch>
                      <a:fillRect/>
                    </a:stretch>
                  </pic:blipFill>
                  <pic:spPr>
                    <a:xfrm>
                      <a:off x="0" y="0"/>
                      <a:ext cx="4143375" cy="3295650"/>
                    </a:xfrm>
                    <a:prstGeom prst="rect">
                      <a:avLst/>
                    </a:prstGeom>
                    <a:noFill/>
                    <a:ln>
                      <a:noFill/>
                    </a:ln>
                  </pic:spPr>
                </pic:pic>
              </a:graphicData>
            </a:graphic>
          </wp:inline>
        </w:drawing>
      </w:r>
      <w:bookmarkEnd w:id="87"/>
    </w:p>
    <w:p>
      <w:pPr>
        <w:pStyle w:val="4"/>
        <w:numPr>
          <w:ilvl w:val="255"/>
          <w:numId w:val="0"/>
        </w:numPr>
        <w:spacing w:before="0" w:after="0" w:line="360" w:lineRule="auto"/>
        <w:ind w:firstLine="602" w:firstLineChars="200"/>
        <w:rPr>
          <w:rFonts w:ascii="仿宋" w:hAnsi="仿宋" w:eastAsia="仿宋" w:cs="Times New Roman"/>
          <w:sz w:val="30"/>
          <w:szCs w:val="30"/>
        </w:rPr>
      </w:pPr>
      <w:bookmarkStart w:id="88" w:name="_Toc96329896"/>
      <w:r>
        <w:rPr>
          <w:rFonts w:hint="eastAsia" w:ascii="仿宋" w:hAnsi="仿宋" w:eastAsia="仿宋" w:cs="仿宋"/>
          <w:sz w:val="30"/>
          <w:szCs w:val="30"/>
        </w:rPr>
        <w:t>二、扩大富硒绿色有机农产品基地建设规模</w:t>
      </w:r>
      <w:bookmarkEnd w:id="88"/>
    </w:p>
    <w:p>
      <w:pPr>
        <w:ind w:firstLine="600" w:firstLineChars="200"/>
        <w:rPr>
          <w:rFonts w:cs="Times New Roman"/>
        </w:rPr>
      </w:pPr>
      <w:r>
        <w:rPr>
          <w:rFonts w:hint="eastAsia" w:ascii="仿宋" w:hAnsi="仿宋" w:eastAsia="仿宋" w:cs="仿宋"/>
          <w:sz w:val="30"/>
          <w:szCs w:val="30"/>
        </w:rPr>
        <w:t>做大富硒绿色有机农产品基地规模，建设富硒绿色有机水稻、富硒绿色有机中药材、富硒绿色有机油茶、富硒绿色有机特色农产品、富硒绿色有机竹笋、富硒绿色有机畜牧、富硒绿色有机稻渔（鸭）综合种养示范基地。推进集中连片示范基地建设，支持各地新型经营主体稳步建设品种优良化、生产标准化、产业规模化的富硒农业产业示范基地，重点抓好中州米业、华粮米业、星火农林、乡意浓、盛发粮油、金桥农业等公司富硒绿色有机示范基地建设，以点带面、点面结合，引领带动全市富硒绿色有机产业快速发展。推进基地设施化建设，结合农业结构调整工程和高标准农田建设等工作，强化耕地质量建设、农田水利设施建设、设施农业建设及产后处理设施建设，切实提高基地设施保障水平。大力推进绿色有机示范县建设，着力从提升基层监管能力、农产品标准化生产能力和生产者素质能力等方面，持续加大丰城、樟树、高安创建省级绿色有机农产品示范县力度。力争到</w:t>
      </w:r>
      <w:r>
        <w:rPr>
          <w:rFonts w:ascii="仿宋" w:hAnsi="仿宋" w:eastAsia="仿宋" w:cs="仿宋"/>
          <w:sz w:val="30"/>
          <w:szCs w:val="30"/>
        </w:rPr>
        <w:t>2025</w:t>
      </w:r>
      <w:r>
        <w:rPr>
          <w:rFonts w:hint="eastAsia" w:ascii="仿宋" w:hAnsi="仿宋" w:eastAsia="仿宋" w:cs="仿宋"/>
          <w:sz w:val="30"/>
          <w:szCs w:val="30"/>
        </w:rPr>
        <w:t>年，富硒农产品基地面积达到</w:t>
      </w:r>
      <w:r>
        <w:rPr>
          <w:rFonts w:ascii="仿宋" w:hAnsi="仿宋" w:eastAsia="仿宋" w:cs="仿宋"/>
          <w:sz w:val="30"/>
          <w:szCs w:val="30"/>
        </w:rPr>
        <w:t>300</w:t>
      </w:r>
      <w:r>
        <w:rPr>
          <w:rFonts w:hint="eastAsia" w:ascii="仿宋" w:hAnsi="仿宋" w:eastAsia="仿宋" w:cs="仿宋"/>
          <w:sz w:val="30"/>
          <w:szCs w:val="30"/>
        </w:rPr>
        <w:t>万亩，绿色食品原料基地面积达到</w:t>
      </w:r>
      <w:r>
        <w:rPr>
          <w:rFonts w:ascii="仿宋" w:hAnsi="仿宋" w:eastAsia="仿宋" w:cs="仿宋"/>
          <w:sz w:val="30"/>
          <w:szCs w:val="30"/>
        </w:rPr>
        <w:t>260</w:t>
      </w:r>
      <w:r>
        <w:rPr>
          <w:rFonts w:hint="eastAsia" w:ascii="仿宋" w:hAnsi="仿宋" w:eastAsia="仿宋" w:cs="仿宋"/>
          <w:sz w:val="30"/>
          <w:szCs w:val="30"/>
        </w:rPr>
        <w:t>万亩，有机农产品基地面积达到</w:t>
      </w:r>
      <w:r>
        <w:rPr>
          <w:rFonts w:ascii="仿宋" w:hAnsi="仿宋" w:eastAsia="仿宋" w:cs="仿宋"/>
          <w:sz w:val="30"/>
          <w:szCs w:val="30"/>
        </w:rPr>
        <w:t>280</w:t>
      </w:r>
      <w:r>
        <w:rPr>
          <w:rFonts w:hint="eastAsia" w:ascii="仿宋" w:hAnsi="仿宋" w:eastAsia="仿宋" w:cs="仿宋"/>
          <w:sz w:val="30"/>
          <w:szCs w:val="30"/>
        </w:rPr>
        <w:t>万亩。其中，万亩、千亩以上富硒农产品示范基地分别达</w:t>
      </w:r>
      <w:r>
        <w:rPr>
          <w:rFonts w:ascii="仿宋" w:hAnsi="仿宋" w:eastAsia="仿宋" w:cs="仿宋"/>
          <w:sz w:val="30"/>
          <w:szCs w:val="30"/>
        </w:rPr>
        <w:t>20</w:t>
      </w:r>
      <w:r>
        <w:rPr>
          <w:rFonts w:hint="eastAsia" w:ascii="仿宋" w:hAnsi="仿宋" w:eastAsia="仿宋" w:cs="仿宋"/>
          <w:sz w:val="30"/>
          <w:szCs w:val="30"/>
        </w:rPr>
        <w:t>个、</w:t>
      </w:r>
      <w:r>
        <w:rPr>
          <w:rFonts w:ascii="仿宋" w:hAnsi="仿宋" w:eastAsia="仿宋" w:cs="仿宋"/>
          <w:sz w:val="30"/>
          <w:szCs w:val="30"/>
        </w:rPr>
        <w:t>200</w:t>
      </w:r>
      <w:r>
        <w:rPr>
          <w:rFonts w:hint="eastAsia" w:ascii="仿宋" w:hAnsi="仿宋" w:eastAsia="仿宋" w:cs="仿宋"/>
          <w:sz w:val="30"/>
          <w:szCs w:val="30"/>
        </w:rPr>
        <w:t>个，万亩、千亩以上绿色食品原料基地分别达</w:t>
      </w:r>
      <w:r>
        <w:rPr>
          <w:rFonts w:ascii="仿宋" w:hAnsi="仿宋" w:eastAsia="仿宋" w:cs="仿宋"/>
          <w:sz w:val="30"/>
          <w:szCs w:val="30"/>
        </w:rPr>
        <w:t>10</w:t>
      </w:r>
      <w:r>
        <w:rPr>
          <w:rFonts w:hint="eastAsia" w:ascii="仿宋" w:hAnsi="仿宋" w:eastAsia="仿宋" w:cs="仿宋"/>
          <w:sz w:val="30"/>
          <w:szCs w:val="30"/>
        </w:rPr>
        <w:t>个、</w:t>
      </w:r>
      <w:r>
        <w:rPr>
          <w:rFonts w:ascii="仿宋" w:hAnsi="仿宋" w:eastAsia="仿宋" w:cs="仿宋"/>
          <w:sz w:val="30"/>
          <w:szCs w:val="30"/>
        </w:rPr>
        <w:t>150</w:t>
      </w:r>
      <w:r>
        <w:rPr>
          <w:rFonts w:hint="eastAsia" w:ascii="仿宋" w:hAnsi="仿宋" w:eastAsia="仿宋" w:cs="仿宋"/>
          <w:sz w:val="30"/>
          <w:szCs w:val="30"/>
        </w:rPr>
        <w:t>个，万亩、千亩以上有机农产品基地分别达</w:t>
      </w:r>
      <w:r>
        <w:rPr>
          <w:rFonts w:ascii="仿宋" w:hAnsi="仿宋" w:eastAsia="仿宋" w:cs="仿宋"/>
          <w:sz w:val="30"/>
          <w:szCs w:val="30"/>
        </w:rPr>
        <w:t>10</w:t>
      </w:r>
      <w:r>
        <w:rPr>
          <w:rFonts w:hint="eastAsia" w:ascii="仿宋" w:hAnsi="仿宋" w:eastAsia="仿宋" w:cs="仿宋"/>
          <w:sz w:val="30"/>
          <w:szCs w:val="30"/>
        </w:rPr>
        <w:t>个、</w:t>
      </w:r>
      <w:r>
        <w:rPr>
          <w:rFonts w:ascii="仿宋" w:hAnsi="仿宋" w:eastAsia="仿宋" w:cs="仿宋"/>
          <w:sz w:val="30"/>
          <w:szCs w:val="30"/>
        </w:rPr>
        <w:t>150</w:t>
      </w:r>
      <w:r>
        <w:rPr>
          <w:rFonts w:hint="eastAsia" w:ascii="仿宋" w:hAnsi="仿宋" w:eastAsia="仿宋" w:cs="仿宋"/>
          <w:sz w:val="30"/>
          <w:szCs w:val="30"/>
        </w:rPr>
        <w:t>个。富硒绿色有机设施农业面积达</w:t>
      </w:r>
      <w:r>
        <w:rPr>
          <w:rFonts w:ascii="仿宋" w:hAnsi="仿宋" w:eastAsia="仿宋" w:cs="仿宋"/>
          <w:sz w:val="30"/>
          <w:szCs w:val="30"/>
        </w:rPr>
        <w:t>100</w:t>
      </w:r>
      <w:r>
        <w:rPr>
          <w:rFonts w:hint="eastAsia" w:ascii="仿宋" w:hAnsi="仿宋" w:eastAsia="仿宋" w:cs="仿宋"/>
          <w:sz w:val="30"/>
          <w:szCs w:val="30"/>
        </w:rPr>
        <w:t>万亩。实现省级绿色有机农产品示范县全覆盖，把宜春市打造成为全国首个“全域创建富硒绿色有机农产品示范市”。</w:t>
      </w:r>
    </w:p>
    <w:p>
      <w:pPr>
        <w:pStyle w:val="2"/>
        <w:jc w:val="center"/>
        <w:rPr>
          <w:rFonts w:ascii="Times New Roman" w:hAnsi="Times New Roman" w:cs="Times New Roman"/>
          <w:b w:val="0"/>
          <w:bCs w:val="0"/>
        </w:rPr>
      </w:pPr>
      <w:bookmarkStart w:id="89" w:name="_Toc96329897"/>
      <w:r>
        <w:rPr>
          <w:rFonts w:hint="eastAsia" w:ascii="黑体" w:hAnsi="黑体" w:eastAsia="黑体" w:cs="黑体"/>
          <w:sz w:val="30"/>
          <w:szCs w:val="30"/>
        </w:rPr>
        <w:t>第三节</w:t>
      </w:r>
      <w:r>
        <w:rPr>
          <w:rFonts w:ascii="黑体" w:hAnsi="黑体" w:eastAsia="黑体" w:cs="黑体"/>
          <w:sz w:val="30"/>
          <w:szCs w:val="30"/>
        </w:rPr>
        <w:t xml:space="preserve"> </w:t>
      </w:r>
      <w:r>
        <w:rPr>
          <w:rFonts w:hint="eastAsia" w:ascii="黑体" w:hAnsi="黑体" w:eastAsia="黑体" w:cs="黑体"/>
          <w:sz w:val="30"/>
          <w:szCs w:val="30"/>
        </w:rPr>
        <w:t>加快推进富硒绿色有机产业强链补链延链建链</w:t>
      </w:r>
      <w:bookmarkEnd w:id="89"/>
    </w:p>
    <w:p>
      <w:pPr>
        <w:pStyle w:val="9"/>
        <w:spacing w:after="0" w:line="360" w:lineRule="auto"/>
        <w:ind w:left="0" w:leftChars="0" w:firstLine="600" w:firstLineChars="200"/>
        <w:rPr>
          <w:rFonts w:ascii="仿宋" w:cs="Times New Roman"/>
          <w:kern w:val="0"/>
        </w:rPr>
      </w:pPr>
      <w:bookmarkStart w:id="90" w:name="_Toc13764"/>
      <w:r>
        <w:rPr>
          <w:rFonts w:hint="eastAsia" w:ascii="仿宋" w:hAnsi="仿宋" w:cs="仿宋"/>
          <w:kern w:val="0"/>
        </w:rPr>
        <w:t>打好富硒绿色有机产业升级攻坚战。大力实施绿色食品（富硒）产业链链长制，以产业强链、补链、延链、建链为方向，进一步做强产业链、提升价值链、融通供应链，大力推动绿色食品（富硒）产业全要素、全流程、全产业链改造，着力打造千亿级富硒绿色有机产业链，为宜春高质量跨越式发展提供坚实支撑。</w:t>
      </w:r>
      <w:bookmarkEnd w:id="90"/>
    </w:p>
    <w:p>
      <w:pPr>
        <w:pStyle w:val="4"/>
        <w:numPr>
          <w:ilvl w:val="255"/>
          <w:numId w:val="0"/>
        </w:numPr>
        <w:spacing w:before="0" w:after="0" w:line="360" w:lineRule="auto"/>
        <w:ind w:firstLine="602" w:firstLineChars="200"/>
        <w:rPr>
          <w:rFonts w:ascii="仿宋" w:hAnsi="仿宋" w:eastAsia="仿宋" w:cs="Times New Roman"/>
          <w:sz w:val="30"/>
          <w:szCs w:val="30"/>
        </w:rPr>
      </w:pPr>
      <w:bookmarkStart w:id="91" w:name="_Toc96329898"/>
      <w:r>
        <w:rPr>
          <w:rFonts w:hint="eastAsia" w:ascii="仿宋" w:hAnsi="仿宋" w:eastAsia="仿宋" w:cs="仿宋"/>
          <w:sz w:val="30"/>
          <w:szCs w:val="30"/>
        </w:rPr>
        <w:t>一、推进农业产业集群发展</w:t>
      </w:r>
      <w:bookmarkEnd w:id="91"/>
    </w:p>
    <w:p>
      <w:pPr>
        <w:numPr>
          <w:ilvl w:val="255"/>
          <w:numId w:val="0"/>
        </w:numPr>
        <w:ind w:firstLine="600" w:firstLineChars="200"/>
        <w:rPr>
          <w:rFonts w:ascii="仿宋" w:hAnsi="仿宋" w:eastAsia="仿宋" w:cs="Times New Roman"/>
          <w:kern w:val="0"/>
          <w:sz w:val="30"/>
          <w:szCs w:val="30"/>
        </w:rPr>
      </w:pPr>
      <w:r>
        <w:rPr>
          <w:rFonts w:hint="eastAsia" w:ascii="仿宋" w:hAnsi="仿宋" w:eastAsia="仿宋" w:cs="仿宋"/>
          <w:kern w:val="0"/>
          <w:sz w:val="30"/>
          <w:szCs w:val="30"/>
        </w:rPr>
        <w:t>聚焦全市产业基础好、规模大、有特色、比较优势显著的粮食、果蔬、畜禽、油茶、竹笋等产业，推进优势特色产业规模化、标准化、产业化、集群化发展，推动农业产业形态由“小而全”向“大而专”的产业结构转变，空间布局由“小平面”延伸至“大集群”，相互关系由“同质竞争”转化为“互助共赢合作”，引导产业主体和要素向产业集聚区集中布局，以富硒竹笋、宜春大米、富硒禽蛋三个产业集群建设等为重点，逐步形成产业体系健全、产业生态优化、产业功能完善、辐射带动有力的优势特色产业集群，以产业集群发展带动产业优势提升和发展方式转型。不断延伸全市特色农业产业集群产业链，大力推进农产品深加工，鼓励农业产业化龙头企业和农产品加工企业向优势产区和关键物流节点集聚。稳步加快富硒绿色有机农产品基地建设，加快形成农产品加工优势产业集群，拓展全市优势特色产业集群产业化发展的深度和广度。到</w:t>
      </w:r>
      <w:r>
        <w:rPr>
          <w:rFonts w:ascii="仿宋" w:hAnsi="仿宋" w:eastAsia="仿宋" w:cs="仿宋"/>
          <w:kern w:val="0"/>
          <w:sz w:val="30"/>
          <w:szCs w:val="30"/>
        </w:rPr>
        <w:t>2025</w:t>
      </w:r>
      <w:r>
        <w:rPr>
          <w:rFonts w:hint="eastAsia" w:ascii="仿宋" w:hAnsi="仿宋" w:eastAsia="仿宋" w:cs="仿宋"/>
          <w:kern w:val="0"/>
          <w:sz w:val="30"/>
          <w:szCs w:val="30"/>
        </w:rPr>
        <w:t>年，建设国家级优势特色产业集群</w:t>
      </w:r>
      <w:r>
        <w:rPr>
          <w:rFonts w:ascii="仿宋" w:hAnsi="仿宋" w:eastAsia="仿宋" w:cs="仿宋"/>
          <w:kern w:val="0"/>
          <w:sz w:val="30"/>
          <w:szCs w:val="30"/>
        </w:rPr>
        <w:t>1</w:t>
      </w:r>
      <w:r>
        <w:rPr>
          <w:rFonts w:hint="eastAsia" w:ascii="仿宋" w:hAnsi="仿宋" w:eastAsia="仿宋" w:cs="仿宋"/>
          <w:kern w:val="0"/>
          <w:sz w:val="30"/>
          <w:szCs w:val="30"/>
        </w:rPr>
        <w:t>个以上，培育一批集生产、加工、流通、仓储、体验、品牌、电商于一体的省级优势特色产业集群。</w:t>
      </w:r>
    </w:p>
    <w:p>
      <w:pPr>
        <w:pStyle w:val="4"/>
        <w:numPr>
          <w:ilvl w:val="255"/>
          <w:numId w:val="0"/>
        </w:numPr>
        <w:spacing w:before="0" w:after="0" w:line="360" w:lineRule="auto"/>
        <w:ind w:firstLine="602" w:firstLineChars="200"/>
        <w:rPr>
          <w:rFonts w:ascii="仿宋" w:hAnsi="仿宋" w:eastAsia="仿宋" w:cs="Times New Roman"/>
          <w:sz w:val="30"/>
          <w:szCs w:val="30"/>
        </w:rPr>
      </w:pPr>
      <w:bookmarkStart w:id="92" w:name="_Toc96329899"/>
      <w:r>
        <w:rPr>
          <w:rFonts w:hint="eastAsia" w:ascii="仿宋" w:hAnsi="仿宋" w:eastAsia="仿宋" w:cs="仿宋"/>
          <w:sz w:val="30"/>
          <w:szCs w:val="30"/>
        </w:rPr>
        <w:t>二、加快农业产业园建设</w:t>
      </w:r>
      <w:bookmarkEnd w:id="92"/>
    </w:p>
    <w:p>
      <w:pPr>
        <w:numPr>
          <w:ilvl w:val="255"/>
          <w:numId w:val="0"/>
        </w:numPr>
        <w:ind w:firstLine="600" w:firstLineChars="200"/>
        <w:rPr>
          <w:rFonts w:cs="Times New Roman"/>
        </w:rPr>
      </w:pPr>
      <w:r>
        <w:rPr>
          <w:rFonts w:hint="eastAsia" w:ascii="仿宋" w:hAnsi="仿宋" w:eastAsia="仿宋" w:cs="仿宋"/>
          <w:kern w:val="0"/>
          <w:sz w:val="30"/>
          <w:szCs w:val="30"/>
        </w:rPr>
        <w:t>按照“增点、扩面、提质、升级”的要求，重点围绕粮食、油茶、中药材、茶叶、肉牛等优势产业以及富硒绿色有机农产品优势区，以各县（市、区）的现代农业示范园区为依托，重点推进丰城市农业现代化示范区和现代农业示范园（产业园）建设。发展农产品精深加工，引导贮藏包装、物流配送、电子商务等配套产业向园区聚集，延伸产业链条，建立龙头企业集群，鼓励抱团发展，放大产业集聚效应，让示范园（产业园）成为龙头企业的聚集地、三产融合发展的主战场，打造一批“特色鲜明、优势突出、三产融合、绿色生态”的国家级、省级、市级现代农业示范园（产业园）以及谋划建设富硒大米、禽蛋、辣椒、黄精等特色产业园和富硒特色产业小镇，引领带动各县市区现代农业加速提质增效，形成“以园兴农、以园强县”的农业产业发展新格局。</w:t>
      </w:r>
    </w:p>
    <w:p>
      <w:pPr>
        <w:pStyle w:val="4"/>
        <w:spacing w:before="0" w:after="0" w:line="360" w:lineRule="auto"/>
        <w:ind w:firstLine="602" w:firstLineChars="200"/>
        <w:rPr>
          <w:rFonts w:ascii="仿宋" w:hAnsi="仿宋" w:eastAsia="仿宋" w:cs="Times New Roman"/>
          <w:sz w:val="30"/>
          <w:szCs w:val="30"/>
        </w:rPr>
      </w:pPr>
      <w:bookmarkStart w:id="93" w:name="_Toc96329900"/>
      <w:r>
        <w:rPr>
          <w:rFonts w:hint="eastAsia" w:ascii="仿宋" w:hAnsi="仿宋" w:eastAsia="仿宋" w:cs="仿宋"/>
          <w:sz w:val="30"/>
          <w:szCs w:val="30"/>
        </w:rPr>
        <w:t>三、</w:t>
      </w:r>
      <w:r>
        <w:fldChar w:fldCharType="begin"/>
      </w:r>
      <w:r>
        <w:instrText xml:space="preserve"> HYPERLINK \l "_Toc18721" </w:instrText>
      </w:r>
      <w:r>
        <w:fldChar w:fldCharType="separate"/>
      </w:r>
      <w:r>
        <w:rPr>
          <w:rFonts w:hint="eastAsia" w:ascii="仿宋" w:hAnsi="仿宋" w:eastAsia="仿宋" w:cs="仿宋"/>
          <w:sz w:val="30"/>
          <w:szCs w:val="30"/>
        </w:rPr>
        <w:t>加强农业品牌建设</w:t>
      </w:r>
      <w:bookmarkEnd w:id="93"/>
      <w:r>
        <w:rPr>
          <w:rFonts w:hint="eastAsia" w:ascii="仿宋" w:hAnsi="仿宋" w:eastAsia="仿宋" w:cs="仿宋"/>
          <w:sz w:val="30"/>
          <w:szCs w:val="30"/>
        </w:rPr>
        <w:fldChar w:fldCharType="end"/>
      </w:r>
    </w:p>
    <w:p>
      <w:pPr>
        <w:pStyle w:val="9"/>
        <w:spacing w:after="0" w:line="360" w:lineRule="auto"/>
        <w:ind w:left="0" w:leftChars="0" w:firstLine="602" w:firstLineChars="200"/>
        <w:rPr>
          <w:rFonts w:cs="Times New Roman"/>
        </w:rPr>
      </w:pPr>
      <w:r>
        <w:rPr>
          <w:rFonts w:hint="eastAsia" w:ascii="仿宋" w:hAnsi="仿宋" w:cs="仿宋"/>
          <w:b/>
          <w:bCs/>
          <w:kern w:val="0"/>
        </w:rPr>
        <w:t>一是</w:t>
      </w:r>
      <w:r>
        <w:rPr>
          <w:rFonts w:hint="eastAsia" w:ascii="仿宋" w:hAnsi="仿宋" w:cs="仿宋"/>
          <w:kern w:val="0"/>
        </w:rPr>
        <w:t>打造“世界硒养之都”品牌。立足宜春独特的富硒资源优势，策划建立“世界硒养之都”</w:t>
      </w:r>
      <w:r>
        <w:rPr>
          <w:rFonts w:ascii="仿宋" w:hAnsi="仿宋" w:cs="仿宋"/>
          <w:kern w:val="0"/>
        </w:rPr>
        <w:t>CI</w:t>
      </w:r>
      <w:r>
        <w:rPr>
          <w:rFonts w:hint="eastAsia" w:ascii="仿宋" w:hAnsi="仿宋" w:cs="仿宋"/>
          <w:kern w:val="0"/>
        </w:rPr>
        <w:t>体系，构建“</w:t>
      </w:r>
      <w:r>
        <w:rPr>
          <w:rFonts w:ascii="仿宋" w:hAnsi="仿宋" w:cs="仿宋"/>
          <w:kern w:val="0"/>
        </w:rPr>
        <w:t>1+N+N</w:t>
      </w:r>
      <w:r>
        <w:rPr>
          <w:rFonts w:hint="eastAsia" w:ascii="仿宋" w:hAnsi="仿宋" w:cs="仿宋"/>
          <w:kern w:val="0"/>
        </w:rPr>
        <w:t>”品牌体系，即“</w:t>
      </w:r>
      <w:r>
        <w:rPr>
          <w:rFonts w:ascii="仿宋" w:hAnsi="仿宋" w:cs="仿宋"/>
          <w:kern w:val="0"/>
        </w:rPr>
        <w:t>1</w:t>
      </w:r>
      <w:r>
        <w:rPr>
          <w:rFonts w:hint="eastAsia" w:ascii="仿宋" w:hAnsi="仿宋" w:cs="仿宋"/>
          <w:kern w:val="0"/>
        </w:rPr>
        <w:t>个统一徽标（</w:t>
      </w:r>
      <w:r>
        <w:rPr>
          <w:rFonts w:ascii="仿宋" w:hAnsi="仿宋" w:cs="仿宋"/>
          <w:kern w:val="0"/>
        </w:rPr>
        <w:t>logo</w:t>
      </w:r>
      <w:r>
        <w:rPr>
          <w:rFonts w:hint="eastAsia" w:ascii="仿宋" w:hAnsi="仿宋" w:cs="仿宋"/>
          <w:kern w:val="0"/>
        </w:rPr>
        <w:t>）</w:t>
      </w:r>
      <w:r>
        <w:rPr>
          <w:rFonts w:ascii="仿宋" w:hAnsi="仿宋" w:cs="仿宋"/>
          <w:kern w:val="0"/>
        </w:rPr>
        <w:t>+N</w:t>
      </w:r>
      <w:r>
        <w:rPr>
          <w:rFonts w:hint="eastAsia" w:ascii="仿宋" w:hAnsi="仿宋" w:cs="仿宋"/>
          <w:kern w:val="0"/>
        </w:rPr>
        <w:t>个区域公用品牌</w:t>
      </w:r>
      <w:r>
        <w:rPr>
          <w:rFonts w:ascii="仿宋" w:hAnsi="仿宋" w:cs="仿宋"/>
          <w:kern w:val="0"/>
        </w:rPr>
        <w:t>+N</w:t>
      </w:r>
      <w:r>
        <w:rPr>
          <w:rFonts w:hint="eastAsia" w:ascii="仿宋" w:hAnsi="仿宋" w:cs="仿宋"/>
          <w:kern w:val="0"/>
        </w:rPr>
        <w:t>个企业品牌”富硒产业品牌体系。</w:t>
      </w:r>
      <w:r>
        <w:rPr>
          <w:rFonts w:hint="eastAsia" w:ascii="仿宋" w:hAnsi="仿宋" w:cs="仿宋"/>
          <w:b/>
          <w:bCs/>
          <w:kern w:val="0"/>
        </w:rPr>
        <w:t>二是</w:t>
      </w:r>
      <w:r>
        <w:rPr>
          <w:rFonts w:hint="eastAsia" w:ascii="仿宋" w:hAnsi="仿宋" w:cs="仿宋"/>
          <w:kern w:val="0"/>
        </w:rPr>
        <w:t>打造“宜春大米”“宜春油茶”“宜丰竹笋”原产地地理标志保护品牌，以“宜春大米”区域公用品牌创建为突破口，构建“宜春大米</w:t>
      </w:r>
      <w:r>
        <w:rPr>
          <w:rFonts w:ascii="仿宋" w:hAnsi="仿宋" w:cs="仿宋"/>
          <w:kern w:val="0"/>
        </w:rPr>
        <w:t>+N</w:t>
      </w:r>
      <w:r>
        <w:rPr>
          <w:rFonts w:hint="eastAsia" w:ascii="仿宋" w:hAnsi="仿宋" w:cs="仿宋"/>
          <w:kern w:val="0"/>
        </w:rPr>
        <w:t>个企业品牌”的品牌体系，加大品牌的宣传推广力度。依托赣湘边区域合作宜春产业园建设，积极参与“湘赣红”区域公用品牌共建。</w:t>
      </w:r>
      <w:r>
        <w:rPr>
          <w:rFonts w:hint="eastAsia" w:ascii="仿宋" w:hAnsi="仿宋" w:cs="仿宋"/>
          <w:b/>
          <w:bCs/>
          <w:kern w:val="0"/>
        </w:rPr>
        <w:t>三是</w:t>
      </w:r>
      <w:r>
        <w:rPr>
          <w:rFonts w:hint="eastAsia" w:ascii="仿宋" w:hAnsi="仿宋" w:cs="仿宋"/>
          <w:kern w:val="0"/>
        </w:rPr>
        <w:t>加大“袁州茶油”“靖安白茶”“宜丰蜂蜜”“高安牛肉”“奉新猕猴桃”等区域特色明显、市场知名度高、发展潜力大、带动能力强的知名农产品区域公用品牌、企业品牌及产品品牌的创建力度，加大政策扶持力度，建立奖励机制，健全服务体系。鼓励龙头企业依靠科技提高农产品档次，与高等院校和科研单位联合开发具有宜春地域特色的高、新、精农产品，以新取胜、以特取胜、以质取胜，着力提升产品品牌影响力和竞争力。</w:t>
      </w:r>
      <w:r>
        <w:rPr>
          <w:rFonts w:hint="eastAsia" w:cs="仿宋"/>
        </w:rPr>
        <w:t>推进“两证一码”（富硒农产品认证、承诺达标合格证、原产地追溯码）实施和“两品一标”（绿色食品、有机农产品、地理标志农产品）认证，加大区域品牌整合力度，</w:t>
      </w:r>
      <w:r>
        <w:rPr>
          <w:rFonts w:hint="eastAsia" w:ascii="仿宋" w:hAnsi="仿宋" w:cs="仿宋"/>
          <w:kern w:val="0"/>
        </w:rPr>
        <w:t>加大品牌管理监督力度，建立质量安全管理可追溯系统，严厉打击假冒伪劣产品。</w:t>
      </w:r>
    </w:p>
    <w:p>
      <w:pPr>
        <w:pStyle w:val="4"/>
        <w:numPr>
          <w:ilvl w:val="255"/>
          <w:numId w:val="0"/>
        </w:numPr>
        <w:spacing w:before="0" w:after="0" w:line="360" w:lineRule="auto"/>
        <w:ind w:firstLine="602" w:firstLineChars="200"/>
        <w:rPr>
          <w:rFonts w:ascii="仿宋" w:hAnsi="仿宋" w:eastAsia="仿宋" w:cs="Times New Roman"/>
          <w:sz w:val="30"/>
          <w:szCs w:val="30"/>
        </w:rPr>
      </w:pPr>
      <w:bookmarkStart w:id="94" w:name="_Toc96329901"/>
      <w:r>
        <w:rPr>
          <w:rFonts w:hint="eastAsia" w:ascii="仿宋" w:hAnsi="仿宋" w:eastAsia="仿宋" w:cs="仿宋"/>
          <w:sz w:val="30"/>
          <w:szCs w:val="30"/>
        </w:rPr>
        <w:t>四、推动三产融合发展</w:t>
      </w:r>
      <w:bookmarkEnd w:id="94"/>
    </w:p>
    <w:p>
      <w:pPr>
        <w:spacing w:line="620" w:lineRule="exact"/>
        <w:ind w:firstLine="600" w:firstLineChars="200"/>
        <w:rPr>
          <w:rFonts w:ascii="仿宋" w:hAnsi="仿宋" w:eastAsia="仿宋" w:cs="Times New Roman"/>
          <w:kern w:val="0"/>
          <w:sz w:val="30"/>
          <w:szCs w:val="30"/>
        </w:rPr>
      </w:pPr>
      <w:r>
        <w:rPr>
          <w:rFonts w:hint="eastAsia" w:eastAsia="仿宋" w:cs="仿宋"/>
          <w:sz w:val="30"/>
          <w:szCs w:val="30"/>
        </w:rPr>
        <w:t>着力引进和培育头部企业，</w:t>
      </w:r>
      <w:r>
        <w:rPr>
          <w:rFonts w:hint="eastAsia" w:ascii="仿宋" w:hAnsi="仿宋" w:eastAsia="仿宋" w:cs="仿宋"/>
          <w:kern w:val="0"/>
          <w:sz w:val="30"/>
          <w:szCs w:val="30"/>
        </w:rPr>
        <w:t>大力发展产业融合示范区。支持龙头企业打造全产业链生产经营体系，大力发展产地初加工及精深加工，以粮食、果蔬、茶叶、油茶等农产品干燥、储藏保鲜等初加工设施建设为重点，</w:t>
      </w:r>
      <w:r>
        <w:rPr>
          <w:rFonts w:hint="eastAsia" w:eastAsia="仿宋" w:cs="仿宋"/>
          <w:sz w:val="30"/>
          <w:szCs w:val="30"/>
        </w:rPr>
        <w:t>推进科技创新，</w:t>
      </w:r>
      <w:r>
        <w:rPr>
          <w:rFonts w:hint="eastAsia" w:ascii="仿宋" w:hAnsi="仿宋" w:eastAsia="仿宋" w:cs="仿宋"/>
          <w:kern w:val="0"/>
          <w:sz w:val="30"/>
          <w:szCs w:val="30"/>
        </w:rPr>
        <w:t>提升产地初加工水平。通过精深加工和精细化管理提高产品附加值，做大做强粮食、油茶、中药材、茶叶等优势产业，着力培育和扶持果蔬、畜禽、水产加工、竹笋等短板产业，引导加工企业向园区聚集。抓好万载、丰城、樟树农村产业融合示范县和高安粮食产业、樟树蔬菜产业、奉新猕猴桃产业、靖安白茶、靖安皇菊、靖安娃娃鱼、宜丰竹笋产业融合发展等试点，打造三产融合试验区。积极拓展农业多种功能，引导农业与休闲、旅游、文化、教育、科普、养生养老等产业深度融合。聚焦重点区域，依据自然风貌、人文环境、乡土文化等资源禀赋，建设特色鲜明、功能完备、内涵丰富的休闲农业重点县，努力将宜春打造成国内知名健康养生型休闲农业与乡村旅游目的地。</w:t>
      </w:r>
    </w:p>
    <w:p>
      <w:pPr>
        <w:pStyle w:val="4"/>
        <w:spacing w:before="0" w:after="0" w:line="360" w:lineRule="auto"/>
        <w:ind w:firstLine="602" w:firstLineChars="200"/>
        <w:rPr>
          <w:rFonts w:ascii="仿宋" w:hAnsi="仿宋" w:eastAsia="仿宋" w:cs="Times New Roman"/>
          <w:sz w:val="30"/>
          <w:szCs w:val="30"/>
        </w:rPr>
      </w:pPr>
      <w:bookmarkStart w:id="95" w:name="_Toc96329902"/>
      <w:r>
        <w:rPr>
          <w:rFonts w:hint="eastAsia" w:ascii="仿宋" w:hAnsi="仿宋" w:eastAsia="仿宋" w:cs="仿宋"/>
          <w:sz w:val="30"/>
          <w:szCs w:val="30"/>
        </w:rPr>
        <w:t>五、做大做强农产品现代物流</w:t>
      </w:r>
      <w:bookmarkEnd w:id="95"/>
    </w:p>
    <w:p>
      <w:pPr>
        <w:pStyle w:val="9"/>
        <w:spacing w:after="0" w:line="360" w:lineRule="auto"/>
        <w:ind w:left="0" w:leftChars="0" w:firstLine="600" w:firstLineChars="200"/>
        <w:rPr>
          <w:rFonts w:ascii="仿宋" w:cs="Times New Roman"/>
          <w:kern w:val="0"/>
        </w:rPr>
      </w:pPr>
      <w:r>
        <w:rPr>
          <w:rFonts w:hint="eastAsia" w:ascii="仿宋" w:hAnsi="仿宋" w:cs="仿宋"/>
          <w:kern w:val="0"/>
        </w:rPr>
        <w:t>加快完善冷链物流。立足综合交通、产业基础两大优势，突出规模化、标准化、智慧化、专业化，加快推进冷链物流标准体系、公共信息平台、冷链物流基地建设和冷链多式联运、物流专业人才培养，培育引进一批大型冷链物流企业和综合服务能力强的集成物流企业，加快实现由传统物流向现代物流转型。构建现代商贸流通体系。运用网络信息和物联网技术，与天猫、盒马鲜生等知名平台合作，建设富硒绿色有机产品物流配送中心、电子商务中心、特色店等，形成现代富硒绿色有机农产品流通网络。提升供销社为农服务能力。推进惠农服务中心建设，积极对接省供销集团城乡冷链物流骨干网项目，探索开展“互联网</w:t>
      </w:r>
      <w:r>
        <w:rPr>
          <w:rFonts w:ascii="仿宋" w:hAnsi="仿宋" w:cs="仿宋"/>
          <w:kern w:val="0"/>
        </w:rPr>
        <w:t>+</w:t>
      </w:r>
      <w:r>
        <w:rPr>
          <w:rFonts w:hint="eastAsia" w:ascii="仿宋" w:hAnsi="仿宋" w:cs="仿宋"/>
          <w:kern w:val="0"/>
        </w:rPr>
        <w:t>第四方物流”，将宜春市打造成全省富硒绿色有机农产品集散供应中心。</w:t>
      </w:r>
    </w:p>
    <w:tbl>
      <w:tblPr>
        <w:tblStyle w:val="16"/>
        <w:tblpPr w:leftFromText="180" w:rightFromText="180" w:vertAnchor="text" w:horzAnchor="margin" w:tblpXSpec="center" w:tblpY="14"/>
        <w:tblOverlap w:val="never"/>
        <w:tblW w:w="906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 w:hRule="atLeast"/>
        </w:trPr>
        <w:tc>
          <w:tcPr>
            <w:tcW w:w="9061" w:type="dxa"/>
          </w:tcPr>
          <w:p>
            <w:pPr>
              <w:pStyle w:val="15"/>
              <w:ind w:left="31680" w:firstLine="31680"/>
              <w:jc w:val="center"/>
              <w:rPr>
                <w:rFonts w:ascii="黑体" w:hAnsi="黑体" w:eastAsia="黑体" w:cs="Times New Roman"/>
                <w:b/>
                <w:bCs/>
                <w:kern w:val="0"/>
                <w:sz w:val="28"/>
                <w:szCs w:val="28"/>
              </w:rPr>
            </w:pPr>
            <w:r>
              <w:rPr>
                <w:rFonts w:hint="eastAsia" w:ascii="黑体" w:hAnsi="黑体" w:eastAsia="黑体" w:cs="黑体"/>
                <w:b/>
                <w:bCs/>
                <w:kern w:val="0"/>
                <w:sz w:val="28"/>
                <w:szCs w:val="28"/>
              </w:rPr>
              <w:t>专栏</w:t>
            </w:r>
            <w:r>
              <w:rPr>
                <w:rFonts w:ascii="黑体" w:hAnsi="黑体" w:eastAsia="黑体" w:cs="黑体"/>
                <w:b/>
                <w:bCs/>
                <w:kern w:val="0"/>
                <w:sz w:val="28"/>
                <w:szCs w:val="28"/>
              </w:rPr>
              <w:t xml:space="preserve">3  </w:t>
            </w:r>
            <w:r>
              <w:rPr>
                <w:rFonts w:hint="eastAsia" w:ascii="黑体" w:hAnsi="黑体" w:eastAsia="黑体" w:cs="黑体"/>
                <w:b/>
                <w:bCs/>
                <w:kern w:val="0"/>
                <w:sz w:val="28"/>
                <w:szCs w:val="28"/>
              </w:rPr>
              <w:t>富硒绿色有机产业强链补链延链建链工程</w:t>
            </w:r>
          </w:p>
          <w:p>
            <w:pPr>
              <w:spacing w:line="500" w:lineRule="exact"/>
              <w:ind w:firstLine="562" w:firstLineChars="200"/>
              <w:rPr>
                <w:rFonts w:ascii="楷体" w:hAnsi="楷体" w:eastAsia="楷体" w:cs="Times New Roman"/>
                <w:b/>
                <w:bCs/>
                <w:kern w:val="0"/>
                <w:sz w:val="28"/>
                <w:szCs w:val="28"/>
              </w:rPr>
            </w:pPr>
            <w:r>
              <w:rPr>
                <w:rFonts w:hint="eastAsia" w:ascii="楷体" w:hAnsi="楷体" w:eastAsia="楷体" w:cs="楷体"/>
                <w:b/>
                <w:bCs/>
                <w:kern w:val="0"/>
                <w:sz w:val="28"/>
                <w:szCs w:val="28"/>
              </w:rPr>
              <w:t>（一）三产融合工程</w:t>
            </w:r>
          </w:p>
          <w:p>
            <w:pPr>
              <w:spacing w:line="500" w:lineRule="exact"/>
              <w:ind w:firstLine="560" w:firstLineChars="200"/>
              <w:rPr>
                <w:rFonts w:ascii="楷体" w:hAnsi="楷体" w:eastAsia="楷体" w:cs="Times New Roman"/>
                <w:kern w:val="0"/>
                <w:sz w:val="28"/>
                <w:szCs w:val="28"/>
              </w:rPr>
            </w:pPr>
            <w:r>
              <w:rPr>
                <w:rFonts w:hint="eastAsia" w:ascii="楷体" w:hAnsi="楷体" w:eastAsia="楷体" w:cs="楷体"/>
                <w:kern w:val="0"/>
                <w:sz w:val="28"/>
                <w:szCs w:val="28"/>
              </w:rPr>
              <w:t>加快“两园一体”建设，重点推动万载、丰城、樟树农村产业融合示范县和高安粮食产业、樟树蔬菜产业、奉新猕猴桃产业、靖安白茶、靖安皇菊、靖安娃娃鱼、宜丰竹笋等三产融合产业园建设。力争到</w:t>
            </w:r>
            <w:r>
              <w:rPr>
                <w:rFonts w:ascii="楷体" w:hAnsi="楷体" w:eastAsia="楷体" w:cs="楷体"/>
                <w:kern w:val="0"/>
                <w:sz w:val="28"/>
                <w:szCs w:val="28"/>
              </w:rPr>
              <w:t>2025</w:t>
            </w:r>
            <w:r>
              <w:rPr>
                <w:rFonts w:hint="eastAsia" w:ascii="楷体" w:hAnsi="楷体" w:eastAsia="楷体" w:cs="楷体"/>
                <w:kern w:val="0"/>
                <w:sz w:val="28"/>
                <w:szCs w:val="28"/>
              </w:rPr>
              <w:t>年，建成市级以上现代农业示范园（产业园）</w:t>
            </w:r>
            <w:r>
              <w:rPr>
                <w:rFonts w:ascii="楷体" w:hAnsi="楷体" w:eastAsia="楷体" w:cs="楷体"/>
                <w:kern w:val="0"/>
                <w:sz w:val="28"/>
                <w:szCs w:val="28"/>
              </w:rPr>
              <w:t>100</w:t>
            </w:r>
            <w:r>
              <w:rPr>
                <w:rFonts w:hint="eastAsia" w:ascii="楷体" w:hAnsi="楷体" w:eastAsia="楷体" w:cs="楷体"/>
                <w:kern w:val="0"/>
                <w:sz w:val="28"/>
                <w:szCs w:val="28"/>
              </w:rPr>
              <w:t>个，其中省级现代农业示范园（产业园）</w:t>
            </w:r>
            <w:r>
              <w:rPr>
                <w:rFonts w:ascii="楷体" w:hAnsi="楷体" w:eastAsia="楷体" w:cs="楷体"/>
                <w:kern w:val="0"/>
                <w:sz w:val="28"/>
                <w:szCs w:val="28"/>
              </w:rPr>
              <w:t>45</w:t>
            </w:r>
            <w:r>
              <w:rPr>
                <w:rFonts w:hint="eastAsia" w:ascii="楷体" w:hAnsi="楷体" w:eastAsia="楷体" w:cs="楷体"/>
                <w:kern w:val="0"/>
                <w:sz w:val="28"/>
                <w:szCs w:val="28"/>
              </w:rPr>
              <w:t>个，国家现代农业产业园</w:t>
            </w:r>
            <w:r>
              <w:rPr>
                <w:rFonts w:ascii="楷体" w:hAnsi="楷体" w:eastAsia="楷体" w:cs="楷体"/>
                <w:kern w:val="0"/>
                <w:sz w:val="28"/>
                <w:szCs w:val="28"/>
              </w:rPr>
              <w:t>2</w:t>
            </w:r>
            <w:r>
              <w:rPr>
                <w:rFonts w:hint="eastAsia" w:ascii="楷体" w:hAnsi="楷体" w:eastAsia="楷体" w:cs="楷体"/>
                <w:kern w:val="0"/>
                <w:sz w:val="28"/>
                <w:szCs w:val="28"/>
              </w:rPr>
              <w:t>个；省级田园综合体</w:t>
            </w:r>
            <w:r>
              <w:rPr>
                <w:rFonts w:ascii="楷体" w:hAnsi="楷体" w:eastAsia="楷体" w:cs="楷体"/>
                <w:kern w:val="0"/>
                <w:sz w:val="28"/>
                <w:szCs w:val="28"/>
              </w:rPr>
              <w:t>15</w:t>
            </w:r>
            <w:r>
              <w:rPr>
                <w:rFonts w:hint="eastAsia" w:ascii="楷体" w:hAnsi="楷体" w:eastAsia="楷体" w:cs="楷体"/>
                <w:kern w:val="0"/>
                <w:sz w:val="28"/>
                <w:szCs w:val="28"/>
              </w:rPr>
              <w:t>个。在园区内构建城乡融合发展的体制机制和政策体系。推进休闲农业与乡村旅游提质升级，争创省级休闲农业品牌</w:t>
            </w:r>
            <w:r>
              <w:rPr>
                <w:rFonts w:ascii="楷体" w:hAnsi="楷体" w:eastAsia="楷体" w:cs="楷体"/>
                <w:kern w:val="0"/>
                <w:sz w:val="28"/>
                <w:szCs w:val="28"/>
              </w:rPr>
              <w:t>10</w:t>
            </w:r>
            <w:r>
              <w:rPr>
                <w:rFonts w:hint="eastAsia" w:ascii="楷体" w:hAnsi="楷体" w:eastAsia="楷体" w:cs="楷体"/>
                <w:kern w:val="0"/>
                <w:sz w:val="28"/>
                <w:szCs w:val="28"/>
              </w:rPr>
              <w:t>个以上。</w:t>
            </w:r>
          </w:p>
          <w:p>
            <w:pPr>
              <w:spacing w:line="500" w:lineRule="exact"/>
              <w:ind w:firstLine="562" w:firstLineChars="200"/>
              <w:rPr>
                <w:rFonts w:ascii="楷体" w:hAnsi="楷体" w:eastAsia="楷体" w:cs="Times New Roman"/>
                <w:b/>
                <w:bCs/>
                <w:kern w:val="0"/>
                <w:sz w:val="28"/>
                <w:szCs w:val="28"/>
              </w:rPr>
            </w:pPr>
            <w:r>
              <w:rPr>
                <w:rFonts w:hint="eastAsia" w:ascii="楷体" w:hAnsi="楷体" w:eastAsia="楷体" w:cs="楷体"/>
                <w:b/>
                <w:bCs/>
                <w:kern w:val="0"/>
                <w:sz w:val="28"/>
                <w:szCs w:val="28"/>
              </w:rPr>
              <w:t>（二）品牌创建工程</w:t>
            </w:r>
          </w:p>
          <w:p>
            <w:pPr>
              <w:spacing w:line="500" w:lineRule="exact"/>
              <w:ind w:firstLine="560" w:firstLineChars="200"/>
              <w:rPr>
                <w:rFonts w:ascii="楷体" w:hAnsi="楷体" w:eastAsia="楷体" w:cs="Times New Roman"/>
                <w:kern w:val="0"/>
                <w:sz w:val="28"/>
                <w:szCs w:val="28"/>
              </w:rPr>
            </w:pPr>
            <w:r>
              <w:rPr>
                <w:rFonts w:hint="eastAsia" w:ascii="楷体" w:hAnsi="楷体" w:eastAsia="楷体" w:cs="楷体"/>
                <w:kern w:val="0"/>
                <w:sz w:val="28"/>
                <w:szCs w:val="28"/>
              </w:rPr>
              <w:t>到</w:t>
            </w:r>
            <w:r>
              <w:rPr>
                <w:rFonts w:ascii="楷体" w:hAnsi="楷体" w:eastAsia="楷体" w:cs="楷体"/>
                <w:kern w:val="0"/>
                <w:sz w:val="28"/>
                <w:szCs w:val="28"/>
              </w:rPr>
              <w:t>2025</w:t>
            </w:r>
            <w:r>
              <w:rPr>
                <w:rFonts w:hint="eastAsia" w:ascii="楷体" w:hAnsi="楷体" w:eastAsia="楷体" w:cs="楷体"/>
                <w:kern w:val="0"/>
                <w:sz w:val="28"/>
                <w:szCs w:val="28"/>
              </w:rPr>
              <w:t>年，“宜春大米”稻谷加工能力超过</w:t>
            </w:r>
            <w:r>
              <w:rPr>
                <w:rFonts w:ascii="楷体" w:hAnsi="楷体" w:eastAsia="楷体" w:cs="楷体"/>
                <w:kern w:val="0"/>
                <w:sz w:val="28"/>
                <w:szCs w:val="28"/>
              </w:rPr>
              <w:t>100</w:t>
            </w:r>
            <w:r>
              <w:rPr>
                <w:rFonts w:hint="eastAsia" w:ascii="楷体" w:hAnsi="楷体" w:eastAsia="楷体" w:cs="楷体"/>
                <w:kern w:val="0"/>
                <w:sz w:val="28"/>
                <w:szCs w:val="28"/>
              </w:rPr>
              <w:t>万吨，力争“宜春大米”、“宜丰竹笋”进入全国农产品区域公用品牌价值榜</w:t>
            </w:r>
            <w:r>
              <w:rPr>
                <w:rFonts w:ascii="楷体" w:hAnsi="楷体" w:eastAsia="楷体" w:cs="楷体"/>
                <w:kern w:val="0"/>
                <w:sz w:val="28"/>
                <w:szCs w:val="28"/>
              </w:rPr>
              <w:t>100</w:t>
            </w:r>
            <w:r>
              <w:rPr>
                <w:rFonts w:hint="eastAsia" w:ascii="楷体" w:hAnsi="楷体" w:eastAsia="楷体" w:cs="楷体"/>
                <w:kern w:val="0"/>
                <w:sz w:val="28"/>
                <w:szCs w:val="28"/>
              </w:rPr>
              <w:t>强。推进县域特色品牌创建，每个县重点培育</w:t>
            </w:r>
            <w:r>
              <w:rPr>
                <w:rFonts w:ascii="楷体" w:hAnsi="楷体" w:eastAsia="楷体" w:cs="楷体"/>
                <w:kern w:val="0"/>
                <w:sz w:val="28"/>
                <w:szCs w:val="28"/>
              </w:rPr>
              <w:t>1-2</w:t>
            </w:r>
            <w:r>
              <w:rPr>
                <w:rFonts w:hint="eastAsia" w:ascii="楷体" w:hAnsi="楷体" w:eastAsia="楷体" w:cs="楷体"/>
                <w:kern w:val="0"/>
                <w:sz w:val="28"/>
                <w:szCs w:val="28"/>
              </w:rPr>
              <w:t>个在全国、全省有影响力的特色品牌。</w:t>
            </w:r>
          </w:p>
          <w:p>
            <w:pPr>
              <w:spacing w:line="500" w:lineRule="exact"/>
              <w:ind w:firstLine="562" w:firstLineChars="200"/>
              <w:rPr>
                <w:rFonts w:ascii="楷体" w:hAnsi="楷体" w:eastAsia="楷体" w:cs="Times New Roman"/>
                <w:b/>
                <w:bCs/>
                <w:kern w:val="0"/>
                <w:sz w:val="28"/>
                <w:szCs w:val="28"/>
              </w:rPr>
            </w:pPr>
            <w:r>
              <w:rPr>
                <w:rFonts w:hint="eastAsia" w:ascii="楷体" w:hAnsi="楷体" w:eastAsia="楷体" w:cs="楷体"/>
                <w:b/>
                <w:bCs/>
                <w:kern w:val="0"/>
                <w:sz w:val="28"/>
                <w:szCs w:val="28"/>
              </w:rPr>
              <w:t>（三）农产品质量监管体系工程</w:t>
            </w:r>
          </w:p>
          <w:p>
            <w:pPr>
              <w:spacing w:line="500" w:lineRule="exact"/>
              <w:ind w:firstLine="560" w:firstLineChars="200"/>
              <w:rPr>
                <w:rFonts w:ascii="楷体" w:hAnsi="楷体" w:eastAsia="楷体" w:cs="Times New Roman"/>
                <w:kern w:val="0"/>
                <w:sz w:val="28"/>
                <w:szCs w:val="28"/>
              </w:rPr>
            </w:pPr>
            <w:r>
              <w:rPr>
                <w:rFonts w:hint="eastAsia" w:ascii="楷体" w:hAnsi="楷体" w:eastAsia="楷体" w:cs="楷体"/>
                <w:kern w:val="0"/>
                <w:sz w:val="28"/>
                <w:szCs w:val="28"/>
              </w:rPr>
              <w:t>加快农产品质量安全追溯体系建设，推行农产品“两证一码”制度。力争到</w:t>
            </w:r>
            <w:r>
              <w:rPr>
                <w:rFonts w:ascii="楷体" w:hAnsi="楷体" w:eastAsia="楷体" w:cs="楷体"/>
                <w:kern w:val="0"/>
                <w:sz w:val="28"/>
                <w:szCs w:val="28"/>
              </w:rPr>
              <w:t>2025</w:t>
            </w:r>
            <w:r>
              <w:rPr>
                <w:rFonts w:hint="eastAsia" w:ascii="楷体" w:hAnsi="楷体" w:eastAsia="楷体" w:cs="楷体"/>
                <w:kern w:val="0"/>
                <w:sz w:val="28"/>
                <w:szCs w:val="28"/>
              </w:rPr>
              <w:t>年，所有县市区试行品类（蔬菜、水果、茶叶、竹笋、畜禽、禽蛋、养殖水产品）的产品实现全覆盖，全市“两品一标”农产品认证总数达到</w:t>
            </w:r>
            <w:r>
              <w:rPr>
                <w:rFonts w:ascii="楷体" w:hAnsi="楷体" w:eastAsia="楷体" w:cs="楷体"/>
                <w:kern w:val="0"/>
                <w:sz w:val="28"/>
                <w:szCs w:val="28"/>
              </w:rPr>
              <w:t>880</w:t>
            </w:r>
            <w:r>
              <w:rPr>
                <w:rFonts w:hint="eastAsia" w:ascii="楷体" w:hAnsi="楷体" w:eastAsia="楷体" w:cs="楷体"/>
                <w:kern w:val="0"/>
                <w:sz w:val="28"/>
                <w:szCs w:val="28"/>
              </w:rPr>
              <w:t>个。</w:t>
            </w:r>
          </w:p>
          <w:p>
            <w:pPr>
              <w:spacing w:line="500" w:lineRule="exact"/>
              <w:ind w:firstLine="562" w:firstLineChars="200"/>
              <w:rPr>
                <w:rFonts w:ascii="楷体" w:hAnsi="楷体" w:eastAsia="楷体" w:cs="Times New Roman"/>
                <w:b/>
                <w:bCs/>
                <w:kern w:val="0"/>
                <w:sz w:val="28"/>
                <w:szCs w:val="28"/>
              </w:rPr>
            </w:pPr>
            <w:r>
              <w:rPr>
                <w:rFonts w:hint="eastAsia" w:ascii="楷体" w:hAnsi="楷体" w:eastAsia="楷体" w:cs="楷体"/>
                <w:b/>
                <w:bCs/>
                <w:kern w:val="0"/>
                <w:sz w:val="28"/>
                <w:szCs w:val="28"/>
              </w:rPr>
              <w:t>（四）丰城市农业现代化示范区创建工程</w:t>
            </w:r>
          </w:p>
          <w:p>
            <w:pPr>
              <w:spacing w:line="500" w:lineRule="exact"/>
              <w:ind w:firstLine="560" w:firstLineChars="200"/>
              <w:rPr>
                <w:rFonts w:ascii="楷体" w:hAnsi="楷体" w:eastAsia="楷体" w:cs="Times New Roman"/>
                <w:kern w:val="0"/>
                <w:sz w:val="28"/>
                <w:szCs w:val="28"/>
              </w:rPr>
            </w:pPr>
            <w:r>
              <w:rPr>
                <w:rFonts w:hint="eastAsia" w:ascii="楷体" w:hAnsi="楷体" w:eastAsia="楷体" w:cs="楷体"/>
                <w:kern w:val="0"/>
                <w:sz w:val="28"/>
                <w:szCs w:val="28"/>
              </w:rPr>
              <w:t>紧抓丰城市入选</w:t>
            </w:r>
            <w:r>
              <w:rPr>
                <w:rFonts w:ascii="楷体" w:hAnsi="楷体" w:eastAsia="楷体" w:cs="楷体"/>
                <w:kern w:val="0"/>
                <w:sz w:val="28"/>
                <w:szCs w:val="28"/>
              </w:rPr>
              <w:t>2021</w:t>
            </w:r>
            <w:r>
              <w:rPr>
                <w:rFonts w:hint="eastAsia" w:ascii="楷体" w:hAnsi="楷体" w:eastAsia="楷体" w:cs="楷体"/>
                <w:kern w:val="0"/>
                <w:sz w:val="28"/>
                <w:szCs w:val="28"/>
              </w:rPr>
              <w:t>年全国首批</w:t>
            </w:r>
            <w:r>
              <w:rPr>
                <w:rFonts w:ascii="楷体" w:hAnsi="楷体" w:eastAsia="楷体" w:cs="楷体"/>
                <w:kern w:val="0"/>
                <w:sz w:val="28"/>
                <w:szCs w:val="28"/>
              </w:rPr>
              <w:t>100</w:t>
            </w:r>
            <w:r>
              <w:rPr>
                <w:rFonts w:hint="eastAsia" w:ascii="楷体" w:hAnsi="楷体" w:eastAsia="楷体" w:cs="楷体"/>
                <w:kern w:val="0"/>
                <w:sz w:val="28"/>
                <w:szCs w:val="28"/>
              </w:rPr>
              <w:t>个农业现代化示范区创建名单的有利时机，组建丰城市农业现代化示范区建设工作领导小组，明确示范区创建任务，找准创建定位和主攻方向，明确发展目标和重点任务，科学设计推进路径和发展模式，细化政策措施和工作机制，聚焦重点、聚集资源、聚合力量，强化人才支撑，完善用地保障，创新多元投入，强化科技服务，推动要素向农业现代化示范区汇聚，有序推进农业现代化示范区创建工作，推动丰城市农业现代化建设整体上水平。</w:t>
            </w:r>
          </w:p>
        </w:tc>
      </w:tr>
    </w:tbl>
    <w:p>
      <w:pPr>
        <w:pStyle w:val="2"/>
        <w:jc w:val="center"/>
        <w:rPr>
          <w:rFonts w:ascii="黑体" w:hAnsi="黑体" w:eastAsia="黑体" w:cs="Times New Roman"/>
          <w:sz w:val="30"/>
          <w:szCs w:val="30"/>
        </w:rPr>
      </w:pPr>
      <w:bookmarkStart w:id="96" w:name="_Toc96329903"/>
      <w:r>
        <w:rPr>
          <w:rFonts w:hint="eastAsia" w:ascii="黑体" w:hAnsi="黑体" w:eastAsia="黑体" w:cs="黑体"/>
          <w:sz w:val="30"/>
          <w:szCs w:val="30"/>
        </w:rPr>
        <w:t>第四节</w:t>
      </w:r>
      <w:r>
        <w:rPr>
          <w:rFonts w:ascii="黑体" w:hAnsi="黑体" w:eastAsia="黑体" w:cs="黑体"/>
          <w:sz w:val="30"/>
          <w:szCs w:val="30"/>
        </w:rPr>
        <w:t xml:space="preserve"> </w:t>
      </w:r>
      <w:r>
        <w:rPr>
          <w:rFonts w:hint="eastAsia" w:ascii="黑体" w:hAnsi="黑体" w:eastAsia="黑体" w:cs="黑体"/>
          <w:sz w:val="30"/>
          <w:szCs w:val="30"/>
        </w:rPr>
        <w:t>提升农业抗风险能力</w:t>
      </w:r>
      <w:bookmarkEnd w:id="96"/>
    </w:p>
    <w:p>
      <w:pPr>
        <w:pStyle w:val="4"/>
        <w:spacing w:before="0" w:after="0" w:line="360" w:lineRule="auto"/>
        <w:ind w:firstLine="602" w:firstLineChars="200"/>
        <w:rPr>
          <w:rFonts w:ascii="仿宋" w:hAnsi="仿宋" w:eastAsia="仿宋" w:cs="Times New Roman"/>
          <w:sz w:val="30"/>
          <w:szCs w:val="30"/>
        </w:rPr>
      </w:pPr>
      <w:bookmarkStart w:id="97" w:name="_Toc96329904"/>
      <w:r>
        <w:rPr>
          <w:rFonts w:hint="eastAsia" w:ascii="仿宋" w:hAnsi="仿宋" w:eastAsia="仿宋" w:cs="仿宋"/>
          <w:sz w:val="30"/>
          <w:szCs w:val="30"/>
        </w:rPr>
        <w:t>一、加强耕地保护与提升</w:t>
      </w:r>
      <w:bookmarkEnd w:id="97"/>
    </w:p>
    <w:p>
      <w:pPr>
        <w:spacing w:line="360" w:lineRule="auto"/>
        <w:ind w:firstLine="602" w:firstLineChars="200"/>
        <w:rPr>
          <w:rFonts w:ascii="仿宋" w:hAnsi="仿宋" w:eastAsia="仿宋" w:cs="Times New Roman"/>
          <w:sz w:val="30"/>
          <w:szCs w:val="30"/>
        </w:rPr>
      </w:pPr>
      <w:r>
        <w:rPr>
          <w:rFonts w:hint="eastAsia" w:ascii="仿宋" w:hAnsi="仿宋" w:eastAsia="仿宋" w:cs="仿宋"/>
          <w:b/>
          <w:bCs/>
          <w:sz w:val="30"/>
          <w:szCs w:val="30"/>
        </w:rPr>
        <w:t>严守耕地红线。</w:t>
      </w:r>
      <w:r>
        <w:rPr>
          <w:rFonts w:hint="eastAsia" w:ascii="仿宋" w:hAnsi="仿宋" w:eastAsia="仿宋" w:cs="仿宋"/>
          <w:sz w:val="30"/>
          <w:szCs w:val="30"/>
        </w:rPr>
        <w:t>严格土地规划管控和用途管制，统筹可开发利用的未利用地、废弃的建设用地和其他农用地等后备资源，严格落实耕地占补平衡制度，坚持耕地占补平衡数量和质量并重，落实永久基本农田划定制度，到</w:t>
      </w:r>
      <w:r>
        <w:rPr>
          <w:rFonts w:ascii="仿宋" w:hAnsi="仿宋" w:eastAsia="仿宋" w:cs="仿宋"/>
          <w:sz w:val="30"/>
          <w:szCs w:val="30"/>
        </w:rPr>
        <w:t>2025</w:t>
      </w:r>
      <w:r>
        <w:rPr>
          <w:rFonts w:hint="eastAsia" w:ascii="仿宋" w:hAnsi="仿宋" w:eastAsia="仿宋" w:cs="仿宋"/>
          <w:sz w:val="30"/>
          <w:szCs w:val="30"/>
        </w:rPr>
        <w:t>年，确保耕地保有量不低于省政府下达的任务数，严守永久基本农田红线。坚决遏制耕地“非农化”、防止“非粮化”，加大对破坏耕地违法行为的查处打击力度。落实耕地和永久基本农田不同的管制目标和管制强度。</w:t>
      </w:r>
    </w:p>
    <w:p>
      <w:pPr>
        <w:spacing w:line="360" w:lineRule="auto"/>
        <w:ind w:firstLine="602" w:firstLineChars="200"/>
        <w:rPr>
          <w:rFonts w:ascii="仿宋" w:hAnsi="仿宋" w:eastAsia="仿宋" w:cs="Times New Roman"/>
          <w:sz w:val="30"/>
          <w:szCs w:val="30"/>
        </w:rPr>
      </w:pPr>
      <w:r>
        <w:rPr>
          <w:rFonts w:hint="eastAsia" w:ascii="仿宋" w:hAnsi="仿宋" w:eastAsia="仿宋" w:cs="仿宋"/>
          <w:b/>
          <w:bCs/>
          <w:sz w:val="30"/>
          <w:szCs w:val="30"/>
        </w:rPr>
        <w:t>全面推进高标准农田建设。</w:t>
      </w:r>
      <w:r>
        <w:rPr>
          <w:rFonts w:hint="eastAsia" w:ascii="仿宋" w:hAnsi="仿宋" w:eastAsia="仿宋" w:cs="仿宋"/>
          <w:sz w:val="30"/>
          <w:szCs w:val="30"/>
        </w:rPr>
        <w:t>以粮食生产重点县和特色现代农业发展优势区域为重点，按照“集中连片、旱涝保收、稳产高产、生态友好”的要求，在畅通骨干排灌渠系的基础上，实行水、电、路、渠、林等综合治理，重点实施土地平整、排灌沟渠、机耕路、农田林网等配套建设。建立健全“县负总责、乡镇监管、村为主体”的建后管护机制，明确工程建后管护实施主体，落实管护责任，多渠道筹集管护经费，力争高标准农田完好率达</w:t>
      </w:r>
      <w:r>
        <w:rPr>
          <w:rFonts w:ascii="仿宋" w:hAnsi="仿宋" w:eastAsia="仿宋" w:cs="仿宋"/>
          <w:sz w:val="30"/>
          <w:szCs w:val="30"/>
        </w:rPr>
        <w:t>95%</w:t>
      </w:r>
      <w:r>
        <w:rPr>
          <w:rFonts w:hint="eastAsia" w:ascii="仿宋" w:hAnsi="仿宋" w:eastAsia="仿宋" w:cs="仿宋"/>
          <w:sz w:val="30"/>
          <w:szCs w:val="30"/>
        </w:rPr>
        <w:t>以上，使用率达</w:t>
      </w:r>
      <w:r>
        <w:rPr>
          <w:rFonts w:ascii="仿宋" w:hAnsi="仿宋" w:eastAsia="仿宋" w:cs="仿宋"/>
          <w:sz w:val="30"/>
          <w:szCs w:val="30"/>
        </w:rPr>
        <w:t>100%</w:t>
      </w:r>
      <w:r>
        <w:rPr>
          <w:rFonts w:hint="eastAsia" w:ascii="仿宋" w:hAnsi="仿宋" w:eastAsia="仿宋" w:cs="仿宋"/>
          <w:sz w:val="30"/>
          <w:szCs w:val="30"/>
        </w:rPr>
        <w:t>。协调推进、紧密衔接骨干排灌水利工程、田间工程、输配电设施等建设。提高农业供水保障能力，加快大中小型灌区建设，以小型病险水库除险加固工程和山塘整治工程等为重点，有效提高农业供水保障能力。</w:t>
      </w:r>
    </w:p>
    <w:p>
      <w:pPr>
        <w:spacing w:line="360" w:lineRule="auto"/>
        <w:ind w:firstLine="602" w:firstLineChars="200"/>
        <w:rPr>
          <w:rFonts w:ascii="仿宋" w:hAnsi="仿宋" w:eastAsia="仿宋" w:cs="Times New Roman"/>
          <w:sz w:val="30"/>
          <w:szCs w:val="30"/>
        </w:rPr>
      </w:pPr>
      <w:r>
        <w:rPr>
          <w:rFonts w:hint="eastAsia" w:ascii="仿宋" w:hAnsi="仿宋" w:eastAsia="仿宋" w:cs="仿宋"/>
          <w:b/>
          <w:bCs/>
          <w:sz w:val="30"/>
          <w:szCs w:val="30"/>
        </w:rPr>
        <w:t>提升耕地质量</w:t>
      </w:r>
      <w:r>
        <w:rPr>
          <w:rFonts w:hint="eastAsia" w:cs="宋体"/>
          <w:b/>
          <w:bCs/>
        </w:rPr>
        <w:t>。</w:t>
      </w:r>
      <w:r>
        <w:rPr>
          <w:rFonts w:hint="eastAsia" w:ascii="仿宋" w:hAnsi="仿宋" w:eastAsia="仿宋" w:cs="仿宋"/>
          <w:sz w:val="30"/>
          <w:szCs w:val="30"/>
        </w:rPr>
        <w:t>深入实施耕地保护与质量提升行动，大力开展中低产田改造与土壤肥力提升工程，积极推广秸秆还田、种植绿肥、沼肥应用、增施有机肥以及测土配方施肥等土壤改良和地力培肥技术，不断改善耕地质量。完善国家级、省级、市级、县级四级耕地质量长期定位监测网络；制定全市耕地污染事件应急预案，切实保障开展土壤环境监测的人员、设备和经费等条件。深入开展稻油轮作，实施耕地休耕试点，促进耕地地力恢复和生态环境改善。</w:t>
      </w:r>
    </w:p>
    <w:tbl>
      <w:tblPr>
        <w:tblStyle w:val="16"/>
        <w:tblpPr w:leftFromText="180" w:rightFromText="180" w:vertAnchor="text" w:horzAnchor="page" w:tblpX="1798" w:tblpY="178"/>
        <w:tblOverlap w:val="never"/>
        <w:tblW w:w="906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 w:hRule="atLeast"/>
        </w:trPr>
        <w:tc>
          <w:tcPr>
            <w:tcW w:w="9061" w:type="dxa"/>
          </w:tcPr>
          <w:p>
            <w:pPr>
              <w:spacing w:line="500" w:lineRule="exact"/>
              <w:ind w:firstLine="562" w:firstLineChars="200"/>
              <w:jc w:val="center"/>
              <w:rPr>
                <w:rFonts w:ascii="黑体" w:hAnsi="黑体" w:eastAsia="黑体" w:cs="Times New Roman"/>
                <w:b/>
                <w:bCs/>
                <w:kern w:val="0"/>
                <w:sz w:val="28"/>
                <w:szCs w:val="28"/>
              </w:rPr>
            </w:pPr>
            <w:r>
              <w:rPr>
                <w:rFonts w:hint="eastAsia" w:ascii="黑体" w:hAnsi="黑体" w:eastAsia="黑体" w:cs="黑体"/>
                <w:b/>
                <w:bCs/>
                <w:kern w:val="0"/>
                <w:sz w:val="28"/>
                <w:szCs w:val="28"/>
              </w:rPr>
              <w:t>专栏</w:t>
            </w:r>
            <w:r>
              <w:rPr>
                <w:rFonts w:ascii="黑体" w:hAnsi="黑体" w:eastAsia="黑体" w:cs="黑体"/>
                <w:b/>
                <w:bCs/>
                <w:kern w:val="0"/>
                <w:sz w:val="28"/>
                <w:szCs w:val="28"/>
              </w:rPr>
              <w:t xml:space="preserve">4  </w:t>
            </w:r>
            <w:r>
              <w:rPr>
                <w:rFonts w:hint="eastAsia" w:ascii="黑体" w:hAnsi="黑体" w:eastAsia="黑体" w:cs="黑体"/>
                <w:b/>
                <w:bCs/>
                <w:kern w:val="0"/>
                <w:sz w:val="28"/>
                <w:szCs w:val="28"/>
              </w:rPr>
              <w:t>耕地保护与提升工程</w:t>
            </w:r>
          </w:p>
          <w:p>
            <w:pPr>
              <w:spacing w:line="500" w:lineRule="exact"/>
              <w:ind w:firstLine="562" w:firstLineChars="200"/>
              <w:rPr>
                <w:rFonts w:ascii="楷体" w:hAnsi="楷体" w:eastAsia="楷体" w:cs="Times New Roman"/>
                <w:b/>
                <w:bCs/>
                <w:kern w:val="0"/>
                <w:sz w:val="28"/>
                <w:szCs w:val="28"/>
              </w:rPr>
            </w:pPr>
            <w:r>
              <w:rPr>
                <w:rFonts w:hint="eastAsia" w:ascii="楷体" w:hAnsi="楷体" w:eastAsia="楷体" w:cs="楷体"/>
                <w:b/>
                <w:bCs/>
                <w:kern w:val="0"/>
                <w:sz w:val="28"/>
                <w:szCs w:val="28"/>
              </w:rPr>
              <w:t>（一）高标准农田新建和提质改造工程</w:t>
            </w:r>
          </w:p>
          <w:p>
            <w:pPr>
              <w:spacing w:line="500" w:lineRule="exact"/>
              <w:ind w:firstLine="560" w:firstLineChars="200"/>
              <w:rPr>
                <w:rFonts w:ascii="楷体" w:hAnsi="楷体" w:eastAsia="楷体" w:cs="Times New Roman"/>
                <w:kern w:val="0"/>
                <w:sz w:val="28"/>
                <w:szCs w:val="28"/>
              </w:rPr>
            </w:pPr>
            <w:r>
              <w:rPr>
                <w:rFonts w:hint="eastAsia" w:ascii="楷体" w:hAnsi="楷体" w:eastAsia="楷体" w:cs="楷体"/>
                <w:kern w:val="0"/>
                <w:sz w:val="28"/>
                <w:szCs w:val="28"/>
              </w:rPr>
              <w:t>因地制宜实施田间渠系、“五小水利”等工程，整合实施高标准农田建设项目。到</w:t>
            </w:r>
            <w:r>
              <w:rPr>
                <w:rFonts w:ascii="楷体" w:hAnsi="楷体" w:eastAsia="楷体" w:cs="楷体"/>
                <w:kern w:val="0"/>
                <w:sz w:val="28"/>
                <w:szCs w:val="28"/>
              </w:rPr>
              <w:t>2025</w:t>
            </w:r>
            <w:r>
              <w:rPr>
                <w:rFonts w:hint="eastAsia" w:ascii="楷体" w:hAnsi="楷体" w:eastAsia="楷体" w:cs="楷体"/>
                <w:kern w:val="0"/>
                <w:sz w:val="28"/>
                <w:szCs w:val="28"/>
              </w:rPr>
              <w:t>年，全市高标准农田达</w:t>
            </w:r>
            <w:r>
              <w:rPr>
                <w:rFonts w:ascii="楷体" w:hAnsi="楷体" w:eastAsia="楷体" w:cs="楷体"/>
                <w:kern w:val="0"/>
                <w:sz w:val="28"/>
                <w:szCs w:val="28"/>
              </w:rPr>
              <w:t>475</w:t>
            </w:r>
            <w:r>
              <w:rPr>
                <w:rFonts w:hint="eastAsia" w:ascii="楷体" w:hAnsi="楷体" w:eastAsia="楷体" w:cs="楷体"/>
                <w:kern w:val="0"/>
                <w:sz w:val="28"/>
                <w:szCs w:val="28"/>
              </w:rPr>
              <w:t>万亩，改造提升高标准农田</w:t>
            </w:r>
            <w:r>
              <w:rPr>
                <w:rFonts w:ascii="楷体" w:hAnsi="楷体" w:eastAsia="楷体" w:cs="楷体"/>
                <w:kern w:val="0"/>
                <w:sz w:val="28"/>
                <w:szCs w:val="28"/>
              </w:rPr>
              <w:t>42</w:t>
            </w:r>
            <w:r>
              <w:rPr>
                <w:rFonts w:hint="eastAsia" w:ascii="楷体" w:hAnsi="楷体" w:eastAsia="楷体" w:cs="楷体"/>
                <w:kern w:val="0"/>
                <w:sz w:val="28"/>
                <w:szCs w:val="28"/>
              </w:rPr>
              <w:t>万亩。</w:t>
            </w:r>
          </w:p>
          <w:p>
            <w:pPr>
              <w:spacing w:line="500" w:lineRule="exact"/>
              <w:ind w:firstLine="562" w:firstLineChars="200"/>
              <w:rPr>
                <w:rFonts w:ascii="楷体" w:hAnsi="楷体" w:eastAsia="楷体" w:cs="Times New Roman"/>
                <w:b/>
                <w:bCs/>
                <w:kern w:val="0"/>
                <w:sz w:val="28"/>
                <w:szCs w:val="28"/>
              </w:rPr>
            </w:pPr>
            <w:r>
              <w:rPr>
                <w:rFonts w:hint="eastAsia" w:ascii="楷体" w:hAnsi="楷体" w:eastAsia="楷体" w:cs="楷体"/>
                <w:b/>
                <w:bCs/>
                <w:kern w:val="0"/>
                <w:sz w:val="28"/>
                <w:szCs w:val="28"/>
              </w:rPr>
              <w:t>（二）耕地质量保护与提升工程</w:t>
            </w:r>
          </w:p>
          <w:p>
            <w:pPr>
              <w:spacing w:line="500" w:lineRule="exact"/>
              <w:ind w:firstLine="560" w:firstLineChars="200"/>
              <w:rPr>
                <w:rFonts w:ascii="仿宋_GB2312" w:hAnsi="Times New Roman" w:cs="Times New Roman"/>
                <w:kern w:val="0"/>
                <w:sz w:val="28"/>
                <w:szCs w:val="28"/>
              </w:rPr>
            </w:pPr>
            <w:r>
              <w:rPr>
                <w:rFonts w:hint="eastAsia" w:ascii="楷体" w:hAnsi="楷体" w:eastAsia="楷体" w:cs="楷体"/>
                <w:kern w:val="0"/>
                <w:sz w:val="28"/>
                <w:szCs w:val="28"/>
              </w:rPr>
              <w:t>大力推广测土配方施肥技术，实行整县、整乡、整村推进，全面提高测土配方施肥技术普及率。加强耕地质量监测，支持应用秸秆还田、种植绿肥、沼肥应用、增施有机肥等改良土壤和培肥地力，开展重金属污染耕地治理，改善农田生态环境，到</w:t>
            </w:r>
            <w:r>
              <w:rPr>
                <w:rFonts w:ascii="楷体" w:hAnsi="楷体" w:eastAsia="楷体" w:cs="楷体"/>
                <w:kern w:val="0"/>
                <w:sz w:val="28"/>
                <w:szCs w:val="28"/>
              </w:rPr>
              <w:t>2025</w:t>
            </w:r>
            <w:r>
              <w:rPr>
                <w:rFonts w:hint="eastAsia" w:ascii="楷体" w:hAnsi="楷体" w:eastAsia="楷体" w:cs="楷体"/>
                <w:kern w:val="0"/>
                <w:sz w:val="28"/>
                <w:szCs w:val="28"/>
              </w:rPr>
              <w:t>年，农作物秸秆综合利用率达</w:t>
            </w:r>
            <w:r>
              <w:rPr>
                <w:rFonts w:ascii="楷体" w:hAnsi="楷体" w:eastAsia="楷体" w:cs="楷体"/>
                <w:kern w:val="0"/>
                <w:sz w:val="28"/>
                <w:szCs w:val="28"/>
              </w:rPr>
              <w:t>95%</w:t>
            </w:r>
            <w:r>
              <w:rPr>
                <w:rFonts w:hint="eastAsia" w:ascii="楷体" w:hAnsi="楷体" w:eastAsia="楷体" w:cs="楷体"/>
                <w:kern w:val="0"/>
                <w:sz w:val="28"/>
                <w:szCs w:val="28"/>
              </w:rPr>
              <w:t>以上。</w:t>
            </w:r>
          </w:p>
        </w:tc>
      </w:tr>
    </w:tbl>
    <w:p>
      <w:pPr>
        <w:pStyle w:val="4"/>
        <w:spacing w:before="0" w:after="0" w:line="360" w:lineRule="auto"/>
        <w:ind w:firstLine="602" w:firstLineChars="200"/>
        <w:rPr>
          <w:rFonts w:ascii="仿宋" w:hAnsi="仿宋" w:eastAsia="仿宋" w:cs="Times New Roman"/>
          <w:sz w:val="30"/>
          <w:szCs w:val="30"/>
        </w:rPr>
      </w:pPr>
      <w:bookmarkStart w:id="98" w:name="_Toc96329905"/>
      <w:r>
        <w:rPr>
          <w:rFonts w:hint="eastAsia" w:ascii="仿宋" w:hAnsi="仿宋" w:eastAsia="仿宋" w:cs="仿宋"/>
          <w:sz w:val="30"/>
          <w:szCs w:val="30"/>
        </w:rPr>
        <w:t>二、增强农业防灾减灾能力</w:t>
      </w:r>
      <w:bookmarkEnd w:id="98"/>
    </w:p>
    <w:p>
      <w:pPr>
        <w:spacing w:line="360" w:lineRule="auto"/>
        <w:ind w:firstLine="600" w:firstLineChars="200"/>
        <w:rPr>
          <w:rFonts w:ascii="仿宋" w:hAnsi="仿宋" w:eastAsia="仿宋" w:cs="Times New Roman"/>
          <w:sz w:val="30"/>
          <w:szCs w:val="30"/>
        </w:rPr>
      </w:pPr>
      <w:r>
        <w:rPr>
          <w:rFonts w:hint="eastAsia" w:ascii="仿宋" w:hAnsi="仿宋" w:eastAsia="仿宋" w:cs="仿宋"/>
          <w:sz w:val="30"/>
          <w:szCs w:val="30"/>
        </w:rPr>
        <w:t>细化完善农业抗灾救灾预案，完善农业风险管理和灾害预警体系，提高自然灾害预警应急反应能力，加强防灾减灾能力建设，创新防灾减灾技术。做好重大动物疫病防控，强化基层动物疫病防控机构、人才队伍建设。加强动物疫病预防控制能力建设，改善重点县（市、区）动物防疫设施装备条件，完善乡镇动物疫病防控机构。建设病死畜禽无害化处理设施，建立健全病死动物及其无害化处理、强制免疫应激反应死亡动物和强制扑杀等财政补贴制度。完善农业植物疫情监管体系，健全重大疫情防控支持政策和检疫管理制度。加强种苗检疫监管，突出重点繁育制种基地与主要境外引进种苗产地检疫监管。抓好重大病虫害防控，推进专业化统防统治，推广绿色防控技术。</w:t>
      </w:r>
    </w:p>
    <w:p>
      <w:pPr>
        <w:pStyle w:val="4"/>
        <w:spacing w:before="0" w:after="0" w:line="360" w:lineRule="auto"/>
        <w:ind w:firstLine="602" w:firstLineChars="200"/>
        <w:rPr>
          <w:rFonts w:ascii="仿宋" w:hAnsi="仿宋" w:eastAsia="仿宋" w:cs="Times New Roman"/>
          <w:sz w:val="30"/>
          <w:szCs w:val="30"/>
        </w:rPr>
      </w:pPr>
      <w:bookmarkStart w:id="99" w:name="_Toc96329906"/>
      <w:r>
        <w:rPr>
          <w:rFonts w:hint="eastAsia" w:ascii="仿宋" w:hAnsi="仿宋" w:eastAsia="仿宋" w:cs="仿宋"/>
          <w:sz w:val="30"/>
          <w:szCs w:val="30"/>
        </w:rPr>
        <w:t>三、扩大农业保险覆盖范围</w:t>
      </w:r>
      <w:bookmarkEnd w:id="99"/>
    </w:p>
    <w:p>
      <w:pPr>
        <w:spacing w:line="360" w:lineRule="auto"/>
        <w:ind w:firstLine="600" w:firstLineChars="200"/>
        <w:rPr>
          <w:rFonts w:ascii="仿宋" w:hAnsi="仿宋" w:eastAsia="仿宋" w:cs="Times New Roman"/>
          <w:sz w:val="30"/>
          <w:szCs w:val="30"/>
        </w:rPr>
      </w:pPr>
      <w:r>
        <w:rPr>
          <w:rFonts w:hint="eastAsia" w:ascii="仿宋" w:hAnsi="仿宋" w:eastAsia="仿宋" w:cs="仿宋"/>
          <w:sz w:val="30"/>
          <w:szCs w:val="30"/>
        </w:rPr>
        <w:t>大力发展政策性农业保险，努力提高政策性农业保险的覆盖面，推动政策性保险提标、增品、扩面，降低农户生产经营风险。鼓励县市区开展地方特色农业保险试点，逐步扩大保险范围。鼓励发展农村互助合作保险、农业合作保险业务，推进农村小额贷款保证保险试点，探索建立农业保险与农村信贷相结合的银保互动机制。逐步完善商业保险、再保险和政府巨灾保险准备金相结合的大灾风险防范机制，积极探索开展农产品目标价格保险、产量保险、气象指数保险等险种，简化理赔流程，优化保险理赔服务。</w:t>
      </w:r>
    </w:p>
    <w:p>
      <w:pPr>
        <w:pStyle w:val="4"/>
        <w:spacing w:before="0" w:after="0" w:line="360" w:lineRule="auto"/>
        <w:ind w:firstLine="602" w:firstLineChars="200"/>
        <w:rPr>
          <w:rFonts w:ascii="仿宋" w:hAnsi="仿宋" w:eastAsia="仿宋" w:cs="Times New Roman"/>
          <w:sz w:val="30"/>
          <w:szCs w:val="30"/>
        </w:rPr>
      </w:pPr>
      <w:bookmarkStart w:id="100" w:name="_Toc96329907"/>
      <w:r>
        <w:rPr>
          <w:rFonts w:hint="eastAsia" w:ascii="仿宋" w:hAnsi="仿宋" w:eastAsia="仿宋" w:cs="仿宋"/>
          <w:sz w:val="30"/>
          <w:szCs w:val="30"/>
        </w:rPr>
        <w:t>四、构建农业发展新格局</w:t>
      </w:r>
      <w:bookmarkEnd w:id="100"/>
    </w:p>
    <w:p>
      <w:pPr>
        <w:spacing w:line="360" w:lineRule="auto"/>
        <w:ind w:firstLine="600" w:firstLineChars="200"/>
        <w:rPr>
          <w:rFonts w:ascii="仿宋" w:hAnsi="仿宋" w:eastAsia="仿宋" w:cs="Times New Roman"/>
          <w:sz w:val="30"/>
          <w:szCs w:val="30"/>
        </w:rPr>
      </w:pPr>
      <w:r>
        <w:rPr>
          <w:rFonts w:hint="eastAsia" w:ascii="仿宋" w:hAnsi="仿宋" w:eastAsia="仿宋" w:cs="仿宋"/>
          <w:sz w:val="30"/>
          <w:szCs w:val="30"/>
        </w:rPr>
        <w:t>加快推进国内国际双循环相互促进新发展格局。主动融入长江经济带，围绕文旅融合发展、传承红色基因、加强生态文明等方面，拓宽农业市场新领域，奋力建设江西开放的窗口、迎宾的客厅、康养的圣地。积极对接“一带一路”、长江经济带和融入国家生态文明试验区等国家、省级战略，支持涉农企业品牌出口，培育具有国际竞争力的农业品牌。加大农产品宣传推介力度，利用互联网、广播、电视、报纸等媒体推广本市农业品牌。邀请国内外知名专家学者、优秀企业家、社会各界成功人士来宜春开展品牌建设高峰论坛和专题研讨活动。结合旅游推介和体育赛事等组织开展农业博览会，推动宜春农业企业积极参加境内外展示展销会。鼓励和支持有实力的企业赴境外开展品牌农产品宣传推介活动，开拓海外新兴市场，打造富硒绿色有机农产品出口基地。</w:t>
      </w:r>
    </w:p>
    <w:p>
      <w:pPr>
        <w:pStyle w:val="3"/>
        <w:keepNext w:val="0"/>
        <w:keepLines w:val="0"/>
        <w:pageBreakBefore/>
        <w:jc w:val="center"/>
        <w:rPr>
          <w:rFonts w:ascii="黑体" w:hAnsi="黑体" w:eastAsia="黑体" w:cs="Times New Roman"/>
          <w:sz w:val="30"/>
          <w:szCs w:val="30"/>
        </w:rPr>
      </w:pPr>
      <w:bookmarkStart w:id="101" w:name="_Toc96329908"/>
      <w:r>
        <w:rPr>
          <w:rFonts w:hint="eastAsia" w:ascii="黑体" w:hAnsi="黑体" w:eastAsia="黑体" w:cs="黑体"/>
          <w:sz w:val="30"/>
          <w:szCs w:val="30"/>
        </w:rPr>
        <w:t>第四章</w:t>
      </w:r>
      <w:r>
        <w:rPr>
          <w:rFonts w:ascii="黑体" w:hAnsi="黑体" w:eastAsia="黑体" w:cs="黑体"/>
          <w:sz w:val="30"/>
          <w:szCs w:val="30"/>
        </w:rPr>
        <w:t xml:space="preserve"> </w:t>
      </w:r>
      <w:r>
        <w:rPr>
          <w:rFonts w:hint="eastAsia" w:ascii="黑体" w:hAnsi="黑体" w:eastAsia="黑体" w:cs="黑体"/>
          <w:sz w:val="30"/>
          <w:szCs w:val="30"/>
        </w:rPr>
        <w:t>构建“科技支撑</w:t>
      </w:r>
      <w:r>
        <w:rPr>
          <w:rFonts w:ascii="黑体" w:hAnsi="黑体" w:eastAsia="黑体" w:cs="黑体"/>
          <w:sz w:val="30"/>
          <w:szCs w:val="30"/>
        </w:rPr>
        <w:t xml:space="preserve"> </w:t>
      </w:r>
      <w:r>
        <w:rPr>
          <w:rFonts w:hint="eastAsia" w:ascii="黑体" w:hAnsi="黑体" w:eastAsia="黑体" w:cs="黑体"/>
          <w:sz w:val="30"/>
          <w:szCs w:val="30"/>
        </w:rPr>
        <w:t>创新引领”的现代农业支撑体系</w:t>
      </w:r>
      <w:bookmarkEnd w:id="101"/>
    </w:p>
    <w:p>
      <w:pPr>
        <w:pStyle w:val="2"/>
        <w:jc w:val="center"/>
        <w:rPr>
          <w:rFonts w:ascii="黑体" w:hAnsi="黑体" w:eastAsia="黑体" w:cs="Times New Roman"/>
          <w:sz w:val="30"/>
          <w:szCs w:val="30"/>
        </w:rPr>
      </w:pPr>
      <w:bookmarkStart w:id="102" w:name="_Toc96329909"/>
      <w:r>
        <w:rPr>
          <w:rFonts w:hint="eastAsia" w:ascii="黑体" w:hAnsi="黑体" w:eastAsia="黑体" w:cs="黑体"/>
          <w:sz w:val="30"/>
          <w:szCs w:val="30"/>
        </w:rPr>
        <w:t>第一节</w:t>
      </w:r>
      <w:r>
        <w:rPr>
          <w:rFonts w:ascii="黑体" w:hAnsi="黑体" w:eastAsia="黑体" w:cs="黑体"/>
          <w:sz w:val="30"/>
          <w:szCs w:val="30"/>
        </w:rPr>
        <w:t xml:space="preserve"> </w:t>
      </w:r>
      <w:r>
        <w:rPr>
          <w:rFonts w:hint="eastAsia" w:ascii="黑体" w:hAnsi="黑体" w:eastAsia="黑体" w:cs="黑体"/>
          <w:sz w:val="30"/>
          <w:szCs w:val="30"/>
        </w:rPr>
        <w:t>强化现代农业科技支撑</w:t>
      </w:r>
      <w:bookmarkEnd w:id="102"/>
    </w:p>
    <w:p>
      <w:pPr>
        <w:pStyle w:val="4"/>
        <w:spacing w:before="0" w:after="0" w:line="360" w:lineRule="auto"/>
        <w:ind w:firstLine="602" w:firstLineChars="200"/>
        <w:rPr>
          <w:rFonts w:ascii="仿宋" w:hAnsi="仿宋" w:eastAsia="仿宋" w:cs="Times New Roman"/>
          <w:sz w:val="30"/>
          <w:szCs w:val="30"/>
        </w:rPr>
      </w:pPr>
      <w:bookmarkStart w:id="103" w:name="_Toc96329910"/>
      <w:r>
        <w:rPr>
          <w:rFonts w:hint="eastAsia" w:ascii="仿宋" w:hAnsi="仿宋" w:eastAsia="仿宋" w:cs="仿宋"/>
          <w:sz w:val="30"/>
          <w:szCs w:val="30"/>
        </w:rPr>
        <w:t>一、开展富硒等特色农业关键技术攻关</w:t>
      </w:r>
      <w:bookmarkEnd w:id="103"/>
    </w:p>
    <w:p>
      <w:pPr>
        <w:snapToGrid w:val="0"/>
        <w:spacing w:line="360" w:lineRule="auto"/>
        <w:ind w:firstLine="600" w:firstLineChars="200"/>
        <w:rPr>
          <w:rFonts w:ascii="仿宋" w:hAnsi="仿宋" w:eastAsia="仿宋" w:cs="Times New Roman"/>
          <w:sz w:val="30"/>
          <w:szCs w:val="30"/>
        </w:rPr>
      </w:pPr>
      <w:r>
        <w:rPr>
          <w:rFonts w:hint="eastAsia" w:ascii="仿宋" w:hAnsi="仿宋" w:eastAsia="仿宋" w:cs="仿宋"/>
          <w:sz w:val="30"/>
          <w:szCs w:val="30"/>
        </w:rPr>
        <w:t>加快特色农业科技创新，积极对接国家、省重大农业科技项目，重点围绕富硒、油茶、水稻、中药材等农业主导产业和经济作物、畜牧水产等农业特色产业发展关键技术问题开展联合攻关，争取在优良品种选育、农业高产优质高效种养技术、农业集约化生产经营技术、测土配方施肥技术、农副产品精深加工技术特别是绿色有机食品加工技术、富硒产品加工技术等方面取得突破。鼓励农业产业化龙头企业加大科技创新投入，积极与农业科研机构、大专院所校开展技术攻关和协同创新，推广运用“揭榜挂帅”、公开竞争、定向委托等方式，突破一批产业化关键技术，提高全市农业科技支撑水平。</w:t>
      </w:r>
    </w:p>
    <w:p>
      <w:pPr>
        <w:pStyle w:val="4"/>
        <w:spacing w:before="0" w:after="0" w:line="360" w:lineRule="auto"/>
        <w:ind w:firstLine="602" w:firstLineChars="200"/>
        <w:rPr>
          <w:rFonts w:ascii="仿宋" w:hAnsi="仿宋" w:eastAsia="仿宋" w:cs="Times New Roman"/>
          <w:sz w:val="30"/>
          <w:szCs w:val="30"/>
        </w:rPr>
      </w:pPr>
      <w:bookmarkStart w:id="104" w:name="_Toc96329911"/>
      <w:r>
        <w:rPr>
          <w:rFonts w:hint="eastAsia" w:ascii="仿宋" w:hAnsi="仿宋" w:eastAsia="仿宋" w:cs="仿宋"/>
          <w:sz w:val="30"/>
          <w:szCs w:val="30"/>
        </w:rPr>
        <w:t>二、加强农业战略科技力量建设</w:t>
      </w:r>
      <w:bookmarkEnd w:id="104"/>
    </w:p>
    <w:p>
      <w:pPr>
        <w:pStyle w:val="6"/>
        <w:snapToGrid w:val="0"/>
        <w:spacing w:line="560" w:lineRule="exact"/>
        <w:ind w:left="0" w:firstLine="600" w:firstLineChars="200"/>
        <w:jc w:val="both"/>
        <w:rPr>
          <w:rFonts w:ascii="仿宋" w:hAnsi="仿宋" w:eastAsia="仿宋" w:cs="Times New Roman"/>
          <w:sz w:val="30"/>
          <w:szCs w:val="30"/>
        </w:rPr>
      </w:pPr>
      <w:r>
        <w:rPr>
          <w:rFonts w:hint="eastAsia" w:ascii="仿宋" w:hAnsi="仿宋" w:eastAsia="仿宋" w:cs="仿宋"/>
          <w:sz w:val="30"/>
          <w:szCs w:val="30"/>
        </w:rPr>
        <w:t>加强农业科技人才队伍建设，优化人才成长环境。坚持人才引进与培养并举，采用多种形式吸引、引进农业专业技术人才，联合科研院所、高等学校和各级涉农机构的专业技术人才参与农业科技创新与服务，努力造就一批具有求实创新、开拓进取的科技创新带头人；充分发挥市、县、乡农村科技服务机构现有技术人员的骨干作用，通过请进来、走出去、联合办班等形式加速知识更新，打造一批从事农业应用技术研究开发的高技能、高层次技术研发与推广人才。构建以富硒产业为重点的科技创新体系，加快推进江西富硒产业研究院（宜春市科学院）建设，联合江西农业大学富硒农业研究院、中科院南京分院、苏州硒谷科技有限公司等单位组建富硒产业创新联盟，着力开展生态循环、土壤修复、农产品精深加工等关键技术攻关，为产业发展提供科技支撑。引进和打造一批创新能力国内领先的“旗舰企业”。</w:t>
      </w:r>
    </w:p>
    <w:p>
      <w:pPr>
        <w:pStyle w:val="4"/>
        <w:spacing w:before="0" w:after="0" w:line="360" w:lineRule="auto"/>
        <w:ind w:firstLine="602" w:firstLineChars="200"/>
        <w:rPr>
          <w:rFonts w:ascii="仿宋" w:hAnsi="仿宋" w:eastAsia="仿宋" w:cs="Times New Roman"/>
          <w:sz w:val="30"/>
          <w:szCs w:val="30"/>
        </w:rPr>
      </w:pPr>
      <w:bookmarkStart w:id="105" w:name="_Toc96329912"/>
      <w:r>
        <w:rPr>
          <w:rFonts w:hint="eastAsia" w:ascii="仿宋" w:hAnsi="仿宋" w:eastAsia="仿宋" w:cs="仿宋"/>
          <w:sz w:val="30"/>
          <w:szCs w:val="30"/>
        </w:rPr>
        <w:t>三、加快数字农业发展</w:t>
      </w:r>
      <w:bookmarkEnd w:id="105"/>
    </w:p>
    <w:p>
      <w:pPr>
        <w:ind w:firstLine="600" w:firstLineChars="200"/>
        <w:rPr>
          <w:rFonts w:ascii="仿宋" w:hAnsi="仿宋" w:eastAsia="仿宋" w:cs="Times New Roman"/>
          <w:sz w:val="30"/>
          <w:szCs w:val="30"/>
        </w:rPr>
      </w:pPr>
      <w:r>
        <w:rPr>
          <w:rFonts w:hint="eastAsia" w:ascii="仿宋" w:hAnsi="仿宋" w:eastAsia="仿宋" w:cs="仿宋"/>
          <w:sz w:val="30"/>
          <w:szCs w:val="30"/>
        </w:rPr>
        <w:t>促进新一代信息技术与农业全面融合应用，加快物联网、大数据、智能装备等现代信息技术和装备在农业生产全过程的广泛应用。实施好省级智慧农业</w:t>
      </w:r>
      <w:r>
        <w:rPr>
          <w:rFonts w:ascii="仿宋" w:hAnsi="仿宋" w:eastAsia="仿宋" w:cs="仿宋"/>
          <w:sz w:val="30"/>
          <w:szCs w:val="30"/>
        </w:rPr>
        <w:t>PPP</w:t>
      </w:r>
      <w:r>
        <w:rPr>
          <w:rFonts w:hint="eastAsia" w:ascii="仿宋" w:hAnsi="仿宋" w:eastAsia="仿宋" w:cs="仿宋"/>
          <w:sz w:val="30"/>
          <w:szCs w:val="30"/>
        </w:rPr>
        <w:t>项目，建设农业农村大数据中心，推进重要农产品全产业链大数据建设，提升数据应用服务水平；实施数字农业农村试点，加快种植业、畜牧兽医、渔业渔政、种业、农田、农机、村庄环境长效管护数字化建设；推进农业经营数字化转型，深入推进信息进村入户工程，实施“互联网</w:t>
      </w:r>
      <w:r>
        <w:rPr>
          <w:rFonts w:ascii="仿宋" w:hAnsi="仿宋" w:eastAsia="仿宋" w:cs="仿宋"/>
          <w:sz w:val="30"/>
          <w:szCs w:val="30"/>
        </w:rPr>
        <w:t>+</w:t>
      </w:r>
      <w:r>
        <w:rPr>
          <w:rFonts w:hint="eastAsia" w:ascii="仿宋" w:hAnsi="仿宋" w:eastAsia="仿宋" w:cs="仿宋"/>
          <w:sz w:val="30"/>
          <w:szCs w:val="30"/>
        </w:rPr>
        <w:t>”农产品出村进城工程，加大线上促销力度；提升农业经营主体、农户经营管理、农村治理、农产品质量安全管理数字化水平；夯实网络设施、网络安全、政企合作数字农业工作基础，增强政务服务、信息为农服务、金融服务数字化能力。继续推进全市智慧农业“</w:t>
      </w:r>
      <w:r>
        <w:rPr>
          <w:rFonts w:ascii="仿宋" w:hAnsi="仿宋" w:eastAsia="仿宋" w:cs="仿宋"/>
          <w:sz w:val="30"/>
          <w:szCs w:val="30"/>
        </w:rPr>
        <w:t>123+N</w:t>
      </w:r>
      <w:r>
        <w:rPr>
          <w:rFonts w:hint="eastAsia" w:ascii="仿宋" w:hAnsi="仿宋" w:eastAsia="仿宋" w:cs="仿宋"/>
          <w:sz w:val="30"/>
          <w:szCs w:val="30"/>
        </w:rPr>
        <w:t>”平台建设，拓展</w:t>
      </w:r>
      <w:r>
        <w:rPr>
          <w:rFonts w:ascii="仿宋" w:hAnsi="仿宋" w:eastAsia="仿宋" w:cs="仿宋"/>
          <w:sz w:val="30"/>
          <w:szCs w:val="30"/>
        </w:rPr>
        <w:t>12316</w:t>
      </w:r>
      <w:r>
        <w:rPr>
          <w:rFonts w:hint="eastAsia" w:ascii="仿宋" w:hAnsi="仿宋" w:eastAsia="仿宋" w:cs="仿宋"/>
          <w:sz w:val="30"/>
          <w:szCs w:val="30"/>
        </w:rPr>
        <w:t>综合信息服务平台功能，推进农业农村基础大数据汇集和共享。到</w:t>
      </w:r>
      <w:r>
        <w:rPr>
          <w:rFonts w:ascii="仿宋" w:hAnsi="仿宋" w:eastAsia="仿宋" w:cs="仿宋"/>
          <w:sz w:val="30"/>
          <w:szCs w:val="30"/>
        </w:rPr>
        <w:t>2025</w:t>
      </w:r>
      <w:r>
        <w:rPr>
          <w:rFonts w:hint="eastAsia" w:ascii="仿宋" w:hAnsi="仿宋" w:eastAsia="仿宋" w:cs="仿宋"/>
          <w:sz w:val="30"/>
          <w:szCs w:val="30"/>
        </w:rPr>
        <w:t>年，力争建成宜春市富硒绿色有机产业大数据平台和数字农业创新中心。</w:t>
      </w:r>
    </w:p>
    <w:p>
      <w:pPr>
        <w:pStyle w:val="4"/>
        <w:spacing w:before="0" w:after="0" w:line="360" w:lineRule="auto"/>
        <w:ind w:firstLine="602" w:firstLineChars="200"/>
        <w:rPr>
          <w:rFonts w:ascii="仿宋" w:hAnsi="仿宋" w:eastAsia="仿宋" w:cs="Times New Roman"/>
          <w:sz w:val="30"/>
          <w:szCs w:val="30"/>
        </w:rPr>
      </w:pPr>
      <w:bookmarkStart w:id="106" w:name="_Toc96329913"/>
      <w:r>
        <w:rPr>
          <w:rFonts w:hint="eastAsia" w:ascii="仿宋" w:hAnsi="仿宋" w:eastAsia="仿宋" w:cs="仿宋"/>
          <w:sz w:val="30"/>
          <w:szCs w:val="30"/>
        </w:rPr>
        <w:t>四、促进科技与产业深度融合</w:t>
      </w:r>
      <w:bookmarkEnd w:id="106"/>
    </w:p>
    <w:p>
      <w:pPr>
        <w:snapToGrid w:val="0"/>
        <w:spacing w:line="360" w:lineRule="auto"/>
        <w:ind w:firstLine="600" w:firstLineChars="200"/>
        <w:rPr>
          <w:rFonts w:cs="Times New Roman"/>
          <w:sz w:val="28"/>
          <w:szCs w:val="28"/>
        </w:rPr>
      </w:pPr>
      <w:r>
        <w:rPr>
          <w:rFonts w:hint="eastAsia" w:ascii="仿宋" w:hAnsi="仿宋" w:eastAsia="仿宋" w:cs="仿宋"/>
          <w:sz w:val="30"/>
          <w:szCs w:val="30"/>
        </w:rPr>
        <w:t>大力推行科技特派员制度。加大政策保障力度，强化经济激励力度，落实科技特派员创业支持、工作生活保障等相关政策；加强培训和交流，切实提高科技特派员的能力水平和服务水平，充分发挥科技特长，促进科技成果转化，打通科技服务的“最后一公里”。以油菜、苎麻、肉用牛</w:t>
      </w:r>
      <w:r>
        <w:rPr>
          <w:rFonts w:ascii="仿宋" w:hAnsi="仿宋" w:eastAsia="仿宋" w:cs="仿宋"/>
          <w:sz w:val="30"/>
          <w:szCs w:val="30"/>
        </w:rPr>
        <w:t>3</w:t>
      </w:r>
      <w:r>
        <w:rPr>
          <w:rFonts w:hint="eastAsia" w:ascii="仿宋" w:hAnsi="仿宋" w:eastAsia="仿宋" w:cs="仿宋"/>
          <w:sz w:val="30"/>
          <w:szCs w:val="30"/>
        </w:rPr>
        <w:t>个国家级综合试验站和生猪、茶叶、油菜、大宗淡水鱼</w:t>
      </w:r>
      <w:r>
        <w:rPr>
          <w:rFonts w:ascii="仿宋" w:hAnsi="仿宋" w:eastAsia="仿宋" w:cs="仿宋"/>
          <w:sz w:val="30"/>
          <w:szCs w:val="30"/>
        </w:rPr>
        <w:t>4</w:t>
      </w:r>
      <w:r>
        <w:rPr>
          <w:rFonts w:hint="eastAsia" w:ascii="仿宋" w:hAnsi="仿宋" w:eastAsia="仿宋" w:cs="仿宋"/>
          <w:sz w:val="30"/>
          <w:szCs w:val="30"/>
        </w:rPr>
        <w:t>个省级综合试验站为依托，积极开展与高等学校、科研院所、重点龙头企业的科技合作，联动推进科技创新和科技推广，推动科技成果落地开花。全面提升国家农业科技园、省级农业科技园的建设水平，推进国家现代农业示范区建设，打造现代农业产业园发展样板，构建园区与涉农企业、科研院所及农户间的利益联动与合作交流的新机制。</w:t>
      </w:r>
      <w:r>
        <w:fldChar w:fldCharType="begin"/>
      </w:r>
      <w:r>
        <w:instrText xml:space="preserve"> HYPERLINK \l "_Toc65485906" </w:instrText>
      </w:r>
      <w:r>
        <w:fldChar w:fldCharType="separate"/>
      </w:r>
      <w:r>
        <w:rPr>
          <w:rStyle w:val="18"/>
        </w:rPr>
        <w:t>_Toc65485906</w:t>
      </w:r>
      <w:r>
        <w:rPr>
          <w:rStyle w:val="18"/>
        </w:rPr>
        <w:fldChar w:fldCharType="end"/>
      </w:r>
    </w:p>
    <w:p>
      <w:pPr>
        <w:pStyle w:val="2"/>
        <w:jc w:val="center"/>
        <w:rPr>
          <w:rFonts w:ascii="黑体" w:hAnsi="黑体" w:eastAsia="黑体" w:cs="Times New Roman"/>
          <w:sz w:val="30"/>
          <w:szCs w:val="30"/>
        </w:rPr>
      </w:pPr>
      <w:bookmarkStart w:id="107" w:name="_Toc96329914"/>
      <w:r>
        <w:rPr>
          <w:rFonts w:hint="eastAsia" w:ascii="黑体" w:hAnsi="黑体" w:eastAsia="黑体" w:cs="黑体"/>
          <w:sz w:val="30"/>
          <w:szCs w:val="30"/>
        </w:rPr>
        <w:t>第二节</w:t>
      </w:r>
      <w:r>
        <w:rPr>
          <w:rFonts w:ascii="黑体" w:hAnsi="黑体" w:eastAsia="黑体" w:cs="黑体"/>
          <w:sz w:val="30"/>
          <w:szCs w:val="30"/>
        </w:rPr>
        <w:t xml:space="preserve"> </w:t>
      </w:r>
      <w:r>
        <w:rPr>
          <w:rFonts w:hint="eastAsia" w:ascii="黑体" w:hAnsi="黑体" w:eastAsia="黑体" w:cs="黑体"/>
          <w:sz w:val="30"/>
          <w:szCs w:val="30"/>
        </w:rPr>
        <w:t>打造现代种业高地</w:t>
      </w:r>
      <w:bookmarkEnd w:id="107"/>
    </w:p>
    <w:p>
      <w:pPr>
        <w:pStyle w:val="4"/>
        <w:spacing w:before="0" w:after="0" w:line="360" w:lineRule="auto"/>
        <w:ind w:firstLine="602" w:firstLineChars="200"/>
        <w:rPr>
          <w:rFonts w:ascii="仿宋" w:hAnsi="仿宋" w:eastAsia="仿宋" w:cs="Times New Roman"/>
          <w:sz w:val="30"/>
          <w:szCs w:val="30"/>
        </w:rPr>
      </w:pPr>
      <w:bookmarkStart w:id="108" w:name="_Toc96329915"/>
      <w:r>
        <w:rPr>
          <w:rFonts w:hint="eastAsia" w:ascii="仿宋" w:hAnsi="仿宋" w:eastAsia="仿宋" w:cs="仿宋"/>
          <w:sz w:val="30"/>
          <w:szCs w:val="30"/>
        </w:rPr>
        <w:t>一、加强种质资源保护与利用</w:t>
      </w:r>
      <w:bookmarkEnd w:id="108"/>
    </w:p>
    <w:p>
      <w:pPr>
        <w:snapToGrid w:val="0"/>
        <w:spacing w:line="360" w:lineRule="auto"/>
        <w:ind w:firstLine="600" w:firstLineChars="200"/>
        <w:rPr>
          <w:rFonts w:ascii="仿宋" w:hAnsi="仿宋" w:eastAsia="仿宋" w:cs="Times New Roman"/>
          <w:sz w:val="30"/>
          <w:szCs w:val="30"/>
        </w:rPr>
      </w:pPr>
      <w:r>
        <w:rPr>
          <w:rFonts w:hint="eastAsia" w:ascii="仿宋" w:hAnsi="仿宋" w:eastAsia="仿宋" w:cs="仿宋"/>
          <w:sz w:val="30"/>
          <w:szCs w:val="30"/>
        </w:rPr>
        <w:t>开展农业种质资源普查与收集工作，收集和保护各类濒危作物种质资源。加强农业种质资源保护场（区、圃）建设与管护，充分利用现代种业提升工程等项目资金，完善和建设宜春市种质资源库和保护繁育基地。加强全市农作物、畜禽等特色品种资源的保护。做好种质资源开发利用，加强种业生产基地建设，因地制宜建设一批优质种子种苗生产基地，建设好区域性蔬菜集约化育苗中心。结合现有的畜禽资源条件，建设生猪、蛋禽、水禽良种扩繁推广基地。健全畜禽良种推广体系，有序引进生产性能好、适应范围广的优良品种，重点提高生猪、肉牛、蛋禽、肉禽品种引种质量。</w:t>
      </w:r>
    </w:p>
    <w:p>
      <w:pPr>
        <w:pStyle w:val="4"/>
        <w:spacing w:before="0" w:after="0" w:line="360" w:lineRule="auto"/>
        <w:ind w:firstLine="602" w:firstLineChars="200"/>
        <w:rPr>
          <w:rFonts w:ascii="仿宋" w:hAnsi="仿宋" w:eastAsia="仿宋" w:cs="Times New Roman"/>
          <w:sz w:val="30"/>
          <w:szCs w:val="30"/>
        </w:rPr>
      </w:pPr>
      <w:bookmarkStart w:id="109" w:name="_Toc96329916"/>
      <w:r>
        <w:rPr>
          <w:rFonts w:hint="eastAsia" w:ascii="仿宋" w:hAnsi="仿宋" w:eastAsia="仿宋" w:cs="仿宋"/>
          <w:sz w:val="30"/>
          <w:szCs w:val="30"/>
        </w:rPr>
        <w:t>二、提升种业创新能力</w:t>
      </w:r>
      <w:bookmarkEnd w:id="109"/>
    </w:p>
    <w:p>
      <w:pPr>
        <w:snapToGrid w:val="0"/>
        <w:spacing w:line="360" w:lineRule="auto"/>
        <w:ind w:firstLine="600" w:firstLineChars="200"/>
        <w:rPr>
          <w:rFonts w:ascii="仿宋" w:hAnsi="仿宋" w:eastAsia="仿宋" w:cs="Times New Roman"/>
          <w:sz w:val="30"/>
          <w:szCs w:val="30"/>
        </w:rPr>
      </w:pPr>
      <w:r>
        <w:rPr>
          <w:rFonts w:hint="eastAsia" w:ascii="仿宋" w:hAnsi="仿宋" w:eastAsia="仿宋" w:cs="仿宋"/>
          <w:sz w:val="30"/>
          <w:szCs w:val="30"/>
        </w:rPr>
        <w:t>做大做强种业企业。鼓励优势种业企业进行联合，实现优势互补，资源聚集，支持种业企业牵头或参与组织实施种业应用研究和产业化等项目，引导企业建立新品种示范网络，加强售后技术服务，延伸产业链条，推动种业企业建立现代企业制度，加强企业文化和品牌建设，强化企业自律，积极承担社会责任。加强政策扶持，打造一批具有市场竞争力的种业品牌。加强产学研合作，充分发挥高等学校和科研院所的平台优势，强化高等学校、科研院所和种业企业的合作，构建新的产学研紧密结合的商业化育种体系。全面实施遗传改良计划，积极参与和协助省级生猪全基因组选择育种工作，提供地方品种种质资源和基因素材，协助培育具有突破性的新品种。</w:t>
      </w:r>
    </w:p>
    <w:p>
      <w:pPr>
        <w:pStyle w:val="4"/>
        <w:spacing w:before="0" w:after="0" w:line="360" w:lineRule="auto"/>
        <w:ind w:firstLine="602" w:firstLineChars="200"/>
        <w:rPr>
          <w:rFonts w:ascii="仿宋" w:hAnsi="仿宋" w:eastAsia="仿宋" w:cs="Times New Roman"/>
          <w:sz w:val="30"/>
          <w:szCs w:val="30"/>
        </w:rPr>
      </w:pPr>
      <w:bookmarkStart w:id="110" w:name="_Toc96329917"/>
      <w:r>
        <w:rPr>
          <w:rFonts w:hint="eastAsia" w:ascii="仿宋" w:hAnsi="仿宋" w:eastAsia="仿宋" w:cs="仿宋"/>
          <w:sz w:val="30"/>
          <w:szCs w:val="30"/>
        </w:rPr>
        <w:t>三、强化种子市场监管</w:t>
      </w:r>
      <w:bookmarkEnd w:id="110"/>
    </w:p>
    <w:p>
      <w:pPr>
        <w:snapToGrid w:val="0"/>
        <w:spacing w:line="360" w:lineRule="auto"/>
        <w:ind w:firstLine="600" w:firstLineChars="200"/>
        <w:rPr>
          <w:rFonts w:ascii="仿宋" w:hAnsi="仿宋" w:eastAsia="仿宋" w:cs="Times New Roman"/>
          <w:sz w:val="30"/>
          <w:szCs w:val="30"/>
        </w:rPr>
      </w:pPr>
      <w:r>
        <w:rPr>
          <w:rFonts w:hint="eastAsia" w:ascii="仿宋" w:hAnsi="仿宋" w:eastAsia="仿宋" w:cs="仿宋"/>
          <w:sz w:val="30"/>
          <w:szCs w:val="30"/>
        </w:rPr>
        <w:t>强化种业信息化服务能力，建立种业供需监测预警机制。进一步强化市级农作物种子质量监管，逐步完善县级种业管理机构农作物种子质量检测装备，提高全市农作物种子质量管理能力。加强种畜禽场生物安全管理，建立健全非洲猪瘟防控生物安全屏障保障种畜禽质量。</w:t>
      </w:r>
    </w:p>
    <w:tbl>
      <w:tblPr>
        <w:tblStyle w:val="16"/>
        <w:tblW w:w="9061"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1" w:type="dxa"/>
          </w:tcPr>
          <w:p>
            <w:pPr>
              <w:spacing w:line="500" w:lineRule="exact"/>
              <w:ind w:firstLine="562" w:firstLineChars="200"/>
              <w:jc w:val="center"/>
              <w:rPr>
                <w:rFonts w:ascii="黑体" w:hAnsi="黑体" w:eastAsia="黑体" w:cs="Times New Roman"/>
                <w:b/>
                <w:bCs/>
                <w:sz w:val="28"/>
                <w:szCs w:val="28"/>
              </w:rPr>
            </w:pPr>
            <w:r>
              <w:rPr>
                <w:rFonts w:hint="eastAsia" w:ascii="黑体" w:hAnsi="黑体" w:eastAsia="黑体" w:cs="黑体"/>
                <w:b/>
                <w:bCs/>
                <w:sz w:val="28"/>
                <w:szCs w:val="28"/>
              </w:rPr>
              <w:t>专栏</w:t>
            </w:r>
            <w:r>
              <w:rPr>
                <w:rFonts w:ascii="黑体" w:hAnsi="黑体" w:eastAsia="黑体" w:cs="黑体"/>
                <w:b/>
                <w:bCs/>
                <w:sz w:val="28"/>
                <w:szCs w:val="28"/>
              </w:rPr>
              <w:t xml:space="preserve">5  </w:t>
            </w:r>
            <w:r>
              <w:rPr>
                <w:rFonts w:hint="eastAsia" w:ascii="黑体" w:hAnsi="黑体" w:eastAsia="黑体" w:cs="黑体"/>
                <w:b/>
                <w:bCs/>
                <w:sz w:val="28"/>
                <w:szCs w:val="28"/>
              </w:rPr>
              <w:t>农业科技创新工程</w:t>
            </w:r>
          </w:p>
          <w:p>
            <w:pPr>
              <w:spacing w:line="510" w:lineRule="exact"/>
              <w:ind w:firstLine="562" w:firstLineChars="200"/>
              <w:rPr>
                <w:rFonts w:ascii="楷体" w:hAnsi="楷体" w:eastAsia="楷体" w:cs="Times New Roman"/>
                <w:b/>
                <w:bCs/>
                <w:sz w:val="28"/>
                <w:szCs w:val="28"/>
              </w:rPr>
            </w:pPr>
            <w:r>
              <w:rPr>
                <w:rFonts w:hint="eastAsia" w:ascii="楷体" w:hAnsi="楷体" w:eastAsia="楷体" w:cs="楷体"/>
                <w:b/>
                <w:bCs/>
                <w:sz w:val="28"/>
                <w:szCs w:val="28"/>
              </w:rPr>
              <w:t>（一）农业科技创新平台建设工程</w:t>
            </w:r>
          </w:p>
          <w:p>
            <w:pPr>
              <w:spacing w:line="500" w:lineRule="exact"/>
              <w:ind w:firstLine="560" w:firstLineChars="200"/>
              <w:rPr>
                <w:rFonts w:ascii="楷体" w:hAnsi="楷体" w:eastAsia="楷体" w:cs="Times New Roman"/>
                <w:sz w:val="28"/>
                <w:szCs w:val="28"/>
              </w:rPr>
            </w:pPr>
            <w:r>
              <w:rPr>
                <w:rFonts w:hint="eastAsia" w:ascii="楷体" w:hAnsi="楷体" w:eastAsia="楷体" w:cs="楷体"/>
                <w:sz w:val="28"/>
                <w:szCs w:val="28"/>
              </w:rPr>
              <w:t>加强农业产业发展技术研究基础条件建设，完善配套研究实验设施，推进高安鄱阳湖生态经济区农业综合示范基地等一批现代化科学实验基地。</w:t>
            </w:r>
          </w:p>
          <w:p>
            <w:pPr>
              <w:spacing w:line="510" w:lineRule="exact"/>
              <w:ind w:firstLine="562" w:firstLineChars="200"/>
              <w:rPr>
                <w:rFonts w:ascii="楷体" w:hAnsi="楷体" w:eastAsia="楷体" w:cs="Times New Roman"/>
                <w:b/>
                <w:bCs/>
                <w:sz w:val="28"/>
                <w:szCs w:val="28"/>
              </w:rPr>
            </w:pPr>
            <w:r>
              <w:rPr>
                <w:rFonts w:hint="eastAsia" w:ascii="楷体" w:hAnsi="楷体" w:eastAsia="楷体" w:cs="楷体"/>
                <w:b/>
                <w:bCs/>
                <w:sz w:val="28"/>
                <w:szCs w:val="28"/>
              </w:rPr>
              <w:t>（二）富硒产业创新联盟创建工程</w:t>
            </w:r>
          </w:p>
          <w:p>
            <w:pPr>
              <w:spacing w:line="500" w:lineRule="exact"/>
              <w:ind w:firstLine="560" w:firstLineChars="200"/>
              <w:rPr>
                <w:rFonts w:ascii="楷体" w:hAnsi="楷体" w:eastAsia="楷体" w:cs="Times New Roman"/>
                <w:sz w:val="28"/>
                <w:szCs w:val="28"/>
              </w:rPr>
            </w:pPr>
            <w:r>
              <w:rPr>
                <w:rFonts w:hint="eastAsia" w:ascii="楷体" w:hAnsi="楷体" w:eastAsia="楷体" w:cs="楷体"/>
                <w:sz w:val="28"/>
                <w:szCs w:val="28"/>
              </w:rPr>
              <w:t>以江西富硒产业研究院（宜春市科学院）为主体，依托宜春学院、江西农业大学富硒农业研究院、江西省食品发酵研究所等单位，联合国际硒研究学会、江苏省硒生物技术工程中心等国际知名硒科技创新平台和国内功能农业专业机构，共建富硒产业创新联盟。</w:t>
            </w:r>
          </w:p>
          <w:p>
            <w:pPr>
              <w:spacing w:line="510" w:lineRule="exact"/>
              <w:ind w:firstLine="562" w:firstLineChars="200"/>
              <w:rPr>
                <w:rFonts w:ascii="楷体" w:hAnsi="楷体" w:eastAsia="楷体" w:cs="Times New Roman"/>
                <w:b/>
                <w:bCs/>
                <w:sz w:val="28"/>
                <w:szCs w:val="28"/>
              </w:rPr>
            </w:pPr>
            <w:r>
              <w:rPr>
                <w:rFonts w:hint="eastAsia" w:ascii="楷体" w:hAnsi="楷体" w:eastAsia="楷体" w:cs="楷体"/>
                <w:b/>
                <w:bCs/>
                <w:sz w:val="28"/>
                <w:szCs w:val="28"/>
              </w:rPr>
              <w:t>（三）现代种业创新能力提升工程</w:t>
            </w:r>
          </w:p>
          <w:p>
            <w:pPr>
              <w:spacing w:line="500" w:lineRule="exact"/>
              <w:ind w:firstLine="560" w:firstLineChars="200"/>
              <w:rPr>
                <w:rFonts w:ascii="楷体" w:hAnsi="楷体" w:eastAsia="楷体" w:cs="Times New Roman"/>
                <w:sz w:val="28"/>
                <w:szCs w:val="28"/>
              </w:rPr>
            </w:pPr>
            <w:r>
              <w:rPr>
                <w:rFonts w:hint="eastAsia" w:ascii="楷体" w:hAnsi="楷体" w:eastAsia="楷体" w:cs="楷体"/>
                <w:kern w:val="0"/>
                <w:sz w:val="28"/>
                <w:szCs w:val="28"/>
              </w:rPr>
              <w:t>大力推进水稻良种繁育推广体系、畜牧水产良种繁育推广体系、道地药材繁育推广体系、油茶良种繁育推广体系、水稻工厂化育秧中心五大工程建设，</w:t>
            </w:r>
            <w:r>
              <w:rPr>
                <w:rFonts w:hint="eastAsia" w:ascii="楷体" w:hAnsi="楷体" w:eastAsia="楷体" w:cs="楷体"/>
                <w:sz w:val="28"/>
                <w:szCs w:val="28"/>
              </w:rPr>
              <w:t>力争到</w:t>
            </w:r>
            <w:r>
              <w:rPr>
                <w:rFonts w:ascii="楷体" w:hAnsi="楷体" w:eastAsia="楷体" w:cs="楷体"/>
                <w:sz w:val="28"/>
                <w:szCs w:val="28"/>
              </w:rPr>
              <w:t>2025</w:t>
            </w:r>
            <w:r>
              <w:rPr>
                <w:rFonts w:hint="eastAsia" w:ascii="楷体" w:hAnsi="楷体" w:eastAsia="楷体" w:cs="楷体"/>
                <w:sz w:val="28"/>
                <w:szCs w:val="28"/>
              </w:rPr>
              <w:t>年，全市现代种业发展取得突破性进展，创新能力、市场竞争力、监管服务能力明显提升，培育扶持生产加工技术先进、市场营销网络健全、技术服务到位的“育繁推一体化”种业企业</w:t>
            </w:r>
            <w:r>
              <w:rPr>
                <w:rFonts w:ascii="楷体" w:hAnsi="楷体" w:eastAsia="楷体" w:cs="楷体"/>
                <w:sz w:val="28"/>
                <w:szCs w:val="28"/>
              </w:rPr>
              <w:t>1-2</w:t>
            </w:r>
            <w:r>
              <w:rPr>
                <w:rFonts w:hint="eastAsia" w:ascii="楷体" w:hAnsi="楷体" w:eastAsia="楷体" w:cs="楷体"/>
                <w:sz w:val="28"/>
                <w:szCs w:val="28"/>
              </w:rPr>
              <w:t>家；自主培育一批具有突破性的品种；建设标准化、规模化、集约化、机械化的优势作物种子（种苗）生产基地</w:t>
            </w:r>
            <w:r>
              <w:rPr>
                <w:rFonts w:ascii="楷体" w:hAnsi="楷体" w:eastAsia="楷体" w:cs="楷体"/>
                <w:sz w:val="28"/>
                <w:szCs w:val="28"/>
              </w:rPr>
              <w:t>2</w:t>
            </w:r>
            <w:r>
              <w:rPr>
                <w:rFonts w:hint="eastAsia" w:ascii="楷体" w:hAnsi="楷体" w:eastAsia="楷体" w:cs="楷体"/>
                <w:sz w:val="28"/>
                <w:szCs w:val="28"/>
              </w:rPr>
              <w:t>万亩；大力推广农作物优良品种，加快宜春市主要农作物品种更新换代，主要农作物良种覆盖率稳定在</w:t>
            </w:r>
            <w:r>
              <w:rPr>
                <w:rFonts w:ascii="楷体" w:hAnsi="楷体" w:eastAsia="楷体" w:cs="楷体"/>
                <w:sz w:val="28"/>
                <w:szCs w:val="28"/>
              </w:rPr>
              <w:t>98%</w:t>
            </w:r>
            <w:r>
              <w:rPr>
                <w:rFonts w:hint="eastAsia" w:ascii="楷体" w:hAnsi="楷体" w:eastAsia="楷体" w:cs="楷体"/>
                <w:sz w:val="28"/>
                <w:szCs w:val="28"/>
              </w:rPr>
              <w:t>以上；实现畜禽良种覆盖率</w:t>
            </w:r>
            <w:r>
              <w:rPr>
                <w:rFonts w:ascii="楷体" w:hAnsi="楷体" w:eastAsia="楷体" w:cs="楷体"/>
                <w:sz w:val="28"/>
                <w:szCs w:val="28"/>
              </w:rPr>
              <w:t>90%</w:t>
            </w:r>
            <w:r>
              <w:rPr>
                <w:rFonts w:hint="eastAsia" w:ascii="楷体" w:hAnsi="楷体" w:eastAsia="楷体" w:cs="楷体"/>
                <w:sz w:val="28"/>
                <w:szCs w:val="28"/>
              </w:rPr>
              <w:t>以上，地方畜禽遗传资源有效保护率</w:t>
            </w:r>
            <w:r>
              <w:rPr>
                <w:rFonts w:ascii="楷体" w:hAnsi="楷体" w:eastAsia="楷体" w:cs="楷体"/>
                <w:sz w:val="28"/>
                <w:szCs w:val="28"/>
              </w:rPr>
              <w:t>100%</w:t>
            </w:r>
            <w:r>
              <w:rPr>
                <w:rFonts w:hint="eastAsia" w:ascii="楷体" w:hAnsi="楷体" w:eastAsia="楷体" w:cs="楷体"/>
                <w:sz w:val="28"/>
                <w:szCs w:val="28"/>
              </w:rPr>
              <w:t>；良种在农业增产中的贡献率达到</w:t>
            </w:r>
            <w:r>
              <w:rPr>
                <w:rFonts w:ascii="楷体" w:hAnsi="楷体" w:eastAsia="楷体" w:cs="楷体"/>
                <w:sz w:val="28"/>
                <w:szCs w:val="28"/>
              </w:rPr>
              <w:t>50%</w:t>
            </w:r>
            <w:r>
              <w:rPr>
                <w:rFonts w:hint="eastAsia" w:ascii="楷体" w:hAnsi="楷体" w:eastAsia="楷体" w:cs="楷体"/>
                <w:sz w:val="28"/>
                <w:szCs w:val="28"/>
              </w:rPr>
              <w:t>以上。</w:t>
            </w:r>
          </w:p>
        </w:tc>
      </w:tr>
    </w:tbl>
    <w:p>
      <w:pPr>
        <w:pStyle w:val="2"/>
        <w:jc w:val="center"/>
        <w:rPr>
          <w:rFonts w:ascii="黑体" w:hAnsi="黑体" w:eastAsia="黑体" w:cs="Times New Roman"/>
          <w:sz w:val="30"/>
          <w:szCs w:val="30"/>
        </w:rPr>
      </w:pPr>
      <w:bookmarkStart w:id="111" w:name="_Toc96329918"/>
      <w:r>
        <w:rPr>
          <w:rFonts w:hint="eastAsia" w:ascii="黑体" w:hAnsi="黑体" w:eastAsia="黑体" w:cs="黑体"/>
          <w:sz w:val="30"/>
          <w:szCs w:val="30"/>
        </w:rPr>
        <w:t>第三节</w:t>
      </w:r>
      <w:r>
        <w:rPr>
          <w:rFonts w:ascii="黑体" w:hAnsi="黑体" w:eastAsia="黑体" w:cs="黑体"/>
          <w:sz w:val="30"/>
          <w:szCs w:val="30"/>
        </w:rPr>
        <w:t xml:space="preserve"> </w:t>
      </w:r>
      <w:r>
        <w:rPr>
          <w:rFonts w:hint="eastAsia" w:ascii="黑体" w:hAnsi="黑体" w:eastAsia="黑体" w:cs="黑体"/>
          <w:sz w:val="30"/>
          <w:szCs w:val="30"/>
        </w:rPr>
        <w:t>增强现代农业装备水平</w:t>
      </w:r>
      <w:bookmarkEnd w:id="111"/>
    </w:p>
    <w:p>
      <w:pPr>
        <w:pStyle w:val="4"/>
        <w:spacing w:before="0" w:after="0" w:line="360" w:lineRule="auto"/>
        <w:ind w:firstLine="602" w:firstLineChars="200"/>
        <w:rPr>
          <w:rFonts w:ascii="仿宋" w:hAnsi="仿宋" w:eastAsia="仿宋" w:cs="Times New Roman"/>
          <w:sz w:val="30"/>
          <w:szCs w:val="30"/>
        </w:rPr>
      </w:pPr>
      <w:bookmarkStart w:id="112" w:name="_Toc96329919"/>
      <w:r>
        <w:rPr>
          <w:rFonts w:hint="eastAsia" w:ascii="仿宋" w:hAnsi="仿宋" w:eastAsia="仿宋" w:cs="仿宋"/>
          <w:sz w:val="30"/>
          <w:szCs w:val="30"/>
        </w:rPr>
        <w:t>一、优化农机装备结构</w:t>
      </w:r>
      <w:bookmarkEnd w:id="112"/>
    </w:p>
    <w:p>
      <w:pPr>
        <w:snapToGrid w:val="0"/>
        <w:spacing w:line="360" w:lineRule="auto"/>
        <w:ind w:firstLine="600" w:firstLineChars="200"/>
        <w:rPr>
          <w:rFonts w:ascii="仿宋" w:hAnsi="仿宋" w:eastAsia="仿宋" w:cs="Times New Roman"/>
          <w:sz w:val="30"/>
          <w:szCs w:val="30"/>
        </w:rPr>
      </w:pPr>
      <w:r>
        <w:rPr>
          <w:rFonts w:hint="eastAsia" w:ascii="仿宋" w:hAnsi="仿宋" w:eastAsia="仿宋" w:cs="仿宋"/>
          <w:sz w:val="30"/>
          <w:szCs w:val="30"/>
        </w:rPr>
        <w:t>坚持数量增长与结构优化并举，以增量调整带动存量优化，以存量优化促进结构升级，优化农机装备结构。围绕农业结构调整“八大工程”，开展新型农机补贴，对未列入国家农机购置补贴范围而农业结构调整“八大工程”所需的机具，按照轻重缓解，实行省级补贴。对水稻高效种植、农业绿色生产等方面所需的机具，在国家农机购置补贴的基础上实行省级叠加补贴，加快夯实现代化农业装备基础。</w:t>
      </w:r>
    </w:p>
    <w:p>
      <w:pPr>
        <w:pStyle w:val="4"/>
        <w:spacing w:before="0" w:after="0" w:line="360" w:lineRule="auto"/>
        <w:ind w:firstLine="602" w:firstLineChars="200"/>
        <w:rPr>
          <w:rFonts w:ascii="仿宋" w:hAnsi="仿宋" w:eastAsia="仿宋" w:cs="Times New Roman"/>
          <w:sz w:val="30"/>
          <w:szCs w:val="30"/>
        </w:rPr>
      </w:pPr>
      <w:bookmarkStart w:id="113" w:name="_Toc96329920"/>
      <w:r>
        <w:rPr>
          <w:rFonts w:hint="eastAsia" w:ascii="仿宋" w:hAnsi="仿宋" w:eastAsia="仿宋" w:cs="仿宋"/>
          <w:sz w:val="30"/>
          <w:szCs w:val="30"/>
        </w:rPr>
        <w:t>二、推进农业机械化全程全面发展</w:t>
      </w:r>
      <w:bookmarkEnd w:id="113"/>
    </w:p>
    <w:p>
      <w:pPr>
        <w:snapToGrid w:val="0"/>
        <w:spacing w:line="360" w:lineRule="auto"/>
        <w:ind w:firstLine="600" w:firstLineChars="200"/>
        <w:rPr>
          <w:rFonts w:ascii="仿宋" w:hAnsi="仿宋" w:eastAsia="仿宋" w:cs="Times New Roman"/>
          <w:sz w:val="30"/>
          <w:szCs w:val="30"/>
          <w:lang w:val="zh-CN"/>
        </w:rPr>
      </w:pPr>
      <w:r>
        <w:rPr>
          <w:rFonts w:hint="eastAsia" w:ascii="仿宋" w:hAnsi="仿宋" w:eastAsia="仿宋" w:cs="仿宋"/>
          <w:sz w:val="30"/>
          <w:szCs w:val="30"/>
          <w:lang w:val="zh-CN"/>
        </w:rPr>
        <w:t>加快高端农机装备和水稻机插、机械植保、稻谷烘干等机械化推广应用，提高农机装备智能化水平。</w:t>
      </w:r>
      <w:r>
        <w:rPr>
          <w:rFonts w:hint="eastAsia" w:ascii="仿宋" w:hAnsi="仿宋" w:eastAsia="仿宋" w:cs="仿宋"/>
          <w:sz w:val="30"/>
          <w:szCs w:val="30"/>
        </w:rPr>
        <w:t>加快特色作物生产机械化发展，推动丘陵山区农业生产机械化发展。在促进重点突破的同时推进各领域各环节机械化，统筹推动经济作物、设施农业、畜牧养殖、水产养殖、农产品初加工业机械化，发挥农业机械全面服务农业各生产领域的作用。</w:t>
      </w:r>
      <w:r>
        <w:rPr>
          <w:rFonts w:hint="eastAsia" w:ascii="仿宋" w:hAnsi="仿宋" w:eastAsia="仿宋" w:cs="仿宋"/>
          <w:sz w:val="30"/>
          <w:szCs w:val="30"/>
          <w:lang w:val="zh-CN"/>
        </w:rPr>
        <w:t>推进水稻工厂化育秧中心的建设，逐步形成“合作社</w:t>
      </w:r>
      <w:r>
        <w:rPr>
          <w:rFonts w:ascii="仿宋" w:hAnsi="仿宋" w:eastAsia="仿宋" w:cs="仿宋"/>
          <w:sz w:val="30"/>
          <w:szCs w:val="30"/>
          <w:lang w:val="zh-CN"/>
        </w:rPr>
        <w:t>+</w:t>
      </w:r>
      <w:r>
        <w:rPr>
          <w:rFonts w:hint="eastAsia" w:ascii="仿宋" w:hAnsi="仿宋" w:eastAsia="仿宋" w:cs="仿宋"/>
          <w:sz w:val="30"/>
          <w:szCs w:val="30"/>
          <w:lang w:val="zh-CN"/>
        </w:rPr>
        <w:t>大户带散户”的水稻机械化育插秧技术推广应用模式。建立完善的覆盖农业产前产中产后的农机社会化服务体系，建设一批全程机械化综合农事服务中心，推进农业机械化全程全面高质高效跨越式发展，高效规范实施农业机械“双补贴”政策。</w:t>
      </w:r>
    </w:p>
    <w:p>
      <w:pPr>
        <w:snapToGrid w:val="0"/>
        <w:spacing w:line="360" w:lineRule="auto"/>
        <w:ind w:firstLine="600" w:firstLineChars="200"/>
        <w:rPr>
          <w:rFonts w:cs="Times New Roman"/>
          <w:lang w:val="zh-CN"/>
        </w:rPr>
      </w:pPr>
      <w:r>
        <w:rPr>
          <w:rFonts w:hint="eastAsia" w:ascii="仿宋" w:hAnsi="仿宋" w:eastAsia="仿宋" w:cs="仿宋"/>
          <w:sz w:val="30"/>
          <w:szCs w:val="30"/>
          <w:lang w:val="zh-CN"/>
        </w:rPr>
        <w:t>到</w:t>
      </w:r>
      <w:r>
        <w:rPr>
          <w:rFonts w:ascii="仿宋" w:hAnsi="仿宋" w:eastAsia="仿宋" w:cs="仿宋"/>
          <w:sz w:val="30"/>
          <w:szCs w:val="30"/>
          <w:lang w:val="zh-CN"/>
        </w:rPr>
        <w:t>2025</w:t>
      </w:r>
      <w:r>
        <w:rPr>
          <w:rFonts w:hint="eastAsia" w:ascii="仿宋" w:hAnsi="仿宋" w:eastAsia="仿宋" w:cs="仿宋"/>
          <w:sz w:val="30"/>
          <w:szCs w:val="30"/>
          <w:lang w:val="zh-CN"/>
        </w:rPr>
        <w:t>年，全市农机总动力达到</w:t>
      </w:r>
      <w:r>
        <w:rPr>
          <w:rFonts w:ascii="仿宋" w:hAnsi="仿宋" w:eastAsia="仿宋" w:cs="仿宋"/>
          <w:sz w:val="30"/>
          <w:szCs w:val="30"/>
          <w:lang w:val="zh-CN"/>
        </w:rPr>
        <w:t>480</w:t>
      </w:r>
      <w:r>
        <w:rPr>
          <w:rFonts w:hint="eastAsia" w:ascii="仿宋" w:hAnsi="仿宋" w:eastAsia="仿宋" w:cs="仿宋"/>
          <w:sz w:val="30"/>
          <w:szCs w:val="30"/>
          <w:lang w:val="zh-CN"/>
        </w:rPr>
        <w:t>万千瓦以上，农机作业条件显著改善，全市主要农作物耕种收综合机械化率达到</w:t>
      </w:r>
      <w:r>
        <w:rPr>
          <w:rFonts w:ascii="仿宋" w:hAnsi="仿宋" w:eastAsia="仿宋" w:cs="仿宋"/>
          <w:sz w:val="30"/>
          <w:szCs w:val="30"/>
          <w:lang w:val="zh-CN"/>
        </w:rPr>
        <w:t>80%</w:t>
      </w:r>
      <w:r>
        <w:rPr>
          <w:rFonts w:hint="eastAsia" w:ascii="仿宋" w:hAnsi="仿宋" w:eastAsia="仿宋" w:cs="仿宋"/>
          <w:sz w:val="30"/>
          <w:szCs w:val="30"/>
          <w:lang w:val="zh-CN"/>
        </w:rPr>
        <w:t>，水稻基本实现生产全程机械化，油菜种植、收获机械化率分别达到</w:t>
      </w:r>
      <w:r>
        <w:rPr>
          <w:rFonts w:ascii="仿宋" w:hAnsi="仿宋" w:eastAsia="仿宋" w:cs="仿宋"/>
          <w:sz w:val="30"/>
          <w:szCs w:val="30"/>
          <w:lang w:val="zh-CN"/>
        </w:rPr>
        <w:t>50%</w:t>
      </w:r>
      <w:r>
        <w:rPr>
          <w:rFonts w:hint="eastAsia" w:ascii="仿宋" w:hAnsi="仿宋" w:eastAsia="仿宋" w:cs="仿宋"/>
          <w:sz w:val="30"/>
          <w:szCs w:val="30"/>
          <w:lang w:val="zh-CN"/>
        </w:rPr>
        <w:t>和</w:t>
      </w:r>
      <w:r>
        <w:rPr>
          <w:rFonts w:ascii="仿宋" w:hAnsi="仿宋" w:eastAsia="仿宋" w:cs="仿宋"/>
          <w:sz w:val="30"/>
          <w:szCs w:val="30"/>
          <w:lang w:val="zh-CN"/>
        </w:rPr>
        <w:t>65%</w:t>
      </w:r>
      <w:r>
        <w:rPr>
          <w:rFonts w:hint="eastAsia" w:ascii="仿宋" w:hAnsi="仿宋" w:eastAsia="仿宋" w:cs="仿宋"/>
          <w:sz w:val="30"/>
          <w:szCs w:val="30"/>
          <w:lang w:val="zh-CN"/>
        </w:rPr>
        <w:t>，设施农业、畜牧养殖、水产养殖和农产品初加工机械化率总体达到</w:t>
      </w:r>
      <w:r>
        <w:rPr>
          <w:rFonts w:ascii="仿宋" w:hAnsi="仿宋" w:eastAsia="仿宋" w:cs="仿宋"/>
          <w:sz w:val="30"/>
          <w:szCs w:val="30"/>
          <w:lang w:val="zh-CN"/>
        </w:rPr>
        <w:t>50%</w:t>
      </w:r>
      <w:r>
        <w:rPr>
          <w:rFonts w:hint="eastAsia" w:ascii="仿宋" w:hAnsi="仿宋" w:eastAsia="仿宋" w:cs="仿宋"/>
          <w:sz w:val="30"/>
          <w:szCs w:val="30"/>
          <w:lang w:val="zh-CN"/>
        </w:rPr>
        <w:t>左右。</w:t>
      </w:r>
    </w:p>
    <w:tbl>
      <w:tblPr>
        <w:tblStyle w:val="16"/>
        <w:tblW w:w="9061"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1" w:type="dxa"/>
          </w:tcPr>
          <w:p>
            <w:pPr>
              <w:spacing w:line="500" w:lineRule="exact"/>
              <w:ind w:firstLine="562" w:firstLineChars="200"/>
              <w:jc w:val="center"/>
              <w:rPr>
                <w:rFonts w:ascii="黑体" w:hAnsi="黑体" w:eastAsia="黑体" w:cs="Times New Roman"/>
                <w:b/>
                <w:bCs/>
                <w:kern w:val="0"/>
                <w:sz w:val="28"/>
                <w:szCs w:val="28"/>
              </w:rPr>
            </w:pPr>
            <w:r>
              <w:rPr>
                <w:rFonts w:hint="eastAsia" w:ascii="黑体" w:hAnsi="黑体" w:eastAsia="黑体" w:cs="黑体"/>
                <w:b/>
                <w:bCs/>
                <w:kern w:val="0"/>
                <w:sz w:val="28"/>
                <w:szCs w:val="28"/>
              </w:rPr>
              <w:t>专栏</w:t>
            </w:r>
            <w:r>
              <w:rPr>
                <w:rFonts w:ascii="黑体" w:hAnsi="黑体" w:eastAsia="黑体" w:cs="黑体"/>
                <w:b/>
                <w:bCs/>
                <w:kern w:val="0"/>
                <w:sz w:val="28"/>
                <w:szCs w:val="28"/>
              </w:rPr>
              <w:t xml:space="preserve">6  </w:t>
            </w:r>
            <w:r>
              <w:rPr>
                <w:rFonts w:hint="eastAsia" w:ascii="黑体" w:hAnsi="黑体" w:eastAsia="黑体" w:cs="黑体"/>
                <w:b/>
                <w:bCs/>
                <w:kern w:val="0"/>
                <w:sz w:val="28"/>
                <w:szCs w:val="28"/>
              </w:rPr>
              <w:t>农业装备提升工程</w:t>
            </w:r>
          </w:p>
          <w:p>
            <w:pPr>
              <w:spacing w:line="500" w:lineRule="exact"/>
              <w:ind w:firstLine="562" w:firstLineChars="200"/>
              <w:rPr>
                <w:rFonts w:ascii="楷体" w:hAnsi="楷体" w:eastAsia="楷体" w:cs="Times New Roman"/>
                <w:b/>
                <w:bCs/>
                <w:kern w:val="0"/>
                <w:sz w:val="28"/>
                <w:szCs w:val="28"/>
              </w:rPr>
            </w:pPr>
            <w:r>
              <w:rPr>
                <w:rFonts w:hint="eastAsia" w:ascii="楷体" w:hAnsi="楷体" w:eastAsia="楷体" w:cs="楷体"/>
                <w:b/>
                <w:bCs/>
                <w:kern w:val="0"/>
                <w:sz w:val="28"/>
                <w:szCs w:val="28"/>
              </w:rPr>
              <w:t>（一）全程机械化综合农事服务中心建设工程</w:t>
            </w:r>
          </w:p>
          <w:p>
            <w:pPr>
              <w:spacing w:line="500" w:lineRule="exact"/>
              <w:ind w:firstLine="560" w:firstLineChars="200"/>
              <w:rPr>
                <w:rFonts w:ascii="楷体" w:hAnsi="楷体" w:eastAsia="楷体" w:cs="Times New Roman"/>
                <w:kern w:val="0"/>
                <w:sz w:val="28"/>
                <w:szCs w:val="28"/>
              </w:rPr>
            </w:pPr>
            <w:r>
              <w:rPr>
                <w:rFonts w:hint="eastAsia" w:ascii="楷体" w:hAnsi="楷体" w:eastAsia="楷体" w:cs="楷体"/>
                <w:kern w:val="0"/>
                <w:sz w:val="28"/>
                <w:szCs w:val="28"/>
              </w:rPr>
              <w:t>在全市建设一批全程机械化综合农事服务中心。每个服务中心都要包括机库棚、培训设施、电子商务及信息化管理室、维修中心、烘干中心等，配备的大中型拖拉机、高速插秧（抛秧）机、联合收割机、植保无人飞机等高性能农机具超过</w:t>
            </w:r>
            <w:r>
              <w:rPr>
                <w:rFonts w:ascii="楷体" w:hAnsi="楷体" w:eastAsia="楷体" w:cs="楷体"/>
                <w:kern w:val="0"/>
                <w:sz w:val="28"/>
                <w:szCs w:val="28"/>
              </w:rPr>
              <w:t>40</w:t>
            </w:r>
            <w:r>
              <w:rPr>
                <w:rFonts w:hint="eastAsia" w:ascii="楷体" w:hAnsi="楷体" w:eastAsia="楷体" w:cs="楷体"/>
                <w:kern w:val="0"/>
                <w:sz w:val="28"/>
                <w:szCs w:val="28"/>
              </w:rPr>
              <w:t>台（套）。</w:t>
            </w:r>
          </w:p>
          <w:p>
            <w:pPr>
              <w:spacing w:line="500" w:lineRule="exact"/>
              <w:ind w:firstLine="562" w:firstLineChars="200"/>
              <w:rPr>
                <w:rFonts w:ascii="楷体" w:hAnsi="楷体" w:eastAsia="楷体" w:cs="Times New Roman"/>
                <w:b/>
                <w:bCs/>
                <w:kern w:val="0"/>
                <w:sz w:val="28"/>
                <w:szCs w:val="28"/>
              </w:rPr>
            </w:pPr>
            <w:r>
              <w:rPr>
                <w:rFonts w:hint="eastAsia" w:ascii="楷体" w:hAnsi="楷体" w:eastAsia="楷体" w:cs="楷体"/>
                <w:b/>
                <w:bCs/>
                <w:kern w:val="0"/>
                <w:sz w:val="28"/>
                <w:szCs w:val="28"/>
              </w:rPr>
              <w:t>（二）农业全程机械化示范工程</w:t>
            </w:r>
          </w:p>
          <w:p>
            <w:pPr>
              <w:spacing w:line="520" w:lineRule="exact"/>
              <w:ind w:firstLine="560" w:firstLineChars="200"/>
              <w:rPr>
                <w:rFonts w:ascii="宋体" w:cs="Times New Roman"/>
                <w:b/>
                <w:bCs/>
                <w:kern w:val="0"/>
                <w:sz w:val="28"/>
                <w:szCs w:val="28"/>
              </w:rPr>
            </w:pPr>
            <w:r>
              <w:rPr>
                <w:rFonts w:hint="eastAsia" w:ascii="楷体" w:hAnsi="楷体" w:eastAsia="楷体" w:cs="楷体"/>
                <w:kern w:val="0"/>
                <w:sz w:val="28"/>
                <w:szCs w:val="28"/>
              </w:rPr>
              <w:t>创建一批全程机械化示范县，推广大马力、高性能农机和轻便、耐用、低耗中小型耕种收及植保机械，在示范区实现农业生产耕种收全程机械化。</w:t>
            </w:r>
          </w:p>
        </w:tc>
      </w:tr>
    </w:tbl>
    <w:p>
      <w:pPr>
        <w:pStyle w:val="2"/>
        <w:jc w:val="center"/>
        <w:rPr>
          <w:rFonts w:ascii="黑体" w:hAnsi="黑体" w:eastAsia="黑体" w:cs="Times New Roman"/>
          <w:sz w:val="30"/>
          <w:szCs w:val="30"/>
        </w:rPr>
      </w:pPr>
      <w:bookmarkStart w:id="114" w:name="_Toc96329921"/>
      <w:r>
        <w:rPr>
          <w:rFonts w:hint="eastAsia" w:ascii="黑体" w:hAnsi="黑体" w:eastAsia="黑体" w:cs="黑体"/>
          <w:sz w:val="30"/>
          <w:szCs w:val="30"/>
        </w:rPr>
        <w:t>第四节</w:t>
      </w:r>
      <w:r>
        <w:rPr>
          <w:rFonts w:ascii="黑体" w:hAnsi="黑体" w:eastAsia="黑体" w:cs="黑体"/>
          <w:sz w:val="30"/>
          <w:szCs w:val="30"/>
        </w:rPr>
        <w:t xml:space="preserve"> </w:t>
      </w:r>
      <w:r>
        <w:rPr>
          <w:rFonts w:hint="eastAsia" w:ascii="黑体" w:hAnsi="黑体" w:eastAsia="黑体" w:cs="黑体"/>
          <w:sz w:val="30"/>
          <w:szCs w:val="30"/>
        </w:rPr>
        <w:t>健全现代农业经营体系</w:t>
      </w:r>
      <w:bookmarkEnd w:id="114"/>
    </w:p>
    <w:p>
      <w:pPr>
        <w:pStyle w:val="4"/>
        <w:spacing w:before="0" w:after="0" w:line="360" w:lineRule="auto"/>
        <w:ind w:firstLine="602" w:firstLineChars="200"/>
        <w:rPr>
          <w:rFonts w:ascii="仿宋" w:hAnsi="仿宋" w:eastAsia="仿宋" w:cs="Times New Roman"/>
          <w:sz w:val="30"/>
          <w:szCs w:val="30"/>
        </w:rPr>
      </w:pPr>
      <w:bookmarkStart w:id="115" w:name="_Toc65485908"/>
      <w:bookmarkStart w:id="116" w:name="_Toc96329922"/>
      <w:r>
        <w:rPr>
          <w:rFonts w:hint="eastAsia" w:ascii="仿宋" w:hAnsi="仿宋" w:eastAsia="仿宋" w:cs="仿宋"/>
          <w:sz w:val="30"/>
          <w:szCs w:val="30"/>
        </w:rPr>
        <w:t>一、加快培育新型农业经营主体</w:t>
      </w:r>
      <w:bookmarkEnd w:id="115"/>
      <w:bookmarkEnd w:id="116"/>
    </w:p>
    <w:p>
      <w:pPr>
        <w:pStyle w:val="6"/>
        <w:snapToGrid w:val="0"/>
        <w:spacing w:line="560" w:lineRule="exact"/>
        <w:ind w:left="0" w:firstLine="600" w:firstLineChars="200"/>
        <w:jc w:val="both"/>
        <w:rPr>
          <w:rFonts w:ascii="仿宋" w:hAnsi="仿宋" w:eastAsia="仿宋" w:cs="Times New Roman"/>
          <w:sz w:val="30"/>
          <w:szCs w:val="30"/>
        </w:rPr>
      </w:pPr>
      <w:r>
        <w:rPr>
          <w:rFonts w:hint="eastAsia" w:ascii="仿宋" w:hAnsi="仿宋" w:eastAsia="仿宋" w:cs="仿宋"/>
          <w:sz w:val="30"/>
          <w:szCs w:val="30"/>
        </w:rPr>
        <w:t>实施龙头企业成长计划，支持龙头企业同业整合、兼并重组、强强联合，挂牌上市，切实打造一批具有完整产业链、较强竞争力和较高知名度的产业龙头。瞄准“世界</w:t>
      </w:r>
      <w:r>
        <w:rPr>
          <w:rFonts w:ascii="仿宋" w:hAnsi="仿宋" w:eastAsia="仿宋" w:cs="仿宋"/>
          <w:sz w:val="30"/>
          <w:szCs w:val="30"/>
          <w:lang w:val="en-US"/>
        </w:rPr>
        <w:t>500</w:t>
      </w:r>
      <w:r>
        <w:rPr>
          <w:rFonts w:hint="eastAsia" w:ascii="仿宋" w:hAnsi="仿宋" w:eastAsia="仿宋" w:cs="仿宋"/>
          <w:sz w:val="30"/>
          <w:szCs w:val="30"/>
          <w:lang w:val="en-US"/>
        </w:rPr>
        <w:t>强</w:t>
      </w:r>
      <w:r>
        <w:rPr>
          <w:rFonts w:hint="eastAsia" w:ascii="仿宋" w:hAnsi="仿宋" w:eastAsia="仿宋" w:cs="仿宋"/>
          <w:sz w:val="30"/>
          <w:szCs w:val="30"/>
        </w:rPr>
        <w:t>”“中国企业</w:t>
      </w:r>
      <w:r>
        <w:rPr>
          <w:rFonts w:ascii="仿宋" w:hAnsi="仿宋" w:eastAsia="仿宋" w:cs="仿宋"/>
          <w:sz w:val="30"/>
          <w:szCs w:val="30"/>
          <w:lang w:val="en-US"/>
        </w:rPr>
        <w:t>500</w:t>
      </w:r>
      <w:r>
        <w:rPr>
          <w:rFonts w:hint="eastAsia" w:ascii="仿宋" w:hAnsi="仿宋" w:eastAsia="仿宋" w:cs="仿宋"/>
          <w:sz w:val="30"/>
          <w:szCs w:val="30"/>
          <w:lang w:val="en-US"/>
        </w:rPr>
        <w:t>强</w:t>
      </w:r>
      <w:r>
        <w:rPr>
          <w:rFonts w:hint="eastAsia" w:ascii="仿宋" w:hAnsi="仿宋" w:eastAsia="仿宋" w:cs="仿宋"/>
          <w:sz w:val="30"/>
          <w:szCs w:val="30"/>
        </w:rPr>
        <w:t>”和“全国农业产业化龙头企业</w:t>
      </w:r>
      <w:r>
        <w:rPr>
          <w:rFonts w:ascii="仿宋" w:hAnsi="仿宋" w:eastAsia="仿宋" w:cs="仿宋"/>
          <w:sz w:val="30"/>
          <w:szCs w:val="30"/>
          <w:lang w:val="en-US"/>
        </w:rPr>
        <w:t>100</w:t>
      </w:r>
      <w:r>
        <w:rPr>
          <w:rFonts w:hint="eastAsia" w:ascii="仿宋" w:hAnsi="仿宋" w:eastAsia="仿宋" w:cs="仿宋"/>
          <w:sz w:val="30"/>
          <w:szCs w:val="30"/>
          <w:lang w:val="en-US"/>
        </w:rPr>
        <w:t>强</w:t>
      </w:r>
      <w:r>
        <w:rPr>
          <w:rFonts w:hint="eastAsia" w:ascii="仿宋" w:hAnsi="仿宋" w:eastAsia="仿宋" w:cs="仿宋"/>
          <w:sz w:val="30"/>
          <w:szCs w:val="30"/>
        </w:rPr>
        <w:t>”等国内外品牌企业，引进一批技术先进、带动力强、品牌影响大、有市场话语权的大企业大集团落户宜春。引导龙头企业向园区和优势产业集中，推进集群集聚发展，增强龙头企业辐射带动能力。引导龙头企业发挥产业组织优势，联手农民合作社、家庭农场组建联合体，实行产加销一体化经营。突出抓好家庭农场和农民合作社两类新型农业经营主体，发展壮大家庭农场，引导和鼓励具有生产规模、资金实力和专业特长的农村专业大户发展成为家庭农场，积极开展家庭农产品示范县和示范家庭农场创建。提升壮大农民合作社。深入开展以“运行规范化、生产标准化、经营品牌化、社员技能化、产品安全化”为主要内容的农民专业合作社“五化”创建活动。大力发展农民专业合作社联合社，打造一批大社强社。</w:t>
      </w:r>
    </w:p>
    <w:p>
      <w:pPr>
        <w:pStyle w:val="4"/>
        <w:spacing w:before="0" w:after="0" w:line="360" w:lineRule="auto"/>
        <w:ind w:firstLine="602" w:firstLineChars="200"/>
        <w:rPr>
          <w:rFonts w:ascii="仿宋" w:hAnsi="仿宋" w:eastAsia="仿宋" w:cs="Times New Roman"/>
          <w:sz w:val="30"/>
          <w:szCs w:val="30"/>
        </w:rPr>
      </w:pPr>
      <w:bookmarkStart w:id="117" w:name="_Toc96329923"/>
      <w:r>
        <w:rPr>
          <w:rFonts w:hint="eastAsia" w:ascii="仿宋" w:hAnsi="仿宋" w:eastAsia="仿宋" w:cs="仿宋"/>
          <w:sz w:val="30"/>
          <w:szCs w:val="30"/>
        </w:rPr>
        <w:t>二、健全农业社会化服务体系</w:t>
      </w:r>
      <w:bookmarkEnd w:id="117"/>
    </w:p>
    <w:p>
      <w:pPr>
        <w:pStyle w:val="6"/>
        <w:snapToGrid w:val="0"/>
        <w:spacing w:line="560" w:lineRule="exact"/>
        <w:ind w:left="0" w:firstLine="600" w:firstLineChars="200"/>
        <w:jc w:val="both"/>
        <w:rPr>
          <w:rFonts w:ascii="仿宋" w:hAnsi="仿宋" w:eastAsia="仿宋" w:cs="Times New Roman"/>
          <w:sz w:val="30"/>
          <w:szCs w:val="30"/>
        </w:rPr>
      </w:pPr>
      <w:r>
        <w:rPr>
          <w:rFonts w:hint="eastAsia" w:ascii="仿宋" w:hAnsi="仿宋" w:eastAsia="仿宋" w:cs="仿宋"/>
          <w:sz w:val="30"/>
          <w:szCs w:val="30"/>
        </w:rPr>
        <w:t>强化农业生产性服务业的支撑作用，做大做强一批具有一定综合实力的农业专业服务公司，将专业服务公司和服务型农民合作社作为社会化服务的骨干力量，推进其专业化、规模化，不断增强服务能力，拓展服务半径，构建以公共服务机构为依托、合作经济组织为基础、农业产业化龙头企业为骨干、其他社会力量为补充，公益性服务和经营性服务相结合、专项服务和综合服务相协调的新型农业服务体系，为生产经营主体提供产前、产中、产后全程服务。鼓励各类服务主体以资金、技术、服务等要素为纽带，加强联合合作，促进融合发展。推动服务主体与银行、保险、邮政等机构深度合作，实现优势互补、互利共赢。推进资源整合，探索建设多种类型的农业综合服务中心，围绕农业全产业链，提供集农资供应、技术集成、农机作业、仓储物流、农产品营销等服务于一体的农业生产经营综合解决方案。积极推进公益性、综合性农业公共服务组织发展，努力培育主体多元、竞争充分的农业生产社会化服务市场。到</w:t>
      </w:r>
      <w:r>
        <w:rPr>
          <w:rFonts w:ascii="仿宋" w:hAnsi="仿宋" w:eastAsia="仿宋" w:cs="仿宋"/>
          <w:sz w:val="30"/>
          <w:szCs w:val="30"/>
        </w:rPr>
        <w:t>2025</w:t>
      </w:r>
      <w:r>
        <w:rPr>
          <w:rFonts w:hint="eastAsia" w:ascii="仿宋" w:hAnsi="仿宋" w:eastAsia="仿宋" w:cs="仿宋"/>
          <w:sz w:val="30"/>
          <w:szCs w:val="30"/>
        </w:rPr>
        <w:t>年，全市农业社会化服务组织达到</w:t>
      </w:r>
      <w:r>
        <w:rPr>
          <w:rFonts w:ascii="仿宋" w:hAnsi="仿宋" w:eastAsia="仿宋" w:cs="仿宋"/>
          <w:sz w:val="30"/>
          <w:szCs w:val="30"/>
          <w:lang w:val="en-US"/>
        </w:rPr>
        <w:t>6000</w:t>
      </w:r>
      <w:r>
        <w:rPr>
          <w:rFonts w:hint="eastAsia" w:ascii="仿宋" w:hAnsi="仿宋" w:eastAsia="仿宋" w:cs="仿宋"/>
          <w:sz w:val="30"/>
          <w:szCs w:val="30"/>
        </w:rPr>
        <w:t>家以上。</w:t>
      </w:r>
    </w:p>
    <w:p>
      <w:pPr>
        <w:pStyle w:val="4"/>
        <w:spacing w:before="0" w:after="0" w:line="360" w:lineRule="auto"/>
        <w:ind w:firstLine="602" w:firstLineChars="200"/>
        <w:rPr>
          <w:rFonts w:ascii="仿宋" w:hAnsi="仿宋" w:eastAsia="仿宋" w:cs="Times New Roman"/>
          <w:sz w:val="30"/>
          <w:szCs w:val="30"/>
        </w:rPr>
      </w:pPr>
      <w:bookmarkStart w:id="118" w:name="_Toc96329924"/>
      <w:r>
        <w:rPr>
          <w:rFonts w:hint="eastAsia" w:ascii="仿宋" w:hAnsi="仿宋" w:eastAsia="仿宋" w:cs="仿宋"/>
          <w:sz w:val="30"/>
          <w:szCs w:val="30"/>
        </w:rPr>
        <w:t>三、发展壮大村集体经济</w:t>
      </w:r>
      <w:bookmarkEnd w:id="118"/>
    </w:p>
    <w:p>
      <w:pPr>
        <w:pStyle w:val="9"/>
        <w:numPr>
          <w:ilvl w:val="255"/>
          <w:numId w:val="0"/>
        </w:numPr>
        <w:ind w:firstLine="600" w:firstLineChars="200"/>
        <w:rPr>
          <w:rFonts w:cs="Times New Roman"/>
        </w:rPr>
      </w:pPr>
      <w:r>
        <w:rPr>
          <w:rFonts w:hint="eastAsia" w:cs="仿宋"/>
        </w:rPr>
        <w:t>推进集体经济全面提标升级，编制发展村级集体经济的总体规划，制定发展壮大村级集体经济“攻坚计划”。因地制宜，分类发展，各个村根据区位、资源等不同实际，充分挖掘各自优势，发展与之相适宜的集体经济。对于地处城镇中心和城郊结合部的村，要围绕服务产业创办物管公司、家政公司，建设交易市场、车库泊位等，从物业经济中增加集体经济收入。对于有资产有资源、自然条件好的村，要依托自然风光、乡土文化、生态资源等优势，结合“特色小镇”“秀美乡村”建设，开办乡村旅游公司、乡村旅馆、农家乐等项目，做大做强休闲农业和乡村旅游，增加村集体资源开发收入和经营服务收入。对于农业基础好，特别是高标准农田建设区域，要通过土地流转或土地股份合作方式，引进新型经营主体和经营稳健的工商企业，增加设施农业投入，发展优质高效农业。对无资源、无资产、无产业等各方面条件有限的村，各地要探索强村带弱村、村企联手共建、政府定点帮扶、扶贫开发等形式，壮大村级经济实力。</w:t>
      </w:r>
      <w:r>
        <w:rPr>
          <w:rFonts w:hint="eastAsia" w:ascii="仿宋" w:hAnsi="仿宋" w:cs="仿宋"/>
        </w:rPr>
        <w:t>积极实施城乡建设用地增减挂钩试点和农村土地整治，增加建设用地周转指标，将其土地出让收益主要用于农业农村；新增耕地占补平衡指标交易收益，按一定比例奖励给该农村集体经济组织；健全农民集体土地补偿分配制度，征收土地补偿费在不低于</w:t>
      </w:r>
      <w:r>
        <w:rPr>
          <w:rFonts w:ascii="仿宋" w:hAnsi="仿宋" w:cs="仿宋"/>
        </w:rPr>
        <w:t>80%</w:t>
      </w:r>
      <w:r>
        <w:rPr>
          <w:rFonts w:hint="eastAsia" w:ascii="仿宋" w:hAnsi="仿宋" w:cs="仿宋"/>
        </w:rPr>
        <w:t>分配给被征地农民后，经集体讨论同意后可留作村集体经济组织，用于壮大集体经济。</w:t>
      </w:r>
    </w:p>
    <w:p>
      <w:pPr>
        <w:pStyle w:val="4"/>
        <w:spacing w:before="0" w:after="0" w:line="360" w:lineRule="auto"/>
        <w:ind w:firstLine="602" w:firstLineChars="200"/>
        <w:rPr>
          <w:rFonts w:ascii="仿宋" w:hAnsi="仿宋" w:eastAsia="仿宋" w:cs="Times New Roman"/>
          <w:sz w:val="30"/>
          <w:szCs w:val="30"/>
        </w:rPr>
      </w:pPr>
      <w:bookmarkStart w:id="119" w:name="_Toc96329925"/>
      <w:r>
        <w:rPr>
          <w:rFonts w:hint="eastAsia" w:ascii="仿宋" w:hAnsi="仿宋" w:eastAsia="仿宋" w:cs="仿宋"/>
          <w:sz w:val="30"/>
          <w:szCs w:val="30"/>
        </w:rPr>
        <w:t>四、促进小农户与现代农业有机衔接</w:t>
      </w:r>
      <w:bookmarkEnd w:id="119"/>
    </w:p>
    <w:p>
      <w:pPr>
        <w:pStyle w:val="6"/>
        <w:snapToGrid w:val="0"/>
        <w:spacing w:line="560" w:lineRule="exact"/>
        <w:ind w:left="0" w:firstLine="600" w:firstLineChars="200"/>
        <w:jc w:val="both"/>
        <w:rPr>
          <w:rFonts w:ascii="仿宋" w:hAnsi="仿宋" w:eastAsia="仿宋" w:cs="Times New Roman"/>
          <w:sz w:val="30"/>
          <w:szCs w:val="30"/>
        </w:rPr>
      </w:pPr>
      <w:r>
        <w:rPr>
          <w:rFonts w:hint="eastAsia" w:ascii="仿宋" w:hAnsi="仿宋" w:eastAsia="仿宋" w:cs="仿宋"/>
          <w:sz w:val="30"/>
          <w:szCs w:val="30"/>
        </w:rPr>
        <w:t>鼓励小农户参与农业产业化联合体和农民专业合作社联合社，建立完善利益联结机制，带动小农户共同发展。探索联合体成员间相互入股、组建新主体等新型联结方式，实现更紧密的联结关系。引导农户以土地经营权、林权、资金、设施设备等入股农民专业合作社、农业企业，探索“保底收入</w:t>
      </w:r>
      <w:r>
        <w:rPr>
          <w:rFonts w:ascii="仿宋" w:hAnsi="仿宋" w:eastAsia="仿宋" w:cs="仿宋"/>
          <w:sz w:val="30"/>
          <w:szCs w:val="30"/>
        </w:rPr>
        <w:t>+</w:t>
      </w:r>
      <w:r>
        <w:rPr>
          <w:rFonts w:hint="eastAsia" w:ascii="仿宋" w:hAnsi="仿宋" w:eastAsia="仿宋" w:cs="仿宋"/>
          <w:sz w:val="30"/>
          <w:szCs w:val="30"/>
        </w:rPr>
        <w:t>股份分红”等农民负盈不负亏的利益分配机制。遵循市场经济规律，妥善处理好联合体各成员之间、普通农户之间的利益分配关系。加强订单合同履约监督，建立诚信促进机制，对失信者及时向社会曝光。强化龙头企业联农带农激励机制，探索将相关扶持政策与龙头企业带动能力适当挂钩。</w:t>
      </w:r>
    </w:p>
    <w:p>
      <w:pPr>
        <w:rPr>
          <w:rFonts w:cs="Times New Roman"/>
        </w:rPr>
      </w:pPr>
    </w:p>
    <w:tbl>
      <w:tblPr>
        <w:tblStyle w:val="16"/>
        <w:tblW w:w="0" w:type="auto"/>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1" w:type="dxa"/>
            <w:noWrap/>
          </w:tcPr>
          <w:p>
            <w:pPr>
              <w:spacing w:line="500" w:lineRule="exact"/>
              <w:ind w:firstLine="562" w:firstLineChars="200"/>
              <w:jc w:val="center"/>
              <w:rPr>
                <w:rFonts w:ascii="黑体" w:hAnsi="黑体" w:eastAsia="黑体" w:cs="Times New Roman"/>
                <w:b/>
                <w:bCs/>
                <w:kern w:val="0"/>
                <w:sz w:val="28"/>
                <w:szCs w:val="28"/>
              </w:rPr>
            </w:pPr>
            <w:bookmarkStart w:id="120" w:name="_Toc68875703"/>
            <w:r>
              <w:rPr>
                <w:rFonts w:hint="eastAsia" w:ascii="黑体" w:hAnsi="黑体" w:eastAsia="黑体" w:cs="黑体"/>
                <w:b/>
                <w:bCs/>
                <w:kern w:val="0"/>
                <w:sz w:val="28"/>
                <w:szCs w:val="28"/>
              </w:rPr>
              <w:t>专栏</w:t>
            </w:r>
            <w:r>
              <w:rPr>
                <w:rFonts w:ascii="黑体" w:hAnsi="黑体" w:eastAsia="黑体" w:cs="黑体"/>
                <w:b/>
                <w:bCs/>
                <w:kern w:val="0"/>
                <w:sz w:val="28"/>
                <w:szCs w:val="28"/>
              </w:rPr>
              <w:t xml:space="preserve">7  </w:t>
            </w:r>
            <w:r>
              <w:rPr>
                <w:rFonts w:hint="eastAsia" w:ascii="黑体" w:hAnsi="黑体" w:eastAsia="黑体" w:cs="黑体"/>
                <w:b/>
                <w:bCs/>
                <w:kern w:val="0"/>
                <w:sz w:val="28"/>
                <w:szCs w:val="28"/>
              </w:rPr>
              <w:t>现代农业经营体系构建工程</w:t>
            </w:r>
            <w:bookmarkEnd w:id="120"/>
          </w:p>
          <w:p>
            <w:pPr>
              <w:numPr>
                <w:ilvl w:val="0"/>
                <w:numId w:val="2"/>
              </w:numPr>
              <w:spacing w:line="500" w:lineRule="exact"/>
              <w:ind w:firstLine="562" w:firstLineChars="200"/>
              <w:rPr>
                <w:rFonts w:ascii="楷体" w:hAnsi="楷体" w:eastAsia="楷体" w:cs="Times New Roman"/>
                <w:b/>
                <w:bCs/>
                <w:sz w:val="28"/>
                <w:szCs w:val="28"/>
              </w:rPr>
            </w:pPr>
            <w:r>
              <w:rPr>
                <w:rFonts w:hint="eastAsia" w:ascii="楷体" w:hAnsi="楷体" w:eastAsia="楷体" w:cs="楷体"/>
                <w:b/>
                <w:bCs/>
                <w:sz w:val="28"/>
                <w:szCs w:val="28"/>
              </w:rPr>
              <w:t>龙头企业培育工程</w:t>
            </w:r>
          </w:p>
          <w:p>
            <w:pPr>
              <w:spacing w:line="500" w:lineRule="exact"/>
              <w:ind w:firstLine="560" w:firstLineChars="200"/>
              <w:rPr>
                <w:rFonts w:ascii="楷体" w:hAnsi="楷体" w:eastAsia="楷体" w:cs="Times New Roman"/>
                <w:sz w:val="28"/>
                <w:szCs w:val="28"/>
              </w:rPr>
            </w:pPr>
            <w:r>
              <w:rPr>
                <w:rFonts w:hint="eastAsia" w:ascii="楷体" w:hAnsi="楷体" w:eastAsia="楷体" w:cs="楷体"/>
                <w:sz w:val="28"/>
                <w:szCs w:val="28"/>
              </w:rPr>
              <w:t>在粮食、油茶、中药材、禽蛋、茶叶、肉牛、水果、蔬菜、竹笋等产业中各选择</w:t>
            </w:r>
            <w:r>
              <w:rPr>
                <w:rFonts w:ascii="楷体" w:hAnsi="楷体" w:eastAsia="楷体" w:cs="楷体"/>
                <w:sz w:val="28"/>
                <w:szCs w:val="28"/>
              </w:rPr>
              <w:t>2-3</w:t>
            </w:r>
            <w:r>
              <w:rPr>
                <w:rFonts w:hint="eastAsia" w:ascii="楷体" w:hAnsi="楷体" w:eastAsia="楷体" w:cs="楷体"/>
                <w:sz w:val="28"/>
                <w:szCs w:val="28"/>
              </w:rPr>
              <w:t>家规模大、有潜力的加工企业培育壮大成为产业龙头；加大招商引资力度，引导本土企业靠大联强，力争每年引进亿元以上项目</w:t>
            </w:r>
            <w:r>
              <w:rPr>
                <w:rFonts w:ascii="楷体" w:hAnsi="楷体" w:eastAsia="楷体" w:cs="楷体"/>
                <w:sz w:val="28"/>
                <w:szCs w:val="28"/>
              </w:rPr>
              <w:t>5</w:t>
            </w:r>
            <w:r>
              <w:rPr>
                <w:rFonts w:hint="eastAsia" w:ascii="楷体" w:hAnsi="楷体" w:eastAsia="楷体" w:cs="楷体"/>
                <w:sz w:val="28"/>
                <w:szCs w:val="28"/>
              </w:rPr>
              <w:t>个；瞄准行业龙头，加大“互联网</w:t>
            </w:r>
            <w:r>
              <w:rPr>
                <w:rFonts w:ascii="楷体" w:hAnsi="楷体" w:eastAsia="楷体" w:cs="楷体"/>
                <w:sz w:val="28"/>
                <w:szCs w:val="28"/>
              </w:rPr>
              <w:t>+</w:t>
            </w:r>
            <w:r>
              <w:rPr>
                <w:rFonts w:hint="eastAsia" w:ascii="楷体" w:hAnsi="楷体" w:eastAsia="楷体" w:cs="楷体"/>
                <w:sz w:val="28"/>
                <w:szCs w:val="28"/>
              </w:rPr>
              <w:t>”大龙头企业引进力度，加快促进与宜春市富硒绿色有机产业融合发展；加大龙头企业关键技术研发，提升产业加工能力、水平，延伸产业链条。</w:t>
            </w:r>
          </w:p>
          <w:p>
            <w:pPr>
              <w:spacing w:line="500" w:lineRule="exact"/>
              <w:ind w:firstLine="562" w:firstLineChars="200"/>
              <w:rPr>
                <w:rFonts w:ascii="楷体" w:hAnsi="楷体" w:eastAsia="楷体" w:cs="Times New Roman"/>
                <w:b/>
                <w:bCs/>
                <w:sz w:val="28"/>
                <w:szCs w:val="28"/>
              </w:rPr>
            </w:pPr>
            <w:r>
              <w:rPr>
                <w:rFonts w:hint="eastAsia" w:ascii="楷体" w:hAnsi="楷体" w:eastAsia="楷体" w:cs="楷体"/>
                <w:b/>
                <w:bCs/>
                <w:sz w:val="28"/>
                <w:szCs w:val="28"/>
              </w:rPr>
              <w:t>（二）农民合作社质量提升工程</w:t>
            </w:r>
          </w:p>
          <w:p>
            <w:pPr>
              <w:spacing w:line="500" w:lineRule="exact"/>
              <w:ind w:firstLine="560" w:firstLineChars="200"/>
              <w:rPr>
                <w:rFonts w:ascii="楷体" w:hAnsi="楷体" w:eastAsia="楷体" w:cs="Times New Roman"/>
                <w:sz w:val="28"/>
                <w:szCs w:val="28"/>
              </w:rPr>
            </w:pPr>
            <w:r>
              <w:rPr>
                <w:rFonts w:hint="eastAsia" w:ascii="楷体" w:hAnsi="楷体" w:eastAsia="楷体" w:cs="楷体"/>
                <w:sz w:val="28"/>
                <w:szCs w:val="28"/>
              </w:rPr>
              <w:t>积极支持引导农民合作社之间开展联合与合作，组建合作社联社；鼓励农民兴办专业合作和股份合作等多元化、多类型合作社，提高合作社规范化水平，到</w:t>
            </w:r>
            <w:r>
              <w:rPr>
                <w:rFonts w:ascii="楷体" w:hAnsi="楷体" w:eastAsia="楷体" w:cs="楷体"/>
                <w:sz w:val="28"/>
                <w:szCs w:val="28"/>
              </w:rPr>
              <w:t>2025</w:t>
            </w:r>
            <w:r>
              <w:rPr>
                <w:rFonts w:hint="eastAsia" w:ascii="楷体" w:hAnsi="楷体" w:eastAsia="楷体" w:cs="楷体"/>
                <w:sz w:val="28"/>
                <w:szCs w:val="28"/>
              </w:rPr>
              <w:t>年，农民合作社规范运行水平大幅提高，全市农民合作社达到</w:t>
            </w:r>
            <w:r>
              <w:rPr>
                <w:rFonts w:ascii="楷体" w:hAnsi="楷体" w:eastAsia="楷体" w:cs="楷体"/>
                <w:sz w:val="28"/>
                <w:szCs w:val="28"/>
              </w:rPr>
              <w:t>10000</w:t>
            </w:r>
            <w:r>
              <w:rPr>
                <w:rFonts w:hint="eastAsia" w:ascii="楷体" w:hAnsi="楷体" w:eastAsia="楷体" w:cs="楷体"/>
                <w:sz w:val="28"/>
                <w:szCs w:val="28"/>
              </w:rPr>
              <w:t>家，其中国家级示范社</w:t>
            </w:r>
            <w:r>
              <w:rPr>
                <w:rFonts w:ascii="楷体" w:hAnsi="楷体" w:eastAsia="楷体" w:cs="楷体"/>
                <w:sz w:val="28"/>
                <w:szCs w:val="28"/>
              </w:rPr>
              <w:t>60</w:t>
            </w:r>
            <w:r>
              <w:rPr>
                <w:rFonts w:hint="eastAsia" w:ascii="楷体" w:hAnsi="楷体" w:eastAsia="楷体" w:cs="楷体"/>
                <w:sz w:val="28"/>
                <w:szCs w:val="28"/>
              </w:rPr>
              <w:t>家，省级示范社</w:t>
            </w:r>
            <w:r>
              <w:rPr>
                <w:rFonts w:ascii="楷体" w:hAnsi="楷体" w:eastAsia="楷体" w:cs="楷体"/>
                <w:sz w:val="28"/>
                <w:szCs w:val="28"/>
              </w:rPr>
              <w:t>180</w:t>
            </w:r>
            <w:r>
              <w:rPr>
                <w:rFonts w:hint="eastAsia" w:ascii="楷体" w:hAnsi="楷体" w:eastAsia="楷体" w:cs="楷体"/>
                <w:sz w:val="28"/>
                <w:szCs w:val="28"/>
              </w:rPr>
              <w:t>家，市级示范社</w:t>
            </w:r>
            <w:r>
              <w:rPr>
                <w:rFonts w:ascii="楷体" w:hAnsi="楷体" w:eastAsia="楷体" w:cs="楷体"/>
                <w:sz w:val="28"/>
                <w:szCs w:val="28"/>
              </w:rPr>
              <w:t>600</w:t>
            </w:r>
            <w:r>
              <w:rPr>
                <w:rFonts w:hint="eastAsia" w:ascii="楷体" w:hAnsi="楷体" w:eastAsia="楷体" w:cs="楷体"/>
                <w:sz w:val="28"/>
                <w:szCs w:val="28"/>
              </w:rPr>
              <w:t>家。</w:t>
            </w:r>
          </w:p>
          <w:p>
            <w:pPr>
              <w:spacing w:line="500" w:lineRule="exact"/>
              <w:ind w:firstLine="562" w:firstLineChars="200"/>
              <w:rPr>
                <w:rFonts w:ascii="楷体" w:hAnsi="楷体" w:eastAsia="楷体" w:cs="Times New Roman"/>
                <w:b/>
                <w:bCs/>
                <w:sz w:val="28"/>
                <w:szCs w:val="28"/>
              </w:rPr>
            </w:pPr>
            <w:r>
              <w:rPr>
                <w:rFonts w:hint="eastAsia" w:ascii="楷体" w:hAnsi="楷体" w:eastAsia="楷体" w:cs="楷体"/>
                <w:b/>
                <w:bCs/>
                <w:sz w:val="28"/>
                <w:szCs w:val="28"/>
              </w:rPr>
              <w:t>（三）农业经营性社会化服务组织示范试点工程</w:t>
            </w:r>
          </w:p>
          <w:p>
            <w:pPr>
              <w:spacing w:line="500" w:lineRule="exact"/>
              <w:ind w:firstLine="560" w:firstLineChars="200"/>
              <w:rPr>
                <w:rFonts w:ascii="楷体" w:hAnsi="楷体" w:eastAsia="楷体" w:cs="Times New Roman"/>
                <w:sz w:val="28"/>
                <w:szCs w:val="28"/>
              </w:rPr>
            </w:pPr>
            <w:r>
              <w:rPr>
                <w:rFonts w:hint="eastAsia" w:ascii="楷体" w:hAnsi="楷体" w:eastAsia="楷体" w:cs="楷体"/>
                <w:sz w:val="28"/>
                <w:szCs w:val="28"/>
              </w:rPr>
              <w:t>建设区域性农业社会化服务综合平台，推动政府向经营性服务组织购买农业公益性服务机制创新试点。</w:t>
            </w:r>
          </w:p>
          <w:p>
            <w:pPr>
              <w:spacing w:line="500" w:lineRule="exact"/>
              <w:ind w:firstLine="562" w:firstLineChars="200"/>
              <w:rPr>
                <w:rFonts w:ascii="楷体" w:hAnsi="楷体" w:eastAsia="楷体" w:cs="Times New Roman"/>
                <w:b/>
                <w:bCs/>
                <w:sz w:val="28"/>
                <w:szCs w:val="28"/>
              </w:rPr>
            </w:pPr>
            <w:r>
              <w:rPr>
                <w:rFonts w:hint="eastAsia" w:ascii="楷体" w:hAnsi="楷体" w:eastAsia="楷体" w:cs="楷体"/>
                <w:b/>
                <w:bCs/>
                <w:sz w:val="28"/>
                <w:szCs w:val="28"/>
              </w:rPr>
              <w:t>（四）农业生产托管发展工程</w:t>
            </w:r>
          </w:p>
          <w:p>
            <w:pPr>
              <w:spacing w:line="500" w:lineRule="exact"/>
              <w:ind w:firstLine="420" w:firstLineChars="200"/>
              <w:rPr>
                <w:rFonts w:ascii="楷体" w:hAnsi="楷体" w:eastAsia="楷体" w:cs="Times New Roman"/>
                <w:sz w:val="28"/>
                <w:szCs w:val="28"/>
              </w:rPr>
            </w:pPr>
            <w:r>
              <w:fldChar w:fldCharType="begin"/>
            </w:r>
            <w:r>
              <w:instrText xml:space="preserve"> HYPERLINK "https://www.so.com/link?m=bXnRQDTebnd1XCyEklp7ucV5zfWqUBSk2OTfeEw8Dlxk4QCtWvibI5qlzRBN+sI0H9uLpgjVolG2kNXBNLgayAYQ7SXrhJCERUWB7Gx8/KKFAL5OD0Lal886oU+8kodqK56OxpfT5MPnR+JdzruVUqTSp1IzyEG8Dyw8GU4nPHnF3hCNt5CCEB8XCM0O2VqEY3LJKoUb/Pmnhp+6g2eKsQoE+8n+IatGrKd8rPDDAu/Jvo6UW8sGdc1nuuTjlXxQ6Waa2jvGH//5xPYAJ+l99+uca6/2scg9+wu3pbu7IIxZCC3YWBfMU6KUFjgQdAuCvYvQj6pr4mBcyKcGp35O2O4Hr51v1Zr9KdGDE3+10N2FMxKClTtSLZpRgc1qKSypjqssGfO0/OljY9XYTyi+hJE7x/rA=" \t "https://www.so.com/_blank" </w:instrText>
            </w:r>
            <w:r>
              <w:fldChar w:fldCharType="separate"/>
            </w:r>
            <w:r>
              <w:rPr>
                <w:rFonts w:hint="eastAsia" w:ascii="楷体" w:hAnsi="楷体" w:eastAsia="楷体" w:cs="楷体"/>
                <w:sz w:val="28"/>
                <w:szCs w:val="28"/>
              </w:rPr>
              <w:t>积极推广农业生产托管为主的社会化服务模式</w:t>
            </w:r>
            <w:r>
              <w:rPr>
                <w:rFonts w:hint="eastAsia" w:ascii="楷体" w:hAnsi="楷体" w:eastAsia="楷体" w:cs="楷体"/>
                <w:sz w:val="28"/>
                <w:szCs w:val="28"/>
              </w:rPr>
              <w:fldChar w:fldCharType="end"/>
            </w:r>
            <w:r>
              <w:rPr>
                <w:rFonts w:hint="eastAsia" w:ascii="楷体" w:hAnsi="楷体" w:eastAsia="楷体" w:cs="楷体"/>
                <w:sz w:val="28"/>
                <w:szCs w:val="28"/>
              </w:rPr>
              <w:t>，鼓励农业社会化服务组织开展包括代耕代种代防代收、集中育秧、仓储烘干、冷藏保鲜、冷链运输、加工营销等托管服务。</w:t>
            </w:r>
            <w:r>
              <w:fldChar w:fldCharType="begin"/>
            </w:r>
            <w:r>
              <w:instrText xml:space="preserve"> HYPERLINK "https://www.so.com/link?m=be5Ggyy0eubcpIGBxP1xWuRT/PsMi9bEiB1hkfnn4nbue9lTumEhkhyBO4M89iK88w4c9AnVpg8/vXyK51mkv8kzCtPTdP+0pI3tq4jBH7EkXr6tviq7SS1qTzASYj0etHwUnGqb8PFHTERD19IF2gJwJK5JQ/yHBhEL8rrdJ2K8wFQqrtrWCukZF0MaajbWYKcAVv4kdtJXYz0ZS0dFLmT8jv8zDouKB7aFR0A+aQ8RXyi9keo1gir0Sd64dc1SbzdJ1qULYZTcUcB+vE5j6xYyvqnKRMOX5pqWxmReLp7WWzEgT398ZtpQHTOB3fsh0ytLf9IVkoWXc/LM+Z8wcGSG7W3dWCLXOfoh+MyGdcDxBW47Tauhj/8qiH4gVX0WXreJi/5/Ku9saqgpjrwDlUw5Z1GWZ1sTF" \t "https://www.so.com/_blank" </w:instrText>
            </w:r>
            <w:r>
              <w:fldChar w:fldCharType="separate"/>
            </w:r>
            <w:r>
              <w:rPr>
                <w:rFonts w:hint="eastAsia" w:ascii="楷体" w:hAnsi="楷体" w:eastAsia="楷体" w:cs="楷体"/>
                <w:sz w:val="28"/>
                <w:szCs w:val="28"/>
              </w:rPr>
              <w:t>大力推广面向小农户的农业生产托管</w:t>
            </w:r>
            <w:r>
              <w:rPr>
                <w:rFonts w:hint="eastAsia" w:ascii="楷体" w:hAnsi="楷体" w:eastAsia="楷体" w:cs="楷体"/>
                <w:sz w:val="28"/>
                <w:szCs w:val="28"/>
              </w:rPr>
              <w:fldChar w:fldCharType="end"/>
            </w:r>
            <w:r>
              <w:rPr>
                <w:rFonts w:hint="eastAsia" w:ascii="楷体" w:hAnsi="楷体" w:eastAsia="楷体" w:cs="楷体"/>
                <w:sz w:val="28"/>
                <w:szCs w:val="28"/>
              </w:rPr>
              <w:t>，不断提升生产托管对小农户服务的覆盖率。</w:t>
            </w:r>
          </w:p>
          <w:p>
            <w:pPr>
              <w:spacing w:line="500" w:lineRule="exact"/>
              <w:ind w:firstLine="562" w:firstLineChars="200"/>
              <w:rPr>
                <w:rFonts w:ascii="楷体" w:hAnsi="楷体" w:eastAsia="楷体" w:cs="Times New Roman"/>
                <w:b/>
                <w:bCs/>
                <w:sz w:val="28"/>
                <w:szCs w:val="28"/>
              </w:rPr>
            </w:pPr>
            <w:r>
              <w:rPr>
                <w:rFonts w:hint="eastAsia" w:ascii="楷体" w:hAnsi="楷体" w:eastAsia="楷体" w:cs="楷体"/>
                <w:b/>
                <w:bCs/>
                <w:sz w:val="28"/>
                <w:szCs w:val="28"/>
              </w:rPr>
              <w:t>（五）新一轮农垦改革发展工程</w:t>
            </w:r>
          </w:p>
          <w:p>
            <w:pPr>
              <w:spacing w:line="500" w:lineRule="exact"/>
              <w:ind w:firstLine="560" w:firstLineChars="200"/>
              <w:rPr>
                <w:rFonts w:cs="Times New Roman"/>
              </w:rPr>
            </w:pPr>
            <w:r>
              <w:rPr>
                <w:rFonts w:hint="eastAsia" w:ascii="楷体" w:hAnsi="楷体" w:eastAsia="楷体" w:cs="楷体"/>
                <w:sz w:val="28"/>
                <w:szCs w:val="28"/>
              </w:rPr>
              <w:t>加快推进垦区集团化、</w:t>
            </w:r>
            <w:r>
              <w:fldChar w:fldCharType="begin"/>
            </w:r>
            <w:r>
              <w:instrText xml:space="preserve"> HYPERLINK "https://www.tuliu.com/gongying/nongchang/" </w:instrText>
            </w:r>
            <w:r>
              <w:fldChar w:fldCharType="separate"/>
            </w:r>
            <w:r>
              <w:rPr>
                <w:rFonts w:hint="eastAsia" w:ascii="楷体" w:hAnsi="楷体" w:eastAsia="楷体" w:cs="楷体"/>
                <w:sz w:val="28"/>
                <w:szCs w:val="28"/>
              </w:rPr>
              <w:t>农场</w:t>
            </w:r>
            <w:r>
              <w:rPr>
                <w:rFonts w:hint="eastAsia" w:ascii="楷体" w:hAnsi="楷体" w:eastAsia="楷体" w:cs="楷体"/>
                <w:sz w:val="28"/>
                <w:szCs w:val="28"/>
              </w:rPr>
              <w:fldChar w:fldCharType="end"/>
            </w:r>
            <w:r>
              <w:rPr>
                <w:rFonts w:hint="eastAsia" w:ascii="楷体" w:hAnsi="楷体" w:eastAsia="楷体" w:cs="楷体"/>
                <w:sz w:val="28"/>
                <w:szCs w:val="28"/>
              </w:rPr>
              <w:t>企业化改革，积极探索资源变资产、资产变资本、资本变股本的有效路径，推动资源资产整合、产业优化升级，建设现代农业的大基地、大园区、大企业、大产业，全面增强农垦内生动力、发展活力、整体实力。到</w:t>
            </w:r>
            <w:r>
              <w:rPr>
                <w:rFonts w:ascii="楷体" w:hAnsi="楷体" w:eastAsia="楷体" w:cs="楷体"/>
                <w:sz w:val="28"/>
                <w:szCs w:val="28"/>
              </w:rPr>
              <w:t>2025</w:t>
            </w:r>
            <w:r>
              <w:rPr>
                <w:rFonts w:hint="eastAsia" w:ascii="楷体" w:hAnsi="楷体" w:eastAsia="楷体" w:cs="楷体"/>
                <w:sz w:val="28"/>
                <w:szCs w:val="28"/>
              </w:rPr>
              <w:t>年，打造</w:t>
            </w:r>
            <w:r>
              <w:rPr>
                <w:rFonts w:ascii="楷体" w:hAnsi="楷体" w:eastAsia="楷体" w:cs="楷体"/>
                <w:sz w:val="28"/>
                <w:szCs w:val="28"/>
              </w:rPr>
              <w:t>1-2</w:t>
            </w:r>
            <w:r>
              <w:rPr>
                <w:rFonts w:hint="eastAsia" w:ascii="楷体" w:hAnsi="楷体" w:eastAsia="楷体" w:cs="楷体"/>
                <w:sz w:val="28"/>
                <w:szCs w:val="28"/>
              </w:rPr>
              <w:t>个在省内、国内具有竞争力的现代农垦企业集团，建成一批稳定可靠的大型粮食、畜禽、水产、种子、茶叶、蔬菜、油料、水果等绿色有机农产品生产加工基地。</w:t>
            </w:r>
          </w:p>
        </w:tc>
      </w:tr>
    </w:tbl>
    <w:p>
      <w:pPr>
        <w:pStyle w:val="3"/>
        <w:keepNext w:val="0"/>
        <w:keepLines w:val="0"/>
        <w:pageBreakBefore/>
        <w:jc w:val="center"/>
        <w:rPr>
          <w:rFonts w:ascii="黑体" w:hAnsi="黑体" w:eastAsia="黑体" w:cs="Times New Roman"/>
          <w:sz w:val="30"/>
          <w:szCs w:val="30"/>
        </w:rPr>
      </w:pPr>
      <w:bookmarkStart w:id="121" w:name="_Toc77925789"/>
      <w:bookmarkStart w:id="122" w:name="_Toc96329926"/>
      <w:bookmarkStart w:id="123" w:name="_Toc77925790"/>
      <w:bookmarkStart w:id="124" w:name="_Toc77520225"/>
      <w:r>
        <w:rPr>
          <w:rFonts w:hint="eastAsia" w:ascii="黑体" w:hAnsi="黑体" w:eastAsia="黑体" w:cs="黑体"/>
          <w:sz w:val="30"/>
          <w:szCs w:val="30"/>
        </w:rPr>
        <w:t>第五章</w:t>
      </w:r>
      <w:r>
        <w:rPr>
          <w:rFonts w:ascii="黑体" w:hAnsi="黑体" w:eastAsia="黑体" w:cs="黑体"/>
          <w:sz w:val="30"/>
          <w:szCs w:val="30"/>
        </w:rPr>
        <w:t xml:space="preserve"> </w:t>
      </w:r>
      <w:r>
        <w:rPr>
          <w:rFonts w:hint="eastAsia" w:ascii="黑体" w:hAnsi="黑体" w:eastAsia="黑体" w:cs="黑体"/>
          <w:sz w:val="30"/>
          <w:szCs w:val="30"/>
        </w:rPr>
        <w:t>构建</w:t>
      </w:r>
      <w:r>
        <w:rPr>
          <w:rFonts w:ascii="黑体" w:hAnsi="黑体" w:eastAsia="黑体" w:cs="黑体"/>
          <w:sz w:val="30"/>
          <w:szCs w:val="30"/>
        </w:rPr>
        <w:t>?</w:t>
      </w:r>
      <w:r>
        <w:rPr>
          <w:rFonts w:hint="eastAsia" w:ascii="黑体" w:hAnsi="黑体" w:eastAsia="黑体" w:cs="黑体"/>
          <w:sz w:val="30"/>
          <w:szCs w:val="30"/>
        </w:rPr>
        <w:t>°质量安全</w:t>
      </w:r>
      <w:r>
        <w:rPr>
          <w:rFonts w:ascii="黑体" w:hAnsi="黑体" w:eastAsia="黑体" w:cs="黑体"/>
          <w:sz w:val="30"/>
          <w:szCs w:val="30"/>
        </w:rPr>
        <w:t xml:space="preserve"> </w:t>
      </w:r>
      <w:r>
        <w:rPr>
          <w:rFonts w:hint="eastAsia" w:ascii="黑体" w:hAnsi="黑体" w:eastAsia="黑体" w:cs="黑体"/>
          <w:sz w:val="30"/>
          <w:szCs w:val="30"/>
        </w:rPr>
        <w:t>生态良好</w:t>
      </w:r>
      <w:r>
        <w:rPr>
          <w:rFonts w:ascii="黑体" w:hAnsi="黑体" w:eastAsia="黑体" w:cs="黑体"/>
          <w:sz w:val="30"/>
          <w:szCs w:val="30"/>
        </w:rPr>
        <w:t>?</w:t>
      </w:r>
      <w:r>
        <w:rPr>
          <w:rFonts w:hint="eastAsia" w:ascii="黑体" w:hAnsi="黑体" w:eastAsia="黑体" w:cs="黑体"/>
          <w:sz w:val="30"/>
          <w:szCs w:val="30"/>
        </w:rPr>
        <w:t>±的农村生态文明体系</w:t>
      </w:r>
      <w:bookmarkEnd w:id="121"/>
      <w:bookmarkEnd w:id="122"/>
    </w:p>
    <w:p>
      <w:pPr>
        <w:pStyle w:val="2"/>
        <w:jc w:val="center"/>
        <w:rPr>
          <w:rFonts w:ascii="黑体" w:hAnsi="黑体" w:eastAsia="黑体" w:cs="Times New Roman"/>
          <w:sz w:val="30"/>
          <w:szCs w:val="30"/>
        </w:rPr>
      </w:pPr>
      <w:bookmarkStart w:id="125" w:name="_Toc96329927"/>
      <w:r>
        <w:rPr>
          <w:rFonts w:hint="eastAsia" w:ascii="黑体" w:hAnsi="黑体" w:eastAsia="黑体" w:cs="黑体"/>
          <w:sz w:val="30"/>
          <w:szCs w:val="30"/>
        </w:rPr>
        <w:t>第一节</w:t>
      </w:r>
      <w:r>
        <w:rPr>
          <w:rFonts w:ascii="黑体" w:hAnsi="黑体" w:eastAsia="黑体" w:cs="黑体"/>
          <w:sz w:val="30"/>
          <w:szCs w:val="30"/>
        </w:rPr>
        <w:t xml:space="preserve"> </w:t>
      </w:r>
      <w:r>
        <w:rPr>
          <w:rFonts w:hint="eastAsia" w:ascii="黑体" w:hAnsi="黑体" w:eastAsia="黑体" w:cs="黑体"/>
          <w:sz w:val="30"/>
          <w:szCs w:val="30"/>
        </w:rPr>
        <w:t>严格保护生态环境</w:t>
      </w:r>
      <w:bookmarkEnd w:id="123"/>
      <w:bookmarkEnd w:id="124"/>
      <w:bookmarkEnd w:id="125"/>
    </w:p>
    <w:p>
      <w:pPr>
        <w:pStyle w:val="6"/>
        <w:snapToGrid w:val="0"/>
        <w:spacing w:line="560" w:lineRule="exact"/>
        <w:ind w:left="0" w:firstLine="600" w:firstLineChars="200"/>
        <w:jc w:val="both"/>
        <w:rPr>
          <w:rFonts w:ascii="仿宋" w:hAnsi="仿宋" w:eastAsia="仿宋" w:cs="Times New Roman"/>
          <w:sz w:val="30"/>
          <w:szCs w:val="30"/>
        </w:rPr>
      </w:pPr>
      <w:bookmarkStart w:id="126" w:name="_Toc77520226"/>
      <w:bookmarkStart w:id="127" w:name="_Toc77925791"/>
      <w:r>
        <w:rPr>
          <w:rFonts w:hint="eastAsia" w:ascii="仿宋" w:hAnsi="仿宋" w:eastAsia="仿宋" w:cs="仿宋"/>
          <w:sz w:val="30"/>
          <w:szCs w:val="30"/>
        </w:rPr>
        <w:t>牢固树立绿水青山就是金山银山理念，统筹山水林田湖草</w:t>
      </w:r>
      <w:r>
        <w:rPr>
          <w:rFonts w:hint="eastAsia" w:ascii="仿宋" w:hAnsi="仿宋" w:eastAsia="仿宋" w:cs="仿宋"/>
          <w:sz w:val="30"/>
          <w:szCs w:val="30"/>
          <w:lang w:val="en-US"/>
        </w:rPr>
        <w:t>沙</w:t>
      </w:r>
      <w:r>
        <w:rPr>
          <w:rFonts w:hint="eastAsia" w:ascii="仿宋" w:hAnsi="仿宋" w:eastAsia="仿宋" w:cs="仿宋"/>
          <w:sz w:val="30"/>
          <w:szCs w:val="30"/>
        </w:rPr>
        <w:t>系统治理，深入实施生态保护修复工程，大力实施生态保护修复重大工程，完善重要生态保护制度，促进乡村生产生活环境稳步改善、自然生态系统功能和稳定性全面提升，让良好生态成为乡村振兴的支撑点。</w:t>
      </w:r>
    </w:p>
    <w:p>
      <w:pPr>
        <w:pStyle w:val="4"/>
        <w:spacing w:before="0" w:after="0" w:line="360" w:lineRule="auto"/>
        <w:ind w:firstLine="602" w:firstLineChars="200"/>
        <w:rPr>
          <w:rFonts w:ascii="仿宋" w:hAnsi="仿宋" w:eastAsia="仿宋" w:cs="Times New Roman"/>
          <w:sz w:val="30"/>
          <w:szCs w:val="30"/>
        </w:rPr>
      </w:pPr>
      <w:bookmarkStart w:id="128" w:name="_Toc96329928"/>
      <w:r>
        <w:rPr>
          <w:rFonts w:hint="eastAsia" w:ascii="仿宋" w:hAnsi="仿宋" w:eastAsia="仿宋" w:cs="仿宋"/>
          <w:sz w:val="30"/>
          <w:szCs w:val="30"/>
        </w:rPr>
        <w:t>一、深入实施生态保护修复工程</w:t>
      </w:r>
      <w:bookmarkEnd w:id="128"/>
    </w:p>
    <w:p>
      <w:pPr>
        <w:pStyle w:val="6"/>
        <w:snapToGrid w:val="0"/>
        <w:spacing w:line="560" w:lineRule="exact"/>
        <w:ind w:left="0" w:firstLine="600" w:firstLineChars="200"/>
        <w:jc w:val="both"/>
        <w:rPr>
          <w:rFonts w:ascii="仿宋" w:hAnsi="仿宋" w:eastAsia="仿宋" w:cs="Times New Roman"/>
          <w:sz w:val="30"/>
          <w:szCs w:val="30"/>
        </w:rPr>
      </w:pPr>
      <w:r>
        <w:rPr>
          <w:rFonts w:hint="eastAsia" w:ascii="仿宋" w:hAnsi="仿宋" w:eastAsia="仿宋" w:cs="仿宋"/>
          <w:sz w:val="30"/>
          <w:szCs w:val="30"/>
        </w:rPr>
        <w:t>统筹山水林田湖草沙系统治理，实施好乡村生态一体化保护修复工程，提升乡村生态系统稳定性和可持续性；把山水林田湖草</w:t>
      </w:r>
      <w:r>
        <w:rPr>
          <w:rFonts w:hint="eastAsia" w:ascii="仿宋" w:hAnsi="仿宋" w:eastAsia="仿宋" w:cs="仿宋"/>
          <w:sz w:val="30"/>
          <w:szCs w:val="30"/>
          <w:lang w:val="en-US"/>
        </w:rPr>
        <w:t>沙</w:t>
      </w:r>
      <w:r>
        <w:rPr>
          <w:rFonts w:hint="eastAsia" w:ascii="仿宋" w:hAnsi="仿宋" w:eastAsia="仿宋" w:cs="仿宋"/>
          <w:sz w:val="30"/>
          <w:szCs w:val="30"/>
        </w:rPr>
        <w:t>作为一个生命共同体，统筹农村自然生态系统治理；科学配置农作物品种、种植制度、耕作方式，推动农林牧渔融合循环发展；健全生态系统休养生息制度，合理实施休耕、禁养、禁渔、禁伐、禁采，</w:t>
      </w:r>
      <w:r>
        <w:rPr>
          <w:rFonts w:hint="eastAsia" w:ascii="仿宋" w:hAnsi="仿宋" w:eastAsia="仿宋" w:cs="仿宋"/>
          <w:sz w:val="30"/>
          <w:szCs w:val="30"/>
          <w:lang w:val="en-US"/>
        </w:rPr>
        <w:t>对境内所有</w:t>
      </w:r>
      <w:r>
        <w:rPr>
          <w:rFonts w:hint="eastAsia" w:ascii="仿宋" w:hAnsi="仿宋" w:eastAsia="仿宋" w:cs="仿宋"/>
          <w:sz w:val="30"/>
          <w:szCs w:val="30"/>
        </w:rPr>
        <w:t>天然林实行全面保护，</w:t>
      </w:r>
      <w:r>
        <w:rPr>
          <w:rFonts w:hint="eastAsia" w:ascii="仿宋" w:hAnsi="仿宋" w:eastAsia="仿宋" w:cs="仿宋"/>
          <w:sz w:val="30"/>
          <w:szCs w:val="30"/>
          <w:lang w:val="en-US"/>
        </w:rPr>
        <w:t>并采取</w:t>
      </w:r>
      <w:r>
        <w:rPr>
          <w:rFonts w:hint="eastAsia" w:ascii="仿宋" w:hAnsi="仿宋" w:eastAsia="仿宋" w:cs="仿宋"/>
          <w:sz w:val="30"/>
          <w:szCs w:val="30"/>
        </w:rPr>
        <w:t>天然林分级保护；加强流域防护林工程、自然保护区和生态功能区建设；协同推进湿地、草地、野生动植物资源保护，加大重点生态功能区、生态脆弱区的自然生态系统修复力度。</w:t>
      </w:r>
    </w:p>
    <w:p>
      <w:pPr>
        <w:pStyle w:val="4"/>
        <w:spacing w:before="0" w:after="0" w:line="360" w:lineRule="auto"/>
        <w:ind w:firstLine="602" w:firstLineChars="200"/>
        <w:rPr>
          <w:rFonts w:ascii="仿宋" w:hAnsi="仿宋" w:eastAsia="仿宋" w:cs="Times New Roman"/>
          <w:sz w:val="30"/>
          <w:szCs w:val="30"/>
        </w:rPr>
      </w:pPr>
      <w:bookmarkStart w:id="129" w:name="_Toc96329929"/>
      <w:r>
        <w:rPr>
          <w:rFonts w:hint="eastAsia" w:ascii="仿宋" w:hAnsi="仿宋" w:eastAsia="仿宋" w:cs="仿宋"/>
          <w:sz w:val="30"/>
          <w:szCs w:val="30"/>
        </w:rPr>
        <w:t>二、发挥自然资源多重效益</w:t>
      </w:r>
      <w:bookmarkEnd w:id="129"/>
    </w:p>
    <w:p>
      <w:pPr>
        <w:pStyle w:val="6"/>
        <w:snapToGrid w:val="0"/>
        <w:spacing w:line="560" w:lineRule="exact"/>
        <w:ind w:left="0" w:firstLine="600" w:firstLineChars="200"/>
        <w:jc w:val="both"/>
        <w:rPr>
          <w:rFonts w:ascii="仿宋" w:hAnsi="仿宋" w:eastAsia="仿宋" w:cs="Times New Roman"/>
          <w:sz w:val="30"/>
          <w:szCs w:val="30"/>
        </w:rPr>
      </w:pPr>
      <w:r>
        <w:rPr>
          <w:rFonts w:hint="eastAsia" w:ascii="仿宋" w:hAnsi="仿宋" w:eastAsia="仿宋" w:cs="仿宋"/>
          <w:sz w:val="30"/>
          <w:szCs w:val="30"/>
        </w:rPr>
        <w:t>推进生态资源价值转化，进一步盘活森林、草原、湿地等自然资源。允许集体经济组织灵活利用现有生产服务设施用地开展相关经营活动。鼓励各类社会主体参与生态保护修复，扩大天然植物修复栽植，对集中连片开展生态修复达到一定规模的经营主体，支持其开展适度的旅游、康养、设施农业等产业开发。</w:t>
      </w:r>
    </w:p>
    <w:p>
      <w:pPr>
        <w:pStyle w:val="6"/>
        <w:snapToGrid w:val="0"/>
        <w:spacing w:line="560" w:lineRule="exact"/>
        <w:ind w:left="0" w:firstLine="600" w:firstLineChars="200"/>
        <w:jc w:val="both"/>
        <w:rPr>
          <w:rFonts w:ascii="仿宋" w:hAnsi="仿宋" w:eastAsia="仿宋" w:cs="Times New Roman"/>
          <w:sz w:val="30"/>
          <w:szCs w:val="30"/>
        </w:rPr>
      </w:pPr>
      <w:r>
        <w:rPr>
          <w:rFonts w:hint="eastAsia" w:ascii="仿宋" w:hAnsi="仿宋" w:eastAsia="仿宋" w:cs="仿宋"/>
          <w:sz w:val="30"/>
          <w:szCs w:val="30"/>
        </w:rPr>
        <w:t>完善生态优势转化机制。推进自然资源资产统一确权登记和产权制度改革，建立生态产品价值核算体系，完善生态产品价值实现机制。健全生态资产与生态产品市场交易体制机制，推进排污权、用能权、用水权、碳排放权市场化交易，推动自然资源资产有偿使用，争取建立生态产品交易中心。推广“两山银行”“湿地银行”等建设模式。积极推进综合补偿试点建设，完善市场化、多元化生态补偿机制。</w:t>
      </w:r>
    </w:p>
    <w:p>
      <w:pPr>
        <w:pStyle w:val="2"/>
        <w:jc w:val="center"/>
        <w:rPr>
          <w:rFonts w:ascii="黑体" w:hAnsi="黑体" w:eastAsia="黑体" w:cs="Times New Roman"/>
          <w:sz w:val="30"/>
          <w:szCs w:val="30"/>
        </w:rPr>
      </w:pPr>
      <w:bookmarkStart w:id="130" w:name="_Toc96329930"/>
      <w:r>
        <w:rPr>
          <w:rFonts w:hint="eastAsia" w:ascii="黑体" w:hAnsi="黑体" w:eastAsia="黑体" w:cs="黑体"/>
          <w:sz w:val="30"/>
          <w:szCs w:val="30"/>
        </w:rPr>
        <w:t>第二节</w:t>
      </w:r>
      <w:r>
        <w:rPr>
          <w:rFonts w:ascii="黑体" w:hAnsi="黑体" w:eastAsia="黑体" w:cs="黑体"/>
          <w:sz w:val="30"/>
          <w:szCs w:val="30"/>
        </w:rPr>
        <w:t xml:space="preserve"> </w:t>
      </w:r>
      <w:r>
        <w:rPr>
          <w:rFonts w:hint="eastAsia" w:ascii="黑体" w:hAnsi="黑体" w:eastAsia="黑体" w:cs="黑体"/>
          <w:sz w:val="30"/>
          <w:szCs w:val="30"/>
        </w:rPr>
        <w:t>加强农业农村污染防治</w:t>
      </w:r>
      <w:bookmarkEnd w:id="126"/>
      <w:bookmarkEnd w:id="127"/>
      <w:bookmarkEnd w:id="130"/>
    </w:p>
    <w:p>
      <w:pPr>
        <w:pStyle w:val="6"/>
        <w:snapToGrid w:val="0"/>
        <w:spacing w:line="560" w:lineRule="exact"/>
        <w:ind w:left="0" w:firstLine="600" w:firstLineChars="200"/>
        <w:jc w:val="both"/>
        <w:rPr>
          <w:rFonts w:ascii="仿宋" w:hAnsi="仿宋" w:eastAsia="仿宋" w:cs="Times New Roman"/>
          <w:sz w:val="30"/>
          <w:szCs w:val="30"/>
        </w:rPr>
      </w:pPr>
      <w:r>
        <w:rPr>
          <w:rFonts w:hint="eastAsia" w:ascii="仿宋" w:hAnsi="仿宋" w:eastAsia="仿宋" w:cs="仿宋"/>
          <w:sz w:val="30"/>
          <w:szCs w:val="30"/>
        </w:rPr>
        <w:t>以生态环境友好和资源循环利用为导向，推动形成农业绿色生产方式，实现投入品减量化、生产清洁化、废弃物资源化、产业模式生态化，不断巩固提升农业农村污染防治攻坚战成效，持续优化农业农村生态环境。</w:t>
      </w:r>
    </w:p>
    <w:p>
      <w:pPr>
        <w:pStyle w:val="4"/>
        <w:spacing w:before="0" w:after="0" w:line="360" w:lineRule="auto"/>
        <w:ind w:firstLine="602" w:firstLineChars="200"/>
        <w:rPr>
          <w:rFonts w:ascii="仿宋" w:hAnsi="仿宋" w:eastAsia="仿宋" w:cs="Times New Roman"/>
          <w:sz w:val="30"/>
          <w:szCs w:val="30"/>
        </w:rPr>
      </w:pPr>
      <w:bookmarkStart w:id="131" w:name="_Toc96329931"/>
      <w:bookmarkStart w:id="132" w:name="_Toc77520227"/>
      <w:bookmarkStart w:id="133" w:name="_Toc77925792"/>
      <w:r>
        <w:rPr>
          <w:rFonts w:hint="eastAsia" w:ascii="仿宋" w:hAnsi="仿宋" w:eastAsia="仿宋" w:cs="仿宋"/>
          <w:sz w:val="30"/>
          <w:szCs w:val="30"/>
        </w:rPr>
        <w:t>一、推进畜禽粪污资源化利用提质增效</w:t>
      </w:r>
      <w:bookmarkEnd w:id="131"/>
      <w:bookmarkEnd w:id="132"/>
      <w:bookmarkEnd w:id="133"/>
    </w:p>
    <w:p>
      <w:pPr>
        <w:pStyle w:val="6"/>
        <w:snapToGrid w:val="0"/>
        <w:spacing w:line="560" w:lineRule="exact"/>
        <w:ind w:left="0" w:firstLine="602" w:firstLineChars="200"/>
        <w:jc w:val="both"/>
        <w:rPr>
          <w:rFonts w:ascii="仿宋" w:hAnsi="仿宋" w:eastAsia="仿宋" w:cs="Times New Roman"/>
          <w:sz w:val="30"/>
          <w:szCs w:val="30"/>
        </w:rPr>
      </w:pPr>
      <w:r>
        <w:rPr>
          <w:rFonts w:hint="eastAsia" w:ascii="仿宋" w:hAnsi="仿宋" w:eastAsia="仿宋" w:cs="仿宋"/>
          <w:b/>
          <w:bCs/>
          <w:sz w:val="30"/>
          <w:szCs w:val="30"/>
        </w:rPr>
        <w:t>加快畜禽粪污资源化利用。</w:t>
      </w:r>
      <w:r>
        <w:rPr>
          <w:rFonts w:hint="eastAsia" w:ascii="仿宋" w:hAnsi="仿宋" w:eastAsia="仿宋" w:cs="仿宋"/>
          <w:sz w:val="30"/>
          <w:szCs w:val="30"/>
        </w:rPr>
        <w:t>持续开展以提升畜禽粪污处理和资源化利用为重点的畜禽养殖标准化示范创建。继续实施畜禽粪污资源化利用整县推进项目，引导畜禽规模养殖场完善提升粪污处理设施装备，加强日常管护。大力推广粪肥还田农牧结合实用模式，提升畜禽粪污资源化利用质量和效益，并结合地区畜牧实际情况及环境容量和土壤承载力制定畜禽养殖规划。到</w:t>
      </w:r>
      <w:r>
        <w:rPr>
          <w:rFonts w:ascii="仿宋" w:hAnsi="仿宋" w:eastAsia="仿宋" w:cs="仿宋"/>
          <w:sz w:val="30"/>
          <w:szCs w:val="30"/>
        </w:rPr>
        <w:t>2025</w:t>
      </w:r>
      <w:r>
        <w:rPr>
          <w:rFonts w:hint="eastAsia" w:ascii="仿宋" w:hAnsi="仿宋" w:eastAsia="仿宋" w:cs="仿宋"/>
          <w:sz w:val="30"/>
          <w:szCs w:val="30"/>
        </w:rPr>
        <w:t>年，全市畜禽粪污综合利用率达到</w:t>
      </w:r>
      <w:r>
        <w:rPr>
          <w:rFonts w:ascii="仿宋" w:hAnsi="仿宋" w:eastAsia="仿宋" w:cs="仿宋"/>
          <w:sz w:val="30"/>
          <w:szCs w:val="30"/>
        </w:rPr>
        <w:t>95%</w:t>
      </w:r>
      <w:r>
        <w:rPr>
          <w:rFonts w:hint="eastAsia" w:ascii="仿宋" w:hAnsi="仿宋" w:eastAsia="仿宋" w:cs="仿宋"/>
          <w:sz w:val="30"/>
          <w:szCs w:val="30"/>
        </w:rPr>
        <w:t>左右。</w:t>
      </w:r>
    </w:p>
    <w:p>
      <w:pPr>
        <w:pStyle w:val="6"/>
        <w:snapToGrid w:val="0"/>
        <w:spacing w:line="560" w:lineRule="exact"/>
        <w:ind w:left="0" w:firstLine="602" w:firstLineChars="200"/>
        <w:jc w:val="both"/>
        <w:rPr>
          <w:rFonts w:ascii="仿宋" w:hAnsi="仿宋" w:eastAsia="仿宋" w:cs="Times New Roman"/>
          <w:sz w:val="30"/>
          <w:szCs w:val="30"/>
        </w:rPr>
      </w:pPr>
      <w:r>
        <w:rPr>
          <w:rFonts w:hint="eastAsia" w:ascii="仿宋" w:hAnsi="仿宋" w:eastAsia="仿宋" w:cs="仿宋"/>
          <w:b/>
          <w:bCs/>
          <w:sz w:val="30"/>
          <w:szCs w:val="30"/>
        </w:rPr>
        <w:t>加快畜牧业绿色转型升级。</w:t>
      </w:r>
      <w:r>
        <w:rPr>
          <w:rFonts w:hint="eastAsia" w:ascii="仿宋" w:hAnsi="仿宋" w:eastAsia="仿宋" w:cs="仿宋"/>
          <w:sz w:val="30"/>
          <w:szCs w:val="30"/>
        </w:rPr>
        <w:t>按照畜禽禁养区规划，进一步优化产业布局，加快复产增养行动，推进畜牧业结构调整，巩固提升生猪产业，积极引导牛羊、家禽产业发展。大力推广节水、高床养殖、生物发酵、水禽旱养等清洁生产新模式新技术。落实药物饲料添加剂退出计划，持续开展兽用抗菌药使用减量化行动，严厉打击滥用违禁兽药违法犯罪行为。强化畜禽养殖环境日常监管。按照《畜禽规模养殖污染防治条例》要求，严格规模养殖环境监管，依法查处无证排污、不按证排污、污染防治设施配套不到位、粪污未经无害化处理直接还田或向环境排放以及不符合国家和地方排放标准的偷排、乱排、超标排放等行为。</w:t>
      </w:r>
    </w:p>
    <w:p>
      <w:pPr>
        <w:pStyle w:val="4"/>
        <w:spacing w:before="0" w:after="0" w:line="360" w:lineRule="auto"/>
        <w:ind w:firstLine="602" w:firstLineChars="200"/>
        <w:rPr>
          <w:rFonts w:ascii="仿宋" w:hAnsi="仿宋" w:eastAsia="仿宋" w:cs="Times New Roman"/>
          <w:sz w:val="30"/>
          <w:szCs w:val="30"/>
        </w:rPr>
      </w:pPr>
      <w:bookmarkStart w:id="134" w:name="_Toc77520228"/>
      <w:bookmarkStart w:id="135" w:name="_Toc96329932"/>
      <w:bookmarkStart w:id="136" w:name="_Toc77925793"/>
      <w:r>
        <w:rPr>
          <w:rFonts w:hint="eastAsia" w:ascii="仿宋" w:hAnsi="仿宋" w:eastAsia="仿宋" w:cs="仿宋"/>
          <w:sz w:val="30"/>
          <w:szCs w:val="30"/>
        </w:rPr>
        <w:t>二、推进水产养殖污染防治</w:t>
      </w:r>
      <w:bookmarkEnd w:id="134"/>
      <w:bookmarkEnd w:id="135"/>
      <w:bookmarkEnd w:id="136"/>
    </w:p>
    <w:p>
      <w:pPr>
        <w:pStyle w:val="6"/>
        <w:snapToGrid w:val="0"/>
        <w:spacing w:line="560" w:lineRule="exact"/>
        <w:ind w:left="0" w:firstLine="600" w:firstLineChars="200"/>
        <w:jc w:val="both"/>
        <w:rPr>
          <w:rFonts w:ascii="仿宋" w:hAnsi="仿宋" w:eastAsia="仿宋" w:cs="Times New Roman"/>
          <w:sz w:val="30"/>
          <w:szCs w:val="30"/>
        </w:rPr>
      </w:pPr>
      <w:r>
        <w:rPr>
          <w:rFonts w:hint="eastAsia" w:ascii="仿宋" w:hAnsi="仿宋" w:eastAsia="仿宋" w:cs="仿宋"/>
          <w:sz w:val="30"/>
          <w:szCs w:val="30"/>
        </w:rPr>
        <w:t>深化水产养殖污染治理，依法依规取缔影响河湖水库生态环境的养殖承包合同，全面清理河湖水库禁养区内非法“三网”养殖。加大养殖基础设施改造力度，推行“生态健康养殖模式推广行动、养殖尾水治理模式推广行动、水产养殖用药减量行动、配合饲料替代幼杂鱼行动、水产种业质量提升行动”等水产绿色健康养殖“五大行动”，促进水产养殖尾水达标排放。加大对河湖水库使用无机肥、有机肥、生物复合肥等进行水产养殖的排查力度，严厉整治养殖污染水体的行为。规范水产养殖用药，严格依法用药，严厉打击水产养殖抗生素滥用等违法用药行为。</w:t>
      </w:r>
    </w:p>
    <w:p>
      <w:pPr>
        <w:pStyle w:val="4"/>
        <w:spacing w:before="0" w:after="0" w:line="360" w:lineRule="auto"/>
        <w:ind w:firstLine="602" w:firstLineChars="200"/>
        <w:rPr>
          <w:rFonts w:ascii="仿宋" w:hAnsi="仿宋" w:eastAsia="仿宋" w:cs="Times New Roman"/>
          <w:sz w:val="30"/>
          <w:szCs w:val="30"/>
        </w:rPr>
      </w:pPr>
      <w:bookmarkStart w:id="137" w:name="_Toc77520229"/>
      <w:bookmarkStart w:id="138" w:name="_Toc77925794"/>
      <w:bookmarkStart w:id="139" w:name="_Toc96329933"/>
      <w:r>
        <w:rPr>
          <w:rFonts w:hint="eastAsia" w:ascii="仿宋" w:hAnsi="仿宋" w:eastAsia="仿宋" w:cs="仿宋"/>
          <w:sz w:val="30"/>
          <w:szCs w:val="30"/>
        </w:rPr>
        <w:t>三、加强农用投入品使用管理</w:t>
      </w:r>
      <w:bookmarkEnd w:id="137"/>
      <w:bookmarkEnd w:id="138"/>
      <w:bookmarkEnd w:id="139"/>
    </w:p>
    <w:p>
      <w:pPr>
        <w:pStyle w:val="6"/>
        <w:snapToGrid w:val="0"/>
        <w:spacing w:line="560" w:lineRule="exact"/>
        <w:ind w:left="0" w:firstLine="600" w:firstLineChars="200"/>
        <w:jc w:val="both"/>
        <w:rPr>
          <w:rFonts w:ascii="仿宋" w:hAnsi="仿宋" w:eastAsia="仿宋" w:cs="Times New Roman"/>
          <w:sz w:val="30"/>
          <w:szCs w:val="30"/>
        </w:rPr>
      </w:pPr>
      <w:r>
        <w:rPr>
          <w:rFonts w:hint="eastAsia" w:ascii="仿宋" w:hAnsi="仿宋" w:eastAsia="仿宋" w:cs="仿宋"/>
          <w:sz w:val="30"/>
          <w:szCs w:val="30"/>
        </w:rPr>
        <w:t>推进农药减量控害。突出抓好农作物病虫害绿色防控示范、化肥减量增效技术示范等，集成推广生态调控、理化诱控、生物防治和科学安全用药等绿色防控技术，加强农药的使用监管</w:t>
      </w:r>
      <w:r>
        <w:rPr>
          <w:rFonts w:hint="eastAsia" w:ascii="仿宋" w:hAnsi="仿宋" w:eastAsia="仿宋" w:cs="仿宋"/>
          <w:sz w:val="30"/>
          <w:szCs w:val="30"/>
          <w:lang w:val="en-US"/>
        </w:rPr>
        <w:t>和</w:t>
      </w:r>
      <w:r>
        <w:rPr>
          <w:rFonts w:hint="eastAsia" w:ascii="仿宋" w:hAnsi="仿宋" w:eastAsia="仿宋" w:cs="仿宋"/>
          <w:sz w:val="30"/>
          <w:szCs w:val="30"/>
        </w:rPr>
        <w:t>科学安全用药技术宣传培训。强化农药市场源头管控，严厉打击非法制售假冒伪劣农药行为。</w:t>
      </w:r>
    </w:p>
    <w:p>
      <w:pPr>
        <w:pStyle w:val="6"/>
        <w:snapToGrid w:val="0"/>
        <w:spacing w:line="560" w:lineRule="exact"/>
        <w:ind w:left="0" w:firstLine="600" w:firstLineChars="200"/>
        <w:jc w:val="both"/>
        <w:rPr>
          <w:rFonts w:ascii="仿宋" w:hAnsi="仿宋" w:eastAsia="仿宋" w:cs="Times New Roman"/>
          <w:sz w:val="30"/>
          <w:szCs w:val="30"/>
        </w:rPr>
      </w:pPr>
      <w:r>
        <w:rPr>
          <w:rFonts w:hint="eastAsia" w:ascii="仿宋" w:hAnsi="仿宋" w:eastAsia="仿宋" w:cs="仿宋"/>
          <w:sz w:val="30"/>
          <w:szCs w:val="30"/>
        </w:rPr>
        <w:t>持续开展农业测土配方施肥，加强有机肥推广使用，加强用肥指导，积极引导农户科学施用化肥。“十四五”时期，全市农药化肥使用量实现零增长。</w:t>
      </w:r>
      <w:r>
        <w:rPr>
          <w:rFonts w:hint="eastAsia" w:ascii="仿宋" w:hAnsi="仿宋" w:eastAsia="仿宋" w:cs="仿宋"/>
          <w:sz w:val="30"/>
          <w:szCs w:val="30"/>
          <w:lang w:val="en-US"/>
        </w:rPr>
        <w:t>加大</w:t>
      </w:r>
      <w:r>
        <w:rPr>
          <w:rFonts w:hint="eastAsia" w:ascii="仿宋" w:hAnsi="仿宋" w:eastAsia="仿宋" w:cs="仿宋"/>
          <w:sz w:val="30"/>
          <w:szCs w:val="30"/>
        </w:rPr>
        <w:t>对生产流通领域农膜产品质量</w:t>
      </w:r>
      <w:r>
        <w:rPr>
          <w:rFonts w:hint="eastAsia" w:ascii="仿宋" w:hAnsi="仿宋" w:eastAsia="仿宋" w:cs="仿宋"/>
          <w:sz w:val="30"/>
          <w:szCs w:val="30"/>
          <w:lang w:val="en-US"/>
        </w:rPr>
        <w:t>的</w:t>
      </w:r>
      <w:r>
        <w:rPr>
          <w:rFonts w:hint="eastAsia" w:ascii="仿宋" w:hAnsi="仿宋" w:eastAsia="仿宋" w:cs="仿宋"/>
          <w:sz w:val="30"/>
          <w:szCs w:val="30"/>
        </w:rPr>
        <w:t>监督抽查力度，依法严厉查处制售不合格农膜等质量违法行为，减少不合格农膜进入使用环节。“十四五”时期，开展农膜回收利用试点示范建设，建立废旧农膜等回收处理制度，加强农膜回收和科学处理。</w:t>
      </w:r>
    </w:p>
    <w:p>
      <w:pPr>
        <w:pStyle w:val="4"/>
        <w:spacing w:before="0" w:after="0" w:line="360" w:lineRule="auto"/>
        <w:ind w:firstLine="602" w:firstLineChars="200"/>
        <w:rPr>
          <w:rFonts w:ascii="仿宋" w:hAnsi="仿宋" w:eastAsia="仿宋" w:cs="Times New Roman"/>
          <w:sz w:val="30"/>
          <w:szCs w:val="30"/>
        </w:rPr>
      </w:pPr>
      <w:bookmarkStart w:id="140" w:name="_Toc77925795"/>
      <w:bookmarkStart w:id="141" w:name="_Toc96329934"/>
      <w:bookmarkStart w:id="142" w:name="_Toc77520231"/>
      <w:r>
        <w:rPr>
          <w:rFonts w:hint="eastAsia" w:ascii="仿宋" w:hAnsi="仿宋" w:eastAsia="仿宋" w:cs="仿宋"/>
          <w:sz w:val="30"/>
          <w:szCs w:val="30"/>
        </w:rPr>
        <w:t>四、推进受污染耕地和秸秆综合利用</w:t>
      </w:r>
      <w:bookmarkEnd w:id="140"/>
      <w:bookmarkEnd w:id="141"/>
      <w:bookmarkEnd w:id="142"/>
    </w:p>
    <w:p>
      <w:pPr>
        <w:pStyle w:val="6"/>
        <w:snapToGrid w:val="0"/>
        <w:spacing w:line="560" w:lineRule="exact"/>
        <w:ind w:left="0" w:firstLine="600" w:firstLineChars="200"/>
        <w:jc w:val="both"/>
        <w:rPr>
          <w:rFonts w:ascii="仿宋" w:hAnsi="仿宋" w:eastAsia="仿宋" w:cs="Times New Roman"/>
          <w:sz w:val="30"/>
          <w:szCs w:val="30"/>
        </w:rPr>
      </w:pPr>
      <w:r>
        <w:rPr>
          <w:rFonts w:hint="eastAsia" w:ascii="仿宋" w:hAnsi="仿宋" w:eastAsia="仿宋" w:cs="仿宋"/>
          <w:sz w:val="30"/>
          <w:szCs w:val="30"/>
        </w:rPr>
        <w:t>提升受污染耕地安全利用水平。持续推进耕地分类管理，对轻中度受污染耕地推广安全利用技术，对重度污染耕地实施严格管控措施，实施种植结构调整或退耕还林。开展受污染耕地安全利用集中推进区建设，示范引导各种农业经营主体投身到耕地污染防治工作中，确保完成省下达的受污染耕地安全利用和严格管控任务，达到受污染耕地安全利用率水平。</w:t>
      </w:r>
    </w:p>
    <w:p>
      <w:pPr>
        <w:pStyle w:val="6"/>
        <w:snapToGrid w:val="0"/>
        <w:spacing w:line="560" w:lineRule="exact"/>
        <w:ind w:left="0" w:firstLine="600" w:firstLineChars="200"/>
        <w:jc w:val="both"/>
        <w:rPr>
          <w:rFonts w:ascii="仿宋" w:hAnsi="仿宋" w:eastAsia="仿宋" w:cs="Times New Roman"/>
          <w:sz w:val="30"/>
          <w:szCs w:val="30"/>
        </w:rPr>
      </w:pPr>
      <w:r>
        <w:rPr>
          <w:rFonts w:hint="eastAsia" w:ascii="仿宋" w:hAnsi="仿宋" w:eastAsia="仿宋" w:cs="仿宋"/>
          <w:sz w:val="30"/>
          <w:szCs w:val="30"/>
        </w:rPr>
        <w:t>推进农作物秸秆综合利用。组织编制“十四五”秸秆综合利用实施方案，推动中央财政秸秆利用重点县建设，促进秸秆“五化利用”产业化发展，积极探索构建秸秆利用与禁烧奖惩挂钩补偿机制，加强秸秆资源台账管理，强化技术研发与集成创新，加大技术培训和宣传引导。到</w:t>
      </w:r>
      <w:r>
        <w:rPr>
          <w:rFonts w:ascii="仿宋" w:hAnsi="仿宋" w:eastAsia="仿宋" w:cs="仿宋"/>
          <w:sz w:val="30"/>
          <w:szCs w:val="30"/>
        </w:rPr>
        <w:t>2025</w:t>
      </w:r>
      <w:r>
        <w:rPr>
          <w:rFonts w:hint="eastAsia" w:ascii="仿宋" w:hAnsi="仿宋" w:eastAsia="仿宋" w:cs="仿宋"/>
          <w:sz w:val="30"/>
          <w:szCs w:val="30"/>
        </w:rPr>
        <w:t>年，农作物秸秆综合利用率达到</w:t>
      </w:r>
      <w:r>
        <w:rPr>
          <w:rFonts w:ascii="仿宋" w:hAnsi="仿宋" w:eastAsia="仿宋" w:cs="仿宋"/>
          <w:sz w:val="30"/>
          <w:szCs w:val="30"/>
        </w:rPr>
        <w:t>95%</w:t>
      </w:r>
      <w:r>
        <w:rPr>
          <w:rFonts w:hint="eastAsia" w:ascii="仿宋" w:hAnsi="仿宋" w:eastAsia="仿宋" w:cs="仿宋"/>
          <w:sz w:val="30"/>
          <w:szCs w:val="30"/>
        </w:rPr>
        <w:t>以上。</w:t>
      </w:r>
    </w:p>
    <w:p>
      <w:pPr>
        <w:pStyle w:val="4"/>
        <w:spacing w:before="0" w:after="0" w:line="360" w:lineRule="auto"/>
        <w:ind w:firstLine="602" w:firstLineChars="200"/>
        <w:rPr>
          <w:rFonts w:ascii="仿宋" w:hAnsi="仿宋" w:eastAsia="仿宋" w:cs="Times New Roman"/>
          <w:sz w:val="30"/>
          <w:szCs w:val="30"/>
        </w:rPr>
      </w:pPr>
      <w:bookmarkStart w:id="143" w:name="_Toc96329935"/>
      <w:bookmarkStart w:id="144" w:name="_Toc77925796"/>
      <w:bookmarkStart w:id="145" w:name="_Toc77520232"/>
      <w:r>
        <w:rPr>
          <w:rFonts w:hint="eastAsia" w:ascii="仿宋" w:hAnsi="仿宋" w:eastAsia="仿宋" w:cs="仿宋"/>
          <w:sz w:val="30"/>
          <w:szCs w:val="30"/>
        </w:rPr>
        <w:t>五、推进重点水域水生生物资源保护</w:t>
      </w:r>
      <w:bookmarkEnd w:id="143"/>
      <w:bookmarkEnd w:id="144"/>
      <w:bookmarkEnd w:id="145"/>
    </w:p>
    <w:p>
      <w:pPr>
        <w:pStyle w:val="6"/>
        <w:snapToGrid w:val="0"/>
        <w:spacing w:line="560" w:lineRule="exact"/>
        <w:ind w:left="0" w:firstLine="600" w:firstLineChars="200"/>
        <w:jc w:val="both"/>
        <w:rPr>
          <w:rFonts w:ascii="仿宋" w:hAnsi="仿宋" w:eastAsia="仿宋" w:cs="Times New Roman"/>
          <w:sz w:val="30"/>
          <w:szCs w:val="30"/>
        </w:rPr>
      </w:pPr>
      <w:r>
        <w:rPr>
          <w:rFonts w:hint="eastAsia" w:ascii="仿宋" w:hAnsi="仿宋" w:eastAsia="仿宋" w:cs="仿宋"/>
          <w:sz w:val="30"/>
          <w:szCs w:val="30"/>
        </w:rPr>
        <w:t>巩固提升长江流域重点水域禁捕退捕成果，打好十年禁渔持久战，加强禁捕水域市县渔政执法机构队伍建设，充实基层执法力量，加强禁捕水域执法巡查力度；加强全流程、全环节、全链条溯源打击，斩断非法捕捞、运输、销售的黑色产业链利益链。加大非法电捕鱼行为的打击力度。</w:t>
      </w:r>
    </w:p>
    <w:p>
      <w:pPr>
        <w:pStyle w:val="6"/>
        <w:snapToGrid w:val="0"/>
        <w:spacing w:line="560" w:lineRule="exact"/>
        <w:ind w:left="0" w:firstLine="600" w:firstLineChars="200"/>
        <w:jc w:val="both"/>
        <w:rPr>
          <w:rFonts w:ascii="仿宋" w:hAnsi="仿宋" w:eastAsia="仿宋" w:cs="Times New Roman"/>
          <w:sz w:val="30"/>
          <w:szCs w:val="30"/>
        </w:rPr>
      </w:pPr>
      <w:r>
        <w:rPr>
          <w:rFonts w:hint="eastAsia" w:ascii="仿宋" w:hAnsi="仿宋" w:eastAsia="仿宋" w:cs="仿宋"/>
          <w:sz w:val="30"/>
          <w:szCs w:val="30"/>
        </w:rPr>
        <w:t>强化渔业资源常态管护。坚持禁渔期制度，持续开展渔业增殖放流活动，加快渔业资源恢复。加强水生生物保护区建设，</w:t>
      </w:r>
      <w:r>
        <w:rPr>
          <w:rFonts w:hint="eastAsia" w:ascii="仿宋" w:hAnsi="仿宋" w:eastAsia="仿宋" w:cs="仿宋"/>
          <w:sz w:val="30"/>
          <w:szCs w:val="30"/>
          <w:lang w:val="en-US"/>
        </w:rPr>
        <w:t>进一步</w:t>
      </w:r>
      <w:r>
        <w:rPr>
          <w:rFonts w:hint="eastAsia" w:ascii="仿宋" w:hAnsi="仿宋" w:eastAsia="仿宋" w:cs="仿宋"/>
          <w:sz w:val="30"/>
          <w:szCs w:val="30"/>
        </w:rPr>
        <w:t>加强水生</w:t>
      </w:r>
      <w:r>
        <w:rPr>
          <w:rFonts w:hint="eastAsia" w:ascii="仿宋" w:hAnsi="仿宋" w:eastAsia="仿宋" w:cs="仿宋"/>
          <w:sz w:val="30"/>
          <w:szCs w:val="30"/>
          <w:lang w:val="en-US"/>
        </w:rPr>
        <w:t>生物</w:t>
      </w:r>
      <w:r>
        <w:rPr>
          <w:rFonts w:hint="eastAsia" w:ascii="仿宋" w:hAnsi="仿宋" w:eastAsia="仿宋" w:cs="仿宋"/>
          <w:sz w:val="30"/>
          <w:szCs w:val="30"/>
        </w:rPr>
        <w:t>保护管理。加强涉渔工程的环评和论证，保护珍稀水生生物生存和繁衍所需环境。</w:t>
      </w:r>
    </w:p>
    <w:p>
      <w:pPr>
        <w:pStyle w:val="2"/>
        <w:jc w:val="center"/>
        <w:rPr>
          <w:rFonts w:ascii="黑体" w:hAnsi="黑体" w:eastAsia="黑体" w:cs="Times New Roman"/>
          <w:sz w:val="30"/>
          <w:szCs w:val="30"/>
        </w:rPr>
      </w:pPr>
      <w:bookmarkStart w:id="146" w:name="_Toc77520248"/>
      <w:bookmarkStart w:id="147" w:name="_Toc77925797"/>
      <w:bookmarkStart w:id="148" w:name="_Toc96329936"/>
      <w:r>
        <w:rPr>
          <w:rFonts w:hint="eastAsia" w:ascii="黑体" w:hAnsi="黑体" w:eastAsia="黑体" w:cs="黑体"/>
          <w:sz w:val="30"/>
          <w:szCs w:val="30"/>
        </w:rPr>
        <w:t>第三节</w:t>
      </w:r>
      <w:r>
        <w:rPr>
          <w:rFonts w:ascii="黑体" w:hAnsi="黑体" w:eastAsia="黑体" w:cs="黑体"/>
          <w:sz w:val="30"/>
          <w:szCs w:val="30"/>
        </w:rPr>
        <w:t xml:space="preserve"> </w:t>
      </w:r>
      <w:r>
        <w:rPr>
          <w:rFonts w:hint="eastAsia" w:ascii="黑体" w:hAnsi="黑体" w:eastAsia="黑体" w:cs="黑体"/>
          <w:sz w:val="30"/>
          <w:szCs w:val="30"/>
        </w:rPr>
        <w:t>改善农村人居环境</w:t>
      </w:r>
      <w:bookmarkEnd w:id="146"/>
      <w:bookmarkEnd w:id="147"/>
      <w:bookmarkEnd w:id="148"/>
    </w:p>
    <w:p>
      <w:pPr>
        <w:pStyle w:val="6"/>
        <w:snapToGrid w:val="0"/>
        <w:spacing w:line="560" w:lineRule="exact"/>
        <w:ind w:left="0" w:firstLine="600" w:firstLineChars="200"/>
        <w:jc w:val="both"/>
        <w:rPr>
          <w:rFonts w:ascii="仿宋" w:hAnsi="仿宋" w:eastAsia="仿宋" w:cs="Times New Roman"/>
          <w:sz w:val="30"/>
          <w:szCs w:val="30"/>
        </w:rPr>
      </w:pPr>
      <w:bookmarkStart w:id="149" w:name="_Toc26765_WPSOffice_Level3"/>
      <w:bookmarkStart w:id="150" w:name="_Toc20758"/>
      <w:bookmarkStart w:id="151" w:name="_Toc15640_WPSOffice_Level3"/>
      <w:bookmarkStart w:id="152" w:name="_Toc67252176"/>
      <w:bookmarkStart w:id="153" w:name="_Toc57879217"/>
      <w:r>
        <w:rPr>
          <w:rFonts w:hint="eastAsia" w:ascii="仿宋" w:hAnsi="仿宋" w:eastAsia="仿宋" w:cs="仿宋"/>
          <w:sz w:val="30"/>
          <w:szCs w:val="30"/>
        </w:rPr>
        <w:t>立足现有条件，区分轻重缓急，以垃圾污水治理、农村“厕所革命”、村容村貌提升为重点，着力补齐短板，加快建设美丽乡村，</w:t>
      </w:r>
      <w:bookmarkStart w:id="154" w:name="_Toc14526_WPSOffice_Level3"/>
      <w:bookmarkStart w:id="155" w:name="_Toc834"/>
      <w:bookmarkStart w:id="156" w:name="_Toc25636_WPSOffice_Level3"/>
      <w:r>
        <w:rPr>
          <w:rFonts w:hint="eastAsia" w:ascii="仿宋" w:hAnsi="仿宋" w:eastAsia="仿宋" w:cs="仿宋"/>
          <w:sz w:val="30"/>
          <w:szCs w:val="30"/>
        </w:rPr>
        <w:t>不断强化村庄规划、深入推进农村生活垃圾治理、梯次推进农村生活污水治理、持续推进农村“厕所革命”、全面提升村容村貌，建设美丽宜居乡村，不断提升农村人居整治水平，大力改善农村人居环境。</w:t>
      </w:r>
    </w:p>
    <w:bookmarkEnd w:id="154"/>
    <w:bookmarkEnd w:id="155"/>
    <w:bookmarkEnd w:id="156"/>
    <w:p>
      <w:pPr>
        <w:pStyle w:val="4"/>
        <w:spacing w:before="0" w:after="0" w:line="360" w:lineRule="auto"/>
        <w:ind w:firstLine="602" w:firstLineChars="200"/>
        <w:rPr>
          <w:rFonts w:ascii="仿宋" w:hAnsi="仿宋" w:eastAsia="仿宋" w:cs="Times New Roman"/>
          <w:sz w:val="30"/>
          <w:szCs w:val="30"/>
        </w:rPr>
      </w:pPr>
      <w:bookmarkStart w:id="157" w:name="_Toc77520249"/>
      <w:bookmarkStart w:id="158" w:name="_Toc77925798"/>
      <w:bookmarkStart w:id="159" w:name="_Toc96329937"/>
      <w:r>
        <w:rPr>
          <w:rFonts w:hint="eastAsia" w:ascii="仿宋" w:hAnsi="仿宋" w:eastAsia="仿宋" w:cs="仿宋"/>
          <w:sz w:val="30"/>
          <w:szCs w:val="30"/>
        </w:rPr>
        <w:t>一、</w:t>
      </w:r>
      <w:bookmarkEnd w:id="149"/>
      <w:bookmarkEnd w:id="150"/>
      <w:bookmarkEnd w:id="151"/>
      <w:bookmarkEnd w:id="152"/>
      <w:bookmarkEnd w:id="153"/>
      <w:bookmarkEnd w:id="157"/>
      <w:r>
        <w:rPr>
          <w:rFonts w:hint="eastAsia" w:ascii="仿宋" w:hAnsi="仿宋" w:eastAsia="仿宋" w:cs="仿宋"/>
          <w:sz w:val="30"/>
          <w:szCs w:val="30"/>
          <w:lang w:val="zh-CN"/>
        </w:rPr>
        <w:t>建立健全农村生活垃圾治理长效机制</w:t>
      </w:r>
      <w:bookmarkEnd w:id="158"/>
      <w:bookmarkEnd w:id="159"/>
    </w:p>
    <w:p>
      <w:pPr>
        <w:pStyle w:val="26"/>
        <w:ind w:firstLine="640"/>
        <w:rPr>
          <w:rFonts w:ascii="仿宋" w:hAnsi="仿宋" w:eastAsia="仿宋" w:cs="Times New Roman"/>
          <w:sz w:val="30"/>
          <w:szCs w:val="30"/>
          <w:lang w:val="zh-CN"/>
        </w:rPr>
      </w:pPr>
      <w:r>
        <w:rPr>
          <w:rFonts w:hint="eastAsia" w:ascii="仿宋" w:hAnsi="仿宋" w:eastAsia="仿宋" w:cs="仿宋"/>
          <w:sz w:val="30"/>
          <w:szCs w:val="30"/>
          <w:lang w:val="zh-CN"/>
        </w:rPr>
        <w:t>完善“户分类、村收集、乡转运、区域处理”四级运行机制，大力推行城乡环卫“全域一体化”第三方治理模式，完善城乡环卫长效运行机制，到“十四五”期末，城乡环卫一体化收运处置体系基本实现村级全覆盖，农村生活垃圾得到有效治理，镇村属地责任、第三方保洁责任进一步压实。持续巩固非正规垃圾堆放点治理成效，严防问题反弹；加强对农村生活垃圾投放、收集、运输、处理全过程监管，遏制农村地区非正规垃圾堆放点动态新增。梯次推进农村生活垃圾分类减量和资源化利用，因地制宜建设资源化、无害化处理设施，形成分类投放、分类收集、分类运输、分类处理的农村生活垃圾分类闭环体系。</w:t>
      </w:r>
    </w:p>
    <w:p>
      <w:pPr>
        <w:pStyle w:val="4"/>
        <w:spacing w:before="0" w:after="0" w:line="360" w:lineRule="auto"/>
        <w:ind w:firstLine="602" w:firstLineChars="200"/>
        <w:rPr>
          <w:rFonts w:ascii="仿宋" w:hAnsi="仿宋" w:eastAsia="仿宋" w:cs="Times New Roman"/>
          <w:sz w:val="30"/>
          <w:szCs w:val="30"/>
        </w:rPr>
      </w:pPr>
      <w:bookmarkStart w:id="160" w:name="_Toc17656"/>
      <w:bookmarkStart w:id="161" w:name="_Toc21613_WPSOffice_Level3"/>
      <w:bookmarkStart w:id="162" w:name="_Toc77520250"/>
      <w:bookmarkStart w:id="163" w:name="_Toc96329938"/>
      <w:bookmarkStart w:id="164" w:name="_Toc57879218"/>
      <w:bookmarkStart w:id="165" w:name="_Toc67252177"/>
      <w:bookmarkStart w:id="166" w:name="_Toc27772_WPSOffice_Level3"/>
      <w:bookmarkStart w:id="167" w:name="_Toc77925799"/>
      <w:r>
        <w:rPr>
          <w:rFonts w:hint="eastAsia" w:ascii="仿宋" w:hAnsi="仿宋" w:eastAsia="仿宋" w:cs="仿宋"/>
          <w:sz w:val="30"/>
          <w:szCs w:val="30"/>
        </w:rPr>
        <w:t>二、梯次推进农村生活污水治理</w:t>
      </w:r>
      <w:bookmarkEnd w:id="160"/>
      <w:bookmarkEnd w:id="161"/>
      <w:bookmarkEnd w:id="162"/>
      <w:bookmarkEnd w:id="163"/>
      <w:bookmarkEnd w:id="164"/>
      <w:bookmarkEnd w:id="165"/>
      <w:bookmarkEnd w:id="166"/>
      <w:bookmarkEnd w:id="167"/>
    </w:p>
    <w:p>
      <w:pPr>
        <w:pStyle w:val="26"/>
        <w:ind w:firstLine="640"/>
        <w:rPr>
          <w:rFonts w:ascii="仿宋" w:hAnsi="仿宋" w:eastAsia="仿宋" w:cs="Times New Roman"/>
          <w:sz w:val="30"/>
          <w:szCs w:val="30"/>
          <w:lang w:val="zh-CN"/>
        </w:rPr>
      </w:pPr>
      <w:r>
        <w:rPr>
          <w:rFonts w:hint="eastAsia" w:ascii="仿宋" w:hAnsi="仿宋" w:eastAsia="仿宋" w:cs="仿宋"/>
          <w:sz w:val="30"/>
          <w:szCs w:val="30"/>
          <w:lang w:val="zh-CN"/>
        </w:rPr>
        <w:t>按照因地制宜的原则，分类分区推进农村生活污水治理，优先治理水源保护区、黑臭水体集中区域、乡镇政府所在地、中心村、城乡接合部、旅游风景区、重点河流沿岸等七类村庄生活污水，实现农村生活污水治理率稳步提升。开展协同治理，推动城郊农村因地制宜地将生活污水接入城镇污水管网，统一处理，强化生活污水资源化利用、做好农村生活污水收集管网与改厕的有效衔接。鼓励第三方参与治理，不断规范设施建设与运维，总结推广低成本、高效率的处理运营与管护模式。大力开展农村黑臭水体整治，建立农村黑臭水体台账，分步组织治理。</w:t>
      </w:r>
      <w:r>
        <w:rPr>
          <w:rFonts w:hint="eastAsia" w:ascii="仿宋" w:hAnsi="仿宋" w:eastAsia="仿宋" w:cs="仿宋"/>
          <w:sz w:val="30"/>
          <w:szCs w:val="30"/>
        </w:rPr>
        <w:t>到</w:t>
      </w:r>
      <w:r>
        <w:rPr>
          <w:rFonts w:ascii="仿宋" w:hAnsi="仿宋" w:eastAsia="仿宋" w:cs="仿宋"/>
          <w:sz w:val="30"/>
          <w:szCs w:val="30"/>
        </w:rPr>
        <w:t>2025</w:t>
      </w:r>
      <w:r>
        <w:rPr>
          <w:rFonts w:hint="eastAsia" w:ascii="仿宋" w:hAnsi="仿宋" w:eastAsia="仿宋" w:cs="仿宋"/>
          <w:sz w:val="30"/>
          <w:szCs w:val="30"/>
        </w:rPr>
        <w:t>年，基本完成现有农村生活污水设施改造，全市农村生活污水治理率达到</w:t>
      </w:r>
      <w:r>
        <w:rPr>
          <w:rFonts w:ascii="仿宋" w:hAnsi="仿宋" w:eastAsia="仿宋" w:cs="仿宋"/>
          <w:sz w:val="30"/>
          <w:szCs w:val="30"/>
        </w:rPr>
        <w:t>30%</w:t>
      </w:r>
      <w:r>
        <w:rPr>
          <w:rFonts w:hint="eastAsia" w:ascii="仿宋" w:hAnsi="仿宋" w:eastAsia="仿宋" w:cs="仿宋"/>
          <w:sz w:val="30"/>
          <w:szCs w:val="30"/>
        </w:rPr>
        <w:t>，力争达到</w:t>
      </w:r>
      <w:r>
        <w:rPr>
          <w:rFonts w:ascii="仿宋" w:hAnsi="仿宋" w:eastAsia="仿宋" w:cs="仿宋"/>
          <w:sz w:val="30"/>
          <w:szCs w:val="30"/>
        </w:rPr>
        <w:t>40%</w:t>
      </w:r>
      <w:r>
        <w:rPr>
          <w:rFonts w:hint="eastAsia" w:ascii="仿宋" w:hAnsi="仿宋" w:eastAsia="仿宋" w:cs="仿宋"/>
          <w:sz w:val="30"/>
          <w:szCs w:val="30"/>
        </w:rPr>
        <w:t>左右。</w:t>
      </w:r>
    </w:p>
    <w:p>
      <w:pPr>
        <w:pStyle w:val="4"/>
        <w:spacing w:before="0" w:after="0" w:line="360" w:lineRule="auto"/>
        <w:ind w:firstLine="602" w:firstLineChars="200"/>
        <w:rPr>
          <w:rFonts w:ascii="仿宋" w:hAnsi="仿宋" w:eastAsia="仿宋" w:cs="Times New Roman"/>
          <w:sz w:val="30"/>
          <w:szCs w:val="30"/>
        </w:rPr>
      </w:pPr>
      <w:bookmarkStart w:id="168" w:name="_Toc77925800"/>
      <w:bookmarkStart w:id="169" w:name="_Toc96329939"/>
      <w:r>
        <w:rPr>
          <w:rFonts w:hint="eastAsia" w:ascii="仿宋" w:hAnsi="仿宋" w:eastAsia="仿宋" w:cs="仿宋"/>
          <w:sz w:val="30"/>
          <w:szCs w:val="30"/>
        </w:rPr>
        <w:t>三、持续推进农村“厕所革命”</w:t>
      </w:r>
      <w:bookmarkEnd w:id="168"/>
      <w:bookmarkEnd w:id="169"/>
    </w:p>
    <w:p>
      <w:pPr>
        <w:pStyle w:val="26"/>
        <w:ind w:firstLine="640"/>
        <w:rPr>
          <w:rFonts w:ascii="仿宋" w:hAnsi="仿宋" w:eastAsia="仿宋" w:cs="Times New Roman"/>
          <w:sz w:val="30"/>
          <w:szCs w:val="30"/>
        </w:rPr>
      </w:pPr>
      <w:r>
        <w:rPr>
          <w:rFonts w:hint="eastAsia" w:ascii="仿宋" w:hAnsi="仿宋" w:eastAsia="仿宋" w:cs="仿宋"/>
          <w:sz w:val="30"/>
          <w:szCs w:val="30"/>
        </w:rPr>
        <w:t>分类有序推进农村“厕所革命”。重点推进无厕户、旱厕户改造和不达标无害化卫生厕所的改造提升。抓好农村厕所粪污资源化利用试点，探索推广一批农村厕所粪污资源化利用模式。推进有条件的地方开展农村改水、改厕和生活污水一体化处理。强化农村改厕技术支撑，提高农村改厕规范化水平。到</w:t>
      </w:r>
      <w:r>
        <w:rPr>
          <w:rFonts w:ascii="仿宋" w:hAnsi="仿宋" w:eastAsia="仿宋" w:cs="仿宋"/>
          <w:sz w:val="30"/>
          <w:szCs w:val="30"/>
        </w:rPr>
        <w:t>2025</w:t>
      </w:r>
      <w:r>
        <w:rPr>
          <w:rFonts w:hint="eastAsia" w:ascii="仿宋" w:hAnsi="仿宋" w:eastAsia="仿宋" w:cs="仿宋"/>
          <w:sz w:val="30"/>
          <w:szCs w:val="30"/>
        </w:rPr>
        <w:t>年，农村卫生厕所普及率力争达到</w:t>
      </w:r>
      <w:r>
        <w:rPr>
          <w:rFonts w:ascii="仿宋" w:hAnsi="仿宋" w:eastAsia="仿宋" w:cs="仿宋"/>
          <w:sz w:val="30"/>
          <w:szCs w:val="30"/>
        </w:rPr>
        <w:t>96%</w:t>
      </w:r>
      <w:r>
        <w:rPr>
          <w:rFonts w:hint="eastAsia" w:ascii="仿宋" w:hAnsi="仿宋" w:eastAsia="仿宋" w:cs="仿宋"/>
          <w:sz w:val="30"/>
          <w:szCs w:val="30"/>
        </w:rPr>
        <w:t>，厕所粪污有效处理和资源化利用水平显著提升。</w:t>
      </w:r>
    </w:p>
    <w:p>
      <w:pPr>
        <w:pStyle w:val="4"/>
        <w:spacing w:before="0" w:after="0" w:line="360" w:lineRule="auto"/>
        <w:ind w:firstLine="602" w:firstLineChars="200"/>
        <w:rPr>
          <w:rFonts w:ascii="仿宋" w:hAnsi="仿宋" w:eastAsia="仿宋" w:cs="Times New Roman"/>
          <w:b w:val="0"/>
          <w:bCs w:val="0"/>
          <w:sz w:val="30"/>
          <w:szCs w:val="30"/>
        </w:rPr>
      </w:pPr>
      <w:bookmarkStart w:id="170" w:name="_Toc2926_WPSOffice_Level3"/>
      <w:bookmarkStart w:id="171" w:name="_Toc77925801"/>
      <w:bookmarkStart w:id="172" w:name="_Toc77520251"/>
      <w:bookmarkStart w:id="173" w:name="_Toc67252178"/>
      <w:bookmarkStart w:id="174" w:name="_Toc96329940"/>
      <w:bookmarkStart w:id="175" w:name="_Toc57879219"/>
      <w:bookmarkStart w:id="176" w:name="_Toc27249_WPSOffice_Level3"/>
      <w:bookmarkStart w:id="177" w:name="_Toc30725"/>
      <w:r>
        <w:rPr>
          <w:rFonts w:hint="eastAsia" w:ascii="仿宋" w:hAnsi="仿宋" w:eastAsia="仿宋" w:cs="仿宋"/>
          <w:sz w:val="30"/>
          <w:szCs w:val="30"/>
        </w:rPr>
        <w:t>四、全面提升村容村貌</w:t>
      </w:r>
      <w:bookmarkEnd w:id="170"/>
      <w:bookmarkEnd w:id="171"/>
      <w:bookmarkEnd w:id="172"/>
      <w:bookmarkEnd w:id="173"/>
      <w:bookmarkEnd w:id="174"/>
      <w:bookmarkEnd w:id="175"/>
      <w:bookmarkEnd w:id="176"/>
      <w:bookmarkEnd w:id="177"/>
    </w:p>
    <w:p>
      <w:pPr>
        <w:pStyle w:val="6"/>
        <w:snapToGrid w:val="0"/>
        <w:spacing w:line="560" w:lineRule="exact"/>
        <w:ind w:left="0" w:firstLine="600" w:firstLineChars="200"/>
        <w:jc w:val="both"/>
        <w:rPr>
          <w:rFonts w:ascii="仿宋" w:hAnsi="仿宋" w:eastAsia="仿宋" w:cs="Times New Roman"/>
          <w:sz w:val="30"/>
          <w:szCs w:val="30"/>
        </w:rPr>
      </w:pPr>
      <w:r>
        <w:rPr>
          <w:rFonts w:hint="eastAsia" w:ascii="仿宋" w:hAnsi="仿宋" w:eastAsia="仿宋" w:cs="仿宋"/>
          <w:sz w:val="30"/>
          <w:szCs w:val="30"/>
        </w:rPr>
        <w:t>统筹县域城镇和村庄规划建设，促进县域内整体提升和均衡发展。综合考虑土地利用、产业发展、居民点布局、生态保护和历史文化传承等因素，科学布局乡村生产生活生态空间，分类推进村庄建设。按照“精细规划、精致建设、精细管理、精美呈现”理念和</w:t>
      </w:r>
      <w:r>
        <w:rPr>
          <w:rFonts w:hint="eastAsia" w:ascii="仿宋" w:hAnsi="仿宋" w:eastAsia="仿宋" w:cs="仿宋"/>
          <w:sz w:val="30"/>
          <w:szCs w:val="30"/>
          <w:lang w:val="en-US"/>
        </w:rPr>
        <w:t>“连点成线、拓线成面、突出特色、整体推进、产村融合、建管同步”的工作布局和“十个一”“八个有”工作要求</w:t>
      </w:r>
      <w:r>
        <w:rPr>
          <w:rFonts w:hint="eastAsia" w:ascii="仿宋" w:hAnsi="仿宋" w:eastAsia="仿宋" w:cs="仿宋"/>
          <w:sz w:val="30"/>
          <w:szCs w:val="30"/>
        </w:rPr>
        <w:t>，持续推进新农村（秀美乡村）建设。坚持建管并重，按照“五有”和“五定包干”要求，推动村庄环境管护实现“六化”，建立健全村庄环境长效管护机制。</w:t>
      </w:r>
      <w:r>
        <w:rPr>
          <w:rFonts w:hint="eastAsia" w:ascii="仿宋" w:hAnsi="仿宋" w:eastAsia="仿宋" w:cs="仿宋"/>
          <w:sz w:val="30"/>
          <w:szCs w:val="30"/>
          <w:lang w:val="en-US"/>
        </w:rPr>
        <w:t>突出</w:t>
      </w:r>
      <w:r>
        <w:rPr>
          <w:rFonts w:hint="eastAsia" w:ascii="仿宋" w:hAnsi="仿宋" w:eastAsia="仿宋" w:cs="仿宋"/>
          <w:sz w:val="30"/>
          <w:szCs w:val="30"/>
        </w:rPr>
        <w:t>“两清两整一美化”，</w:t>
      </w:r>
      <w:r>
        <w:rPr>
          <w:rFonts w:hint="eastAsia" w:ascii="仿宋" w:hAnsi="仿宋" w:eastAsia="仿宋" w:cs="仿宋"/>
          <w:sz w:val="30"/>
          <w:szCs w:val="30"/>
          <w:lang w:val="en-US"/>
        </w:rPr>
        <w:t>全域推开</w:t>
      </w:r>
      <w:r>
        <w:rPr>
          <w:rFonts w:hint="eastAsia" w:ascii="仿宋" w:hAnsi="仿宋" w:eastAsia="仿宋" w:cs="仿宋"/>
          <w:sz w:val="30"/>
          <w:szCs w:val="30"/>
        </w:rPr>
        <w:t>“整洁庭院”整治；围绕“八带头”，按照“五全”标准，实施“美丽宜居示范县创建”专项提升行动；按照“五化”“五优”“五美”标准，坚持“围绕产业发展建好美丽乡村、建好美丽乡村促进产业发展”思路，实施“美丽宜居</w:t>
      </w:r>
      <w:r>
        <w:rPr>
          <w:rFonts w:ascii="仿宋" w:hAnsi="仿宋" w:eastAsia="仿宋" w:cs="仿宋"/>
          <w:sz w:val="30"/>
          <w:szCs w:val="30"/>
        </w:rPr>
        <w:t>+</w:t>
      </w:r>
      <w:r>
        <w:rPr>
          <w:rFonts w:hint="eastAsia" w:ascii="仿宋" w:hAnsi="仿宋" w:eastAsia="仿宋" w:cs="仿宋"/>
          <w:sz w:val="30"/>
          <w:szCs w:val="30"/>
        </w:rPr>
        <w:t>活力乡村（</w:t>
      </w:r>
      <w:r>
        <w:rPr>
          <w:rFonts w:ascii="仿宋" w:hAnsi="仿宋" w:eastAsia="仿宋" w:cs="仿宋"/>
          <w:sz w:val="30"/>
          <w:szCs w:val="30"/>
        </w:rPr>
        <w:t>+</w:t>
      </w:r>
      <w:r>
        <w:rPr>
          <w:rFonts w:hint="eastAsia" w:ascii="仿宋" w:hAnsi="仿宋" w:eastAsia="仿宋" w:cs="仿宋"/>
          <w:sz w:val="30"/>
          <w:szCs w:val="30"/>
        </w:rPr>
        <w:t>民宿）”联动建设专项提升行动，创建一批全域美丽乡镇（村庄、庭院）。加强传统村落和历史文化名镇名村保护，组织开展传统村落申报，完善传统村落名录，建立传统村落档案。传承历史文脉，修缮保护村内古院落、古祠堂、古井</w:t>
      </w:r>
      <w:r>
        <w:rPr>
          <w:rStyle w:val="19"/>
          <w:rFonts w:hint="eastAsia" w:ascii="Calibri" w:hAnsi="Calibri"/>
          <w:lang w:val="en-US"/>
        </w:rPr>
        <w:t>、</w:t>
      </w:r>
      <w:r>
        <w:rPr>
          <w:rFonts w:hint="eastAsia" w:ascii="仿宋" w:hAnsi="仿宋" w:eastAsia="仿宋" w:cs="仿宋"/>
          <w:sz w:val="30"/>
          <w:szCs w:val="30"/>
        </w:rPr>
        <w:t>古树。</w:t>
      </w:r>
    </w:p>
    <w:tbl>
      <w:tblPr>
        <w:tblStyle w:val="16"/>
        <w:tblW w:w="0" w:type="auto"/>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46" w:type="dxa"/>
          </w:tcPr>
          <w:p>
            <w:pPr>
              <w:spacing w:line="360" w:lineRule="auto"/>
              <w:ind w:firstLine="562" w:firstLineChars="200"/>
              <w:jc w:val="center"/>
              <w:rPr>
                <w:rFonts w:ascii="黑体" w:hAnsi="黑体" w:eastAsia="黑体" w:cs="Times New Roman"/>
                <w:b/>
                <w:bCs/>
                <w:sz w:val="28"/>
                <w:szCs w:val="28"/>
                <w:shd w:val="clear" w:color="auto" w:fill="FFFFFF"/>
              </w:rPr>
            </w:pPr>
            <w:r>
              <w:rPr>
                <w:rFonts w:hint="eastAsia" w:ascii="黑体" w:hAnsi="黑体" w:eastAsia="黑体" w:cs="黑体"/>
                <w:b/>
                <w:bCs/>
                <w:sz w:val="28"/>
                <w:szCs w:val="28"/>
                <w:shd w:val="clear" w:color="auto" w:fill="FFFFFF"/>
              </w:rPr>
              <w:t>专栏</w:t>
            </w:r>
            <w:r>
              <w:rPr>
                <w:rFonts w:ascii="黑体" w:hAnsi="黑体" w:eastAsia="黑体" w:cs="黑体"/>
                <w:b/>
                <w:bCs/>
                <w:sz w:val="28"/>
                <w:szCs w:val="28"/>
                <w:shd w:val="clear" w:color="auto" w:fill="FFFFFF"/>
              </w:rPr>
              <w:t xml:space="preserve">8  </w:t>
            </w:r>
            <w:r>
              <w:rPr>
                <w:rFonts w:hint="eastAsia" w:ascii="黑体" w:hAnsi="黑体" w:eastAsia="黑体" w:cs="黑体"/>
                <w:b/>
                <w:bCs/>
                <w:sz w:val="28"/>
                <w:szCs w:val="28"/>
                <w:shd w:val="clear" w:color="auto" w:fill="FFFFFF"/>
              </w:rPr>
              <w:t>农村人居环境整治工程</w:t>
            </w:r>
          </w:p>
          <w:p>
            <w:pPr>
              <w:spacing w:line="560" w:lineRule="exact"/>
              <w:ind w:firstLine="562" w:firstLineChars="200"/>
              <w:rPr>
                <w:rFonts w:ascii="楷体" w:hAnsi="楷体" w:eastAsia="楷体" w:cs="Times New Roman"/>
                <w:b/>
                <w:bCs/>
                <w:sz w:val="28"/>
                <w:szCs w:val="28"/>
              </w:rPr>
            </w:pPr>
            <w:r>
              <w:rPr>
                <w:rFonts w:hint="eastAsia" w:ascii="楷体" w:hAnsi="楷体" w:eastAsia="楷体" w:cs="楷体"/>
                <w:b/>
                <w:bCs/>
                <w:sz w:val="28"/>
                <w:szCs w:val="28"/>
              </w:rPr>
              <w:t>（一）农村“厕所革命”提升工程</w:t>
            </w:r>
          </w:p>
          <w:p>
            <w:pPr>
              <w:spacing w:line="560" w:lineRule="exact"/>
              <w:ind w:firstLine="560" w:firstLineChars="200"/>
              <w:rPr>
                <w:rFonts w:ascii="楷体" w:hAnsi="楷体" w:eastAsia="楷体" w:cs="Times New Roman"/>
                <w:sz w:val="28"/>
                <w:szCs w:val="28"/>
              </w:rPr>
            </w:pPr>
            <w:r>
              <w:rPr>
                <w:rFonts w:hint="eastAsia" w:ascii="楷体" w:hAnsi="楷体" w:eastAsia="楷体" w:cs="楷体"/>
                <w:sz w:val="28"/>
                <w:szCs w:val="28"/>
              </w:rPr>
              <w:t>大力推进农村“厕所革命”，加快推进户用卫生厕所建设和改造，推进厕所粪污和禽畜养殖废弃物无害化处理和资源化利用，统筹推进农村改水、改厕与改污，切实解决化粪池尾水收集和处理问题。到</w:t>
            </w:r>
            <w:r>
              <w:rPr>
                <w:rFonts w:ascii="楷体" w:hAnsi="楷体" w:eastAsia="楷体" w:cs="楷体"/>
                <w:sz w:val="28"/>
                <w:szCs w:val="28"/>
              </w:rPr>
              <w:t>2025</w:t>
            </w:r>
            <w:r>
              <w:rPr>
                <w:rFonts w:hint="eastAsia" w:ascii="楷体" w:hAnsi="楷体" w:eastAsia="楷体" w:cs="楷体"/>
                <w:sz w:val="28"/>
                <w:szCs w:val="28"/>
              </w:rPr>
              <w:t>年，实现农村卫生厕所普及率达</w:t>
            </w:r>
            <w:r>
              <w:rPr>
                <w:rFonts w:ascii="楷体" w:hAnsi="楷体" w:eastAsia="楷体" w:cs="楷体"/>
                <w:sz w:val="28"/>
                <w:szCs w:val="28"/>
              </w:rPr>
              <w:t>96%</w:t>
            </w:r>
            <w:r>
              <w:rPr>
                <w:rFonts w:hint="eastAsia" w:ascii="楷体" w:hAnsi="楷体" w:eastAsia="楷体" w:cs="楷体"/>
                <w:sz w:val="28"/>
                <w:szCs w:val="28"/>
              </w:rPr>
              <w:t>和乡村旅游点卫生厕所基本全覆盖。</w:t>
            </w:r>
          </w:p>
          <w:p>
            <w:pPr>
              <w:spacing w:line="560" w:lineRule="exact"/>
              <w:ind w:firstLine="562" w:firstLineChars="200"/>
              <w:rPr>
                <w:rFonts w:ascii="楷体" w:hAnsi="楷体" w:eastAsia="楷体" w:cs="Times New Roman"/>
                <w:b/>
                <w:bCs/>
                <w:sz w:val="28"/>
                <w:szCs w:val="28"/>
              </w:rPr>
            </w:pPr>
            <w:r>
              <w:rPr>
                <w:rFonts w:hint="eastAsia" w:ascii="楷体" w:hAnsi="楷体" w:eastAsia="楷体" w:cs="楷体"/>
                <w:b/>
                <w:bCs/>
                <w:sz w:val="28"/>
                <w:szCs w:val="28"/>
              </w:rPr>
              <w:t>（二）农村生活垃圾治理工程</w:t>
            </w:r>
          </w:p>
          <w:p>
            <w:pPr>
              <w:spacing w:line="560" w:lineRule="exact"/>
              <w:ind w:firstLine="560" w:firstLineChars="200"/>
              <w:rPr>
                <w:rFonts w:ascii="楷体" w:hAnsi="楷体" w:eastAsia="楷体" w:cs="Times New Roman"/>
                <w:sz w:val="28"/>
                <w:szCs w:val="28"/>
              </w:rPr>
            </w:pPr>
            <w:r>
              <w:rPr>
                <w:rFonts w:hint="eastAsia" w:ascii="楷体" w:hAnsi="楷体" w:eastAsia="楷体" w:cs="楷体"/>
                <w:sz w:val="28"/>
                <w:szCs w:val="28"/>
              </w:rPr>
              <w:t>加快建立农村生活垃圾处理体系，开展农村生活垃圾分类收集处理试点，探索建立农村生活垃圾分类收集处理运行机制，配套完善垃圾分类收集、分类转运、分类处理设施设备，逐步实现所有乡镇县域农村生活垃圾分类收集处理和资源化综合利用工作全覆盖。</w:t>
            </w:r>
          </w:p>
          <w:p>
            <w:pPr>
              <w:spacing w:line="560" w:lineRule="exact"/>
              <w:ind w:firstLine="562" w:firstLineChars="200"/>
              <w:rPr>
                <w:rFonts w:ascii="楷体" w:hAnsi="楷体" w:eastAsia="楷体" w:cs="Times New Roman"/>
                <w:b/>
                <w:bCs/>
                <w:sz w:val="28"/>
                <w:szCs w:val="28"/>
              </w:rPr>
            </w:pPr>
            <w:r>
              <w:rPr>
                <w:rFonts w:hint="eastAsia" w:ascii="楷体" w:hAnsi="楷体" w:eastAsia="楷体" w:cs="楷体"/>
                <w:b/>
                <w:bCs/>
                <w:sz w:val="28"/>
                <w:szCs w:val="28"/>
              </w:rPr>
              <w:t>（三）农村生活污水治理工程</w:t>
            </w:r>
          </w:p>
          <w:p>
            <w:pPr>
              <w:spacing w:line="560" w:lineRule="exact"/>
              <w:ind w:firstLine="560" w:firstLineChars="200"/>
              <w:rPr>
                <w:rFonts w:ascii="楷体" w:hAnsi="楷体" w:eastAsia="楷体" w:cs="Times New Roman"/>
                <w:sz w:val="28"/>
                <w:szCs w:val="28"/>
              </w:rPr>
            </w:pPr>
            <w:r>
              <w:rPr>
                <w:rFonts w:hint="eastAsia" w:ascii="楷体" w:hAnsi="楷体" w:eastAsia="楷体" w:cs="楷体"/>
                <w:sz w:val="28"/>
                <w:szCs w:val="28"/>
              </w:rPr>
              <w:t>按照因地制宜的原则，分类分区推进农村生活污水治理，到</w:t>
            </w:r>
            <w:r>
              <w:rPr>
                <w:rFonts w:ascii="楷体" w:hAnsi="楷体" w:eastAsia="楷体" w:cs="楷体"/>
                <w:sz w:val="28"/>
                <w:szCs w:val="28"/>
              </w:rPr>
              <w:t>2025</w:t>
            </w:r>
            <w:r>
              <w:rPr>
                <w:rFonts w:hint="eastAsia" w:ascii="楷体" w:hAnsi="楷体" w:eastAsia="楷体" w:cs="楷体"/>
                <w:sz w:val="28"/>
                <w:szCs w:val="28"/>
              </w:rPr>
              <w:t>年，基本完成现有农村生活污水设施改造，全市农村生活污水治理率达到</w:t>
            </w:r>
            <w:r>
              <w:rPr>
                <w:rFonts w:ascii="楷体" w:hAnsi="楷体" w:eastAsia="楷体" w:cs="楷体"/>
                <w:sz w:val="28"/>
                <w:szCs w:val="28"/>
              </w:rPr>
              <w:t>30%</w:t>
            </w:r>
            <w:r>
              <w:rPr>
                <w:rFonts w:hint="eastAsia" w:ascii="楷体" w:hAnsi="楷体" w:eastAsia="楷体" w:cs="楷体"/>
                <w:sz w:val="28"/>
                <w:szCs w:val="28"/>
              </w:rPr>
              <w:t>，力争达到</w:t>
            </w:r>
            <w:r>
              <w:rPr>
                <w:rFonts w:ascii="楷体" w:hAnsi="楷体" w:eastAsia="楷体" w:cs="楷体"/>
                <w:sz w:val="28"/>
                <w:szCs w:val="28"/>
              </w:rPr>
              <w:t>40%</w:t>
            </w:r>
            <w:r>
              <w:rPr>
                <w:rFonts w:hint="eastAsia" w:ascii="楷体" w:hAnsi="楷体" w:eastAsia="楷体" w:cs="楷体"/>
                <w:sz w:val="28"/>
                <w:szCs w:val="28"/>
              </w:rPr>
              <w:t>左右。</w:t>
            </w:r>
          </w:p>
          <w:p>
            <w:pPr>
              <w:spacing w:line="560" w:lineRule="exact"/>
              <w:ind w:firstLine="562" w:firstLineChars="200"/>
              <w:rPr>
                <w:rFonts w:ascii="楷体" w:hAnsi="楷体" w:eastAsia="楷体" w:cs="Times New Roman"/>
                <w:b/>
                <w:bCs/>
                <w:sz w:val="28"/>
                <w:szCs w:val="28"/>
              </w:rPr>
            </w:pPr>
            <w:r>
              <w:rPr>
                <w:rFonts w:hint="eastAsia" w:ascii="楷体" w:hAnsi="楷体" w:eastAsia="楷体" w:cs="楷体"/>
                <w:b/>
                <w:bCs/>
                <w:sz w:val="28"/>
                <w:szCs w:val="28"/>
              </w:rPr>
              <w:t>（四）村容村貌提档升级工程</w:t>
            </w:r>
          </w:p>
          <w:p>
            <w:pPr>
              <w:spacing w:line="600" w:lineRule="exact"/>
              <w:ind w:firstLine="560" w:firstLineChars="200"/>
              <w:textAlignment w:val="baseline"/>
              <w:rPr>
                <w:rFonts w:ascii="楷体" w:hAnsi="楷体" w:eastAsia="楷体" w:cs="Times New Roman"/>
                <w:sz w:val="28"/>
                <w:szCs w:val="28"/>
              </w:rPr>
            </w:pPr>
            <w:r>
              <w:rPr>
                <w:rFonts w:hint="eastAsia" w:ascii="楷体" w:hAnsi="楷体" w:eastAsia="楷体" w:cs="楷体"/>
                <w:sz w:val="28"/>
                <w:szCs w:val="28"/>
              </w:rPr>
              <w:t>围绕宜居宜业，大力开展村庄整治、整洁庭院、美丽宜居示范县创建、村庄环境长效管护、“美丽活力乡村</w:t>
            </w:r>
            <w:r>
              <w:rPr>
                <w:rFonts w:ascii="楷体" w:hAnsi="楷体" w:eastAsia="楷体" w:cs="楷体"/>
                <w:sz w:val="28"/>
                <w:szCs w:val="28"/>
              </w:rPr>
              <w:t>+</w:t>
            </w:r>
            <w:r>
              <w:rPr>
                <w:rFonts w:hint="eastAsia" w:ascii="楷体" w:hAnsi="楷体" w:eastAsia="楷体" w:cs="楷体"/>
                <w:sz w:val="28"/>
                <w:szCs w:val="28"/>
              </w:rPr>
              <w:t>民宿”联动建设等五大专项提升行动。到</w:t>
            </w:r>
            <w:r>
              <w:rPr>
                <w:rFonts w:ascii="楷体" w:hAnsi="楷体" w:eastAsia="楷体" w:cs="楷体"/>
                <w:sz w:val="28"/>
                <w:szCs w:val="28"/>
              </w:rPr>
              <w:t>2025</w:t>
            </w:r>
            <w:r>
              <w:rPr>
                <w:rFonts w:hint="eastAsia" w:ascii="楷体" w:hAnsi="楷体" w:eastAsia="楷体" w:cs="楷体"/>
                <w:sz w:val="28"/>
                <w:szCs w:val="28"/>
              </w:rPr>
              <w:t>年，全市基本完成宜居不迁并村组的整治建设，村容村貌全面提升；美丽宜居示范县、全域美丽乡镇、美丽村庄、美丽庭院分别达到全市总数的</w:t>
            </w:r>
            <w:r>
              <w:rPr>
                <w:rFonts w:ascii="楷体" w:hAnsi="楷体" w:eastAsia="楷体" w:cs="楷体"/>
                <w:sz w:val="28"/>
                <w:szCs w:val="28"/>
              </w:rPr>
              <w:t>30%</w:t>
            </w:r>
            <w:r>
              <w:rPr>
                <w:rFonts w:hint="eastAsia" w:ascii="楷体" w:hAnsi="楷体" w:eastAsia="楷体" w:cs="楷体"/>
                <w:sz w:val="28"/>
                <w:szCs w:val="28"/>
              </w:rPr>
              <w:t>、</w:t>
            </w:r>
            <w:r>
              <w:rPr>
                <w:rFonts w:ascii="楷体" w:hAnsi="楷体" w:eastAsia="楷体" w:cs="楷体"/>
                <w:sz w:val="28"/>
                <w:szCs w:val="28"/>
              </w:rPr>
              <w:t>30%</w:t>
            </w:r>
            <w:r>
              <w:rPr>
                <w:rFonts w:hint="eastAsia" w:ascii="楷体" w:hAnsi="楷体" w:eastAsia="楷体" w:cs="楷体"/>
                <w:sz w:val="28"/>
                <w:szCs w:val="28"/>
              </w:rPr>
              <w:t>、</w:t>
            </w:r>
            <w:r>
              <w:rPr>
                <w:rFonts w:ascii="楷体" w:hAnsi="楷体" w:eastAsia="楷体" w:cs="楷体"/>
                <w:sz w:val="28"/>
                <w:szCs w:val="28"/>
              </w:rPr>
              <w:t>30%</w:t>
            </w:r>
            <w:r>
              <w:rPr>
                <w:rFonts w:hint="eastAsia" w:ascii="楷体" w:hAnsi="楷体" w:eastAsia="楷体" w:cs="楷体"/>
                <w:sz w:val="28"/>
                <w:szCs w:val="28"/>
              </w:rPr>
              <w:t>、</w:t>
            </w:r>
            <w:r>
              <w:rPr>
                <w:rFonts w:ascii="楷体" w:hAnsi="楷体" w:eastAsia="楷体" w:cs="楷体"/>
                <w:sz w:val="28"/>
                <w:szCs w:val="28"/>
              </w:rPr>
              <w:t>20%</w:t>
            </w:r>
            <w:r>
              <w:rPr>
                <w:rFonts w:hint="eastAsia" w:ascii="楷体" w:hAnsi="楷体" w:eastAsia="楷体" w:cs="楷体"/>
                <w:sz w:val="28"/>
                <w:szCs w:val="28"/>
              </w:rPr>
              <w:t>以上；全市创建</w:t>
            </w:r>
            <w:r>
              <w:rPr>
                <w:rFonts w:ascii="楷体" w:hAnsi="楷体" w:eastAsia="楷体" w:cs="楷体"/>
                <w:sz w:val="28"/>
                <w:szCs w:val="28"/>
              </w:rPr>
              <w:t>3</w:t>
            </w:r>
            <w:r>
              <w:rPr>
                <w:rFonts w:hint="eastAsia" w:ascii="楷体" w:hAnsi="楷体" w:eastAsia="楷体" w:cs="楷体"/>
                <w:sz w:val="28"/>
                <w:szCs w:val="28"/>
              </w:rPr>
              <w:t>个左右的“美丽活力乡村</w:t>
            </w:r>
            <w:r>
              <w:rPr>
                <w:rFonts w:ascii="楷体" w:hAnsi="楷体" w:eastAsia="楷体" w:cs="楷体"/>
                <w:sz w:val="28"/>
                <w:szCs w:val="28"/>
              </w:rPr>
              <w:t>+</w:t>
            </w:r>
            <w:r>
              <w:rPr>
                <w:rFonts w:hint="eastAsia" w:ascii="楷体" w:hAnsi="楷体" w:eastAsia="楷体" w:cs="楷体"/>
                <w:sz w:val="28"/>
                <w:szCs w:val="28"/>
              </w:rPr>
              <w:t>民宿”联动建设示范县，发展休闲乡村民宿</w:t>
            </w:r>
            <w:r>
              <w:rPr>
                <w:rFonts w:ascii="楷体" w:hAnsi="楷体" w:eastAsia="楷体" w:cs="楷体"/>
                <w:sz w:val="28"/>
                <w:szCs w:val="28"/>
              </w:rPr>
              <w:t>500</w:t>
            </w:r>
            <w:r>
              <w:rPr>
                <w:rFonts w:hint="eastAsia" w:ascii="楷体" w:hAnsi="楷体" w:eastAsia="楷体" w:cs="楷体"/>
                <w:sz w:val="28"/>
                <w:szCs w:val="28"/>
              </w:rPr>
              <w:t>家左右，创评星级休闲乡村民宿</w:t>
            </w:r>
            <w:r>
              <w:rPr>
                <w:rFonts w:ascii="楷体" w:hAnsi="楷体" w:eastAsia="楷体" w:cs="楷体"/>
                <w:sz w:val="28"/>
                <w:szCs w:val="28"/>
              </w:rPr>
              <w:t>100</w:t>
            </w:r>
            <w:r>
              <w:rPr>
                <w:rFonts w:hint="eastAsia" w:ascii="楷体" w:hAnsi="楷体" w:eastAsia="楷体" w:cs="楷体"/>
                <w:sz w:val="28"/>
                <w:szCs w:val="28"/>
              </w:rPr>
              <w:t>家左右。</w:t>
            </w:r>
          </w:p>
          <w:p>
            <w:pPr>
              <w:spacing w:line="600" w:lineRule="exact"/>
              <w:ind w:firstLine="562" w:firstLineChars="200"/>
              <w:textAlignment w:val="baseline"/>
              <w:rPr>
                <w:rFonts w:ascii="楷体" w:hAnsi="楷体" w:eastAsia="楷体" w:cs="Times New Roman"/>
                <w:b/>
                <w:bCs/>
                <w:sz w:val="28"/>
                <w:szCs w:val="28"/>
              </w:rPr>
            </w:pPr>
            <w:r>
              <w:rPr>
                <w:rFonts w:hint="eastAsia" w:ascii="楷体" w:hAnsi="楷体" w:eastAsia="楷体" w:cs="楷体"/>
                <w:b/>
                <w:bCs/>
                <w:sz w:val="28"/>
                <w:szCs w:val="28"/>
              </w:rPr>
              <w:t>（五）村庄环境长效管护专项提升工程</w:t>
            </w:r>
          </w:p>
          <w:p>
            <w:pPr>
              <w:spacing w:line="600" w:lineRule="exact"/>
              <w:ind w:firstLine="560" w:firstLineChars="200"/>
              <w:textAlignment w:val="baseline"/>
              <w:rPr>
                <w:rFonts w:ascii="楷体" w:hAnsi="楷体" w:eastAsia="楷体" w:cs="Times New Roman"/>
                <w:sz w:val="28"/>
                <w:szCs w:val="28"/>
              </w:rPr>
            </w:pPr>
            <w:r>
              <w:rPr>
                <w:rFonts w:hint="eastAsia" w:ascii="楷体" w:hAnsi="楷体" w:eastAsia="楷体" w:cs="楷体"/>
                <w:sz w:val="28"/>
                <w:szCs w:val="28"/>
              </w:rPr>
              <w:t>按照“一年是规矩、两年是习惯、三年是文化”的工作要求，进一步健全“五定包干”常态化长效管护机制，推动村庄环境管护实现“六化”，持久精美呈现“新村新貌”。积极建设推广“万村码上通”</w:t>
            </w:r>
            <w:r>
              <w:rPr>
                <w:rFonts w:ascii="楷体" w:hAnsi="楷体" w:eastAsia="楷体" w:cs="楷体"/>
                <w:sz w:val="28"/>
                <w:szCs w:val="28"/>
              </w:rPr>
              <w:t>5G+</w:t>
            </w:r>
            <w:r>
              <w:rPr>
                <w:rFonts w:hint="eastAsia" w:ascii="楷体" w:hAnsi="楷体" w:eastAsia="楷体" w:cs="楷体"/>
                <w:sz w:val="28"/>
                <w:szCs w:val="28"/>
              </w:rPr>
              <w:t>长效管护平台，用三年左右时间，各县市区基本搭建“万村码上通”</w:t>
            </w:r>
            <w:r>
              <w:rPr>
                <w:rFonts w:ascii="楷体" w:hAnsi="楷体" w:eastAsia="楷体" w:cs="楷体"/>
                <w:sz w:val="28"/>
                <w:szCs w:val="28"/>
              </w:rPr>
              <w:t>5G+</w:t>
            </w:r>
            <w:r>
              <w:rPr>
                <w:rFonts w:hint="eastAsia" w:ascii="楷体" w:hAnsi="楷体" w:eastAsia="楷体" w:cs="楷体"/>
                <w:sz w:val="28"/>
                <w:szCs w:val="28"/>
              </w:rPr>
              <w:t>长效管护平台；到</w:t>
            </w:r>
            <w:r>
              <w:rPr>
                <w:rFonts w:ascii="楷体" w:hAnsi="楷体" w:eastAsia="楷体" w:cs="楷体"/>
                <w:sz w:val="28"/>
                <w:szCs w:val="28"/>
              </w:rPr>
              <w:t>2025</w:t>
            </w:r>
            <w:r>
              <w:rPr>
                <w:rFonts w:hint="eastAsia" w:ascii="楷体" w:hAnsi="楷体" w:eastAsia="楷体" w:cs="楷体"/>
                <w:sz w:val="28"/>
                <w:szCs w:val="28"/>
              </w:rPr>
              <w:t>年，全市</w:t>
            </w:r>
            <w:r>
              <w:rPr>
                <w:rFonts w:ascii="楷体" w:hAnsi="楷体" w:eastAsia="楷体" w:cs="楷体"/>
                <w:sz w:val="28"/>
                <w:szCs w:val="28"/>
              </w:rPr>
              <w:t>95%</w:t>
            </w:r>
            <w:r>
              <w:rPr>
                <w:rFonts w:hint="eastAsia" w:ascii="楷体" w:hAnsi="楷体" w:eastAsia="楷体" w:cs="楷体"/>
                <w:sz w:val="28"/>
                <w:szCs w:val="28"/>
              </w:rPr>
              <w:t>的村庄纳入平台监管。</w:t>
            </w:r>
          </w:p>
        </w:tc>
      </w:tr>
    </w:tbl>
    <w:p>
      <w:pPr>
        <w:rPr>
          <w:rFonts w:cs="Times New Roman"/>
          <w:lang w:val="zh-CN"/>
        </w:rPr>
      </w:pPr>
    </w:p>
    <w:p>
      <w:pPr>
        <w:rPr>
          <w:rFonts w:cs="Times New Roman"/>
        </w:rPr>
      </w:pPr>
    </w:p>
    <w:p>
      <w:pPr>
        <w:pStyle w:val="3"/>
        <w:keepNext w:val="0"/>
        <w:keepLines w:val="0"/>
        <w:pageBreakBefore/>
        <w:jc w:val="center"/>
        <w:rPr>
          <w:rFonts w:ascii="黑体" w:hAnsi="黑体" w:eastAsia="黑体" w:cs="Times New Roman"/>
          <w:sz w:val="30"/>
          <w:szCs w:val="30"/>
        </w:rPr>
      </w:pPr>
      <w:bookmarkStart w:id="178" w:name="_Toc77925805"/>
      <w:bookmarkStart w:id="179" w:name="_Toc96329941"/>
      <w:bookmarkStart w:id="180" w:name="_Toc77520238"/>
      <w:r>
        <w:rPr>
          <w:rFonts w:hint="eastAsia" w:ascii="黑体" w:hAnsi="黑体" w:eastAsia="黑体" w:cs="黑体"/>
          <w:sz w:val="30"/>
          <w:szCs w:val="30"/>
        </w:rPr>
        <w:t>第六章</w:t>
      </w:r>
      <w:r>
        <w:rPr>
          <w:rFonts w:ascii="黑体" w:hAnsi="黑体" w:eastAsia="黑体" w:cs="黑体"/>
          <w:sz w:val="30"/>
          <w:szCs w:val="30"/>
        </w:rPr>
        <w:t xml:space="preserve"> </w:t>
      </w:r>
      <w:r>
        <w:rPr>
          <w:rFonts w:hint="eastAsia" w:ascii="黑体" w:hAnsi="黑体" w:eastAsia="黑体" w:cs="黑体"/>
          <w:sz w:val="30"/>
          <w:szCs w:val="30"/>
        </w:rPr>
        <w:t>构建</w:t>
      </w:r>
      <w:r>
        <w:rPr>
          <w:rFonts w:ascii="黑体" w:hAnsi="黑体" w:eastAsia="黑体" w:cs="黑体"/>
          <w:sz w:val="30"/>
          <w:szCs w:val="30"/>
        </w:rPr>
        <w:t>?</w:t>
      </w:r>
      <w:r>
        <w:rPr>
          <w:rFonts w:hint="eastAsia" w:ascii="黑体" w:hAnsi="黑体" w:eastAsia="黑体" w:cs="黑体"/>
          <w:sz w:val="30"/>
          <w:szCs w:val="30"/>
        </w:rPr>
        <w:t>°智慧联通</w:t>
      </w:r>
      <w:r>
        <w:rPr>
          <w:rFonts w:ascii="黑体" w:hAnsi="黑体" w:eastAsia="黑体" w:cs="黑体"/>
          <w:sz w:val="30"/>
          <w:szCs w:val="30"/>
        </w:rPr>
        <w:t xml:space="preserve"> </w:t>
      </w:r>
      <w:r>
        <w:rPr>
          <w:rFonts w:hint="eastAsia" w:ascii="黑体" w:hAnsi="黑体" w:eastAsia="黑体" w:cs="黑体"/>
          <w:sz w:val="30"/>
          <w:szCs w:val="30"/>
        </w:rPr>
        <w:t>方便快捷</w:t>
      </w:r>
      <w:r>
        <w:rPr>
          <w:rFonts w:ascii="黑体" w:hAnsi="黑体" w:eastAsia="黑体" w:cs="黑体"/>
          <w:sz w:val="30"/>
          <w:szCs w:val="30"/>
        </w:rPr>
        <w:t>?</w:t>
      </w:r>
      <w:r>
        <w:rPr>
          <w:rFonts w:hint="eastAsia" w:ascii="黑体" w:hAnsi="黑体" w:eastAsia="黑体" w:cs="黑体"/>
          <w:sz w:val="30"/>
          <w:szCs w:val="30"/>
        </w:rPr>
        <w:t>±的农村现代化体系</w:t>
      </w:r>
      <w:bookmarkEnd w:id="178"/>
      <w:bookmarkEnd w:id="179"/>
      <w:bookmarkEnd w:id="180"/>
    </w:p>
    <w:p>
      <w:pPr>
        <w:pStyle w:val="2"/>
        <w:jc w:val="center"/>
        <w:rPr>
          <w:rFonts w:ascii="黑体" w:hAnsi="黑体" w:eastAsia="黑体" w:cs="Times New Roman"/>
          <w:sz w:val="30"/>
          <w:szCs w:val="30"/>
        </w:rPr>
      </w:pPr>
      <w:bookmarkStart w:id="181" w:name="_Toc77925806"/>
      <w:bookmarkStart w:id="182" w:name="_Toc96329942"/>
      <w:bookmarkStart w:id="183" w:name="_Toc77520239"/>
      <w:r>
        <w:rPr>
          <w:rFonts w:hint="eastAsia" w:ascii="黑体" w:hAnsi="黑体" w:eastAsia="黑体" w:cs="黑体"/>
          <w:sz w:val="30"/>
          <w:szCs w:val="30"/>
        </w:rPr>
        <w:t>第一节</w:t>
      </w:r>
      <w:r>
        <w:rPr>
          <w:rFonts w:ascii="黑体" w:hAnsi="黑体" w:eastAsia="黑体" w:cs="黑体"/>
          <w:sz w:val="30"/>
          <w:szCs w:val="30"/>
        </w:rPr>
        <w:t xml:space="preserve"> </w:t>
      </w:r>
      <w:r>
        <w:rPr>
          <w:rFonts w:hint="eastAsia" w:ascii="黑体" w:hAnsi="黑体" w:eastAsia="黑体" w:cs="黑体"/>
          <w:sz w:val="30"/>
          <w:szCs w:val="30"/>
        </w:rPr>
        <w:t>加快推进村庄规划</w:t>
      </w:r>
      <w:bookmarkEnd w:id="181"/>
      <w:bookmarkEnd w:id="182"/>
      <w:bookmarkEnd w:id="183"/>
    </w:p>
    <w:p>
      <w:pPr>
        <w:pStyle w:val="6"/>
        <w:snapToGrid w:val="0"/>
        <w:spacing w:line="560" w:lineRule="exact"/>
        <w:ind w:left="0" w:firstLine="600" w:firstLineChars="200"/>
        <w:jc w:val="both"/>
        <w:rPr>
          <w:rFonts w:ascii="仿宋" w:hAnsi="仿宋" w:eastAsia="仿宋" w:cs="Times New Roman"/>
          <w:sz w:val="30"/>
          <w:szCs w:val="30"/>
        </w:rPr>
      </w:pPr>
      <w:r>
        <w:rPr>
          <w:rFonts w:hint="eastAsia" w:ascii="仿宋" w:hAnsi="仿宋" w:eastAsia="仿宋" w:cs="仿宋"/>
          <w:sz w:val="30"/>
          <w:szCs w:val="30"/>
        </w:rPr>
        <w:t>按照实用性原则，扎实开展县域乡村规划编制或修编，实行全市统筹规划，县区具体推进，乡镇连片，村庄整体实施。</w:t>
      </w:r>
    </w:p>
    <w:p>
      <w:pPr>
        <w:pStyle w:val="4"/>
        <w:spacing w:before="0" w:after="0" w:line="360" w:lineRule="auto"/>
        <w:ind w:firstLine="602" w:firstLineChars="200"/>
        <w:rPr>
          <w:rFonts w:ascii="仿宋" w:hAnsi="仿宋" w:eastAsia="仿宋" w:cs="Times New Roman"/>
          <w:sz w:val="30"/>
          <w:szCs w:val="30"/>
        </w:rPr>
      </w:pPr>
      <w:bookmarkStart w:id="184" w:name="_Toc77925807"/>
      <w:bookmarkStart w:id="185" w:name="_Toc96329943"/>
      <w:bookmarkStart w:id="186" w:name="_Toc77520240"/>
      <w:r>
        <w:rPr>
          <w:rFonts w:hint="eastAsia" w:ascii="仿宋" w:hAnsi="仿宋" w:eastAsia="仿宋" w:cs="仿宋"/>
          <w:sz w:val="30"/>
          <w:szCs w:val="30"/>
        </w:rPr>
        <w:t>一、全面完善规划</w:t>
      </w:r>
      <w:bookmarkEnd w:id="184"/>
      <w:bookmarkEnd w:id="185"/>
      <w:bookmarkEnd w:id="186"/>
    </w:p>
    <w:p>
      <w:pPr>
        <w:pStyle w:val="6"/>
        <w:snapToGrid w:val="0"/>
        <w:spacing w:line="560" w:lineRule="exact"/>
        <w:ind w:left="0" w:firstLine="600" w:firstLineChars="200"/>
        <w:jc w:val="both"/>
        <w:rPr>
          <w:rFonts w:ascii="仿宋" w:hAnsi="仿宋" w:eastAsia="仿宋" w:cs="Times New Roman"/>
          <w:sz w:val="30"/>
          <w:szCs w:val="30"/>
        </w:rPr>
      </w:pPr>
      <w:r>
        <w:rPr>
          <w:rFonts w:hint="eastAsia" w:ascii="仿宋" w:hAnsi="仿宋" w:eastAsia="仿宋" w:cs="仿宋"/>
          <w:sz w:val="30"/>
          <w:szCs w:val="30"/>
        </w:rPr>
        <w:t>结合县级国土空间规划编制，在明确村庄国土空间用途管制规则和建设管控要求的基础之上，</w:t>
      </w:r>
      <w:r>
        <w:rPr>
          <w:rFonts w:hint="eastAsia" w:ascii="仿宋" w:hAnsi="仿宋" w:eastAsia="仿宋" w:cs="仿宋"/>
          <w:sz w:val="30"/>
          <w:szCs w:val="30"/>
          <w:lang w:val="en-US"/>
        </w:rPr>
        <w:t>推进“多规合一”</w:t>
      </w:r>
      <w:r>
        <w:rPr>
          <w:rFonts w:hint="eastAsia" w:ascii="仿宋" w:hAnsi="仿宋" w:eastAsia="仿宋" w:cs="仿宋"/>
          <w:sz w:val="30"/>
          <w:szCs w:val="30"/>
        </w:rPr>
        <w:t>实用性村庄规划编制实施。加快推进历史文化名镇名村、传统村落保护规划的编制，科学指导保护和建设工作。根据村庄的不同类型以及建设发展需要，因地制宜分类确定村庄规划编制方法与内容，做到村庄功能布局优化，行政村有村庄整治安排、农房建设有规划管理、生产生活空间合理安排，实现村庄规划管理基本覆盖。规划编制充分征求村民意见和需求，并按程序纳入村规民约执行。</w:t>
      </w:r>
    </w:p>
    <w:p>
      <w:pPr>
        <w:pStyle w:val="4"/>
        <w:spacing w:before="0" w:after="0" w:line="360" w:lineRule="auto"/>
        <w:ind w:firstLine="602" w:firstLineChars="200"/>
        <w:rPr>
          <w:rFonts w:ascii="仿宋" w:hAnsi="仿宋" w:eastAsia="仿宋" w:cs="Times New Roman"/>
          <w:sz w:val="30"/>
          <w:szCs w:val="30"/>
        </w:rPr>
      </w:pPr>
      <w:bookmarkStart w:id="187" w:name="_Toc77520242"/>
      <w:bookmarkStart w:id="188" w:name="_Toc96329944"/>
      <w:bookmarkStart w:id="189" w:name="_Toc77925808"/>
      <w:r>
        <w:rPr>
          <w:rFonts w:hint="eastAsia" w:ascii="仿宋" w:hAnsi="仿宋" w:eastAsia="仿宋" w:cs="仿宋"/>
          <w:sz w:val="30"/>
          <w:szCs w:val="30"/>
        </w:rPr>
        <w:t>二、</w:t>
      </w:r>
      <w:bookmarkEnd w:id="187"/>
      <w:r>
        <w:rPr>
          <w:rFonts w:hint="eastAsia" w:ascii="仿宋" w:hAnsi="仿宋" w:eastAsia="仿宋" w:cs="仿宋"/>
          <w:sz w:val="30"/>
          <w:szCs w:val="30"/>
        </w:rPr>
        <w:t>严格落实农村建房制度</w:t>
      </w:r>
      <w:bookmarkEnd w:id="188"/>
      <w:bookmarkEnd w:id="189"/>
    </w:p>
    <w:p>
      <w:pPr>
        <w:pStyle w:val="6"/>
        <w:snapToGrid w:val="0"/>
        <w:spacing w:line="560" w:lineRule="exact"/>
        <w:ind w:left="0" w:firstLine="600" w:firstLineChars="200"/>
        <w:jc w:val="both"/>
        <w:rPr>
          <w:rFonts w:ascii="仿宋" w:hAnsi="仿宋" w:eastAsia="仿宋" w:cs="Times New Roman"/>
          <w:sz w:val="30"/>
          <w:szCs w:val="30"/>
        </w:rPr>
      </w:pPr>
      <w:r>
        <w:rPr>
          <w:rFonts w:hint="eastAsia" w:ascii="仿宋" w:hAnsi="仿宋" w:eastAsia="仿宋" w:cs="仿宋"/>
          <w:sz w:val="30"/>
          <w:szCs w:val="30"/>
        </w:rPr>
        <w:t>严格落实“一户一宅”政策，加强组织领导，科学配备人员力量，健全机构，履行属地责任，优化审批流程，提高审批效率，加强事中事后监管，规范宅基地审批和建房全过程管理。通过严格审查资格条件、明确申请审查程序、完善审核批准机制、严格用地建房全程管理，建立完善宅基地审批管理共同责任机制，科学合理地保障农村村民住宅建设合理用地需求。</w:t>
      </w:r>
    </w:p>
    <w:p>
      <w:pPr>
        <w:pStyle w:val="4"/>
        <w:spacing w:before="0" w:after="0" w:line="360" w:lineRule="auto"/>
        <w:ind w:firstLine="602" w:firstLineChars="200"/>
        <w:rPr>
          <w:rFonts w:ascii="仿宋" w:hAnsi="仿宋" w:eastAsia="仿宋" w:cs="Times New Roman"/>
          <w:sz w:val="30"/>
          <w:szCs w:val="30"/>
        </w:rPr>
      </w:pPr>
      <w:bookmarkStart w:id="190" w:name="_Toc77925809"/>
      <w:bookmarkStart w:id="191" w:name="_Toc96329945"/>
      <w:bookmarkStart w:id="192" w:name="_Toc77520243"/>
      <w:r>
        <w:rPr>
          <w:rFonts w:hint="eastAsia" w:ascii="仿宋" w:hAnsi="仿宋" w:eastAsia="仿宋" w:cs="仿宋"/>
          <w:sz w:val="30"/>
          <w:szCs w:val="30"/>
        </w:rPr>
        <w:t>三、推进农村宅基地管理试点工程</w:t>
      </w:r>
      <w:bookmarkEnd w:id="190"/>
      <w:bookmarkEnd w:id="191"/>
      <w:bookmarkEnd w:id="192"/>
    </w:p>
    <w:p>
      <w:pPr>
        <w:pStyle w:val="6"/>
        <w:snapToGrid w:val="0"/>
        <w:spacing w:line="560" w:lineRule="exact"/>
        <w:ind w:left="0" w:firstLine="600" w:firstLineChars="200"/>
        <w:jc w:val="both"/>
        <w:rPr>
          <w:rFonts w:ascii="仿宋" w:hAnsi="仿宋" w:eastAsia="仿宋" w:cs="Times New Roman"/>
          <w:sz w:val="30"/>
          <w:szCs w:val="30"/>
        </w:rPr>
      </w:pPr>
      <w:r>
        <w:rPr>
          <w:rFonts w:hint="eastAsia" w:ascii="仿宋" w:hAnsi="仿宋" w:eastAsia="仿宋" w:cs="仿宋"/>
          <w:sz w:val="30"/>
          <w:szCs w:val="30"/>
        </w:rPr>
        <w:t>围绕农村宅基地管理试点工作目标，将农村宅基地管理试点与党建、新农村建设、脱贫成效巩固、环境整治等相结合，充分发挥村民自治组织管理的主动性、积极性和创新性，积极探索创新宅基地退出、有偿使用等宅基地管理制度，进一步推动全市城乡一体化建设和美丽乡村建设进程。到“十四五”期末，全市农村宅基地管理试点工作任务全面完成，农村宅基地实行“一户一宅、面积法定”，农村闲置、多占宅基地全面退出和收回集体统一管理，废弃、倒塌房屋和猪牛栏等附属设施全部拆除，“空心村”得到高效治理，农村土地节约集约利用水平大幅提高，宅基地管理长效机制和制度全面规范，</w:t>
      </w:r>
      <w:r>
        <w:rPr>
          <w:rFonts w:hint="eastAsia" w:ascii="仿宋" w:hAnsi="仿宋" w:eastAsia="仿宋" w:cs="仿宋"/>
          <w:sz w:val="30"/>
          <w:szCs w:val="30"/>
          <w:lang w:val="en-US"/>
        </w:rPr>
        <w:t>努力构建</w:t>
      </w:r>
      <w:r>
        <w:rPr>
          <w:rFonts w:hint="eastAsia" w:ascii="仿宋" w:hAnsi="仿宋" w:eastAsia="仿宋" w:cs="仿宋"/>
          <w:sz w:val="30"/>
          <w:szCs w:val="30"/>
        </w:rPr>
        <w:t>布局美、产业美、环境美、生活美、风尚美的“</w:t>
      </w:r>
      <w:r>
        <w:rPr>
          <w:rFonts w:hint="eastAsia" w:ascii="仿宋" w:hAnsi="仿宋" w:eastAsia="仿宋" w:cs="仿宋"/>
          <w:sz w:val="30"/>
          <w:szCs w:val="30"/>
          <w:lang w:val="en-US"/>
        </w:rPr>
        <w:t>五美</w:t>
      </w:r>
      <w:r>
        <w:rPr>
          <w:rFonts w:hint="eastAsia" w:ascii="仿宋" w:hAnsi="仿宋" w:eastAsia="仿宋" w:cs="仿宋"/>
          <w:sz w:val="30"/>
          <w:szCs w:val="30"/>
        </w:rPr>
        <w:t>”新农村，努力在全面推进乡村振兴上</w:t>
      </w:r>
      <w:r>
        <w:rPr>
          <w:rFonts w:hint="eastAsia" w:ascii="仿宋" w:hAnsi="仿宋" w:eastAsia="仿宋" w:cs="仿宋"/>
          <w:sz w:val="30"/>
          <w:szCs w:val="30"/>
          <w:lang w:val="en-US"/>
        </w:rPr>
        <w:t>走前列</w:t>
      </w:r>
      <w:r>
        <w:rPr>
          <w:rFonts w:hint="eastAsia" w:ascii="仿宋" w:hAnsi="仿宋" w:eastAsia="仿宋" w:cs="仿宋"/>
          <w:sz w:val="30"/>
          <w:szCs w:val="30"/>
        </w:rPr>
        <w:t>。</w:t>
      </w:r>
    </w:p>
    <w:tbl>
      <w:tblPr>
        <w:tblStyle w:val="16"/>
        <w:tblW w:w="0" w:type="auto"/>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35" w:type="dxa"/>
            <w:noWrap/>
          </w:tcPr>
          <w:p>
            <w:pPr>
              <w:spacing w:line="360" w:lineRule="auto"/>
              <w:ind w:firstLine="562" w:firstLineChars="200"/>
              <w:jc w:val="center"/>
              <w:rPr>
                <w:rFonts w:ascii="黑体" w:hAnsi="黑体" w:eastAsia="黑体" w:cs="Times New Roman"/>
                <w:b/>
                <w:bCs/>
                <w:sz w:val="28"/>
                <w:szCs w:val="28"/>
                <w:shd w:val="clear" w:color="auto" w:fill="FFFFFF"/>
              </w:rPr>
            </w:pPr>
            <w:r>
              <w:rPr>
                <w:rFonts w:hint="eastAsia" w:ascii="黑体" w:hAnsi="黑体" w:eastAsia="黑体" w:cs="黑体"/>
                <w:b/>
                <w:bCs/>
                <w:sz w:val="28"/>
                <w:szCs w:val="28"/>
                <w:shd w:val="clear" w:color="auto" w:fill="FFFFFF"/>
              </w:rPr>
              <w:t>专栏</w:t>
            </w:r>
            <w:r>
              <w:rPr>
                <w:rFonts w:ascii="黑体" w:hAnsi="黑体" w:eastAsia="黑体" w:cs="黑体"/>
                <w:b/>
                <w:bCs/>
                <w:sz w:val="28"/>
                <w:szCs w:val="28"/>
                <w:shd w:val="clear" w:color="auto" w:fill="FFFFFF"/>
              </w:rPr>
              <w:t xml:space="preserve">9  </w:t>
            </w:r>
            <w:r>
              <w:rPr>
                <w:rFonts w:hint="eastAsia" w:ascii="黑体" w:hAnsi="黑体" w:eastAsia="黑体" w:cs="黑体"/>
                <w:b/>
                <w:bCs/>
                <w:sz w:val="28"/>
                <w:szCs w:val="28"/>
                <w:shd w:val="clear" w:color="auto" w:fill="FFFFFF"/>
              </w:rPr>
              <w:t>村庄发展规划工程</w:t>
            </w:r>
          </w:p>
          <w:p>
            <w:pPr>
              <w:spacing w:line="560" w:lineRule="exact"/>
              <w:ind w:firstLine="562" w:firstLineChars="200"/>
              <w:rPr>
                <w:rFonts w:ascii="楷体" w:hAnsi="楷体" w:eastAsia="楷体" w:cs="Times New Roman"/>
                <w:b/>
                <w:bCs/>
                <w:sz w:val="28"/>
                <w:szCs w:val="28"/>
              </w:rPr>
            </w:pPr>
            <w:r>
              <w:rPr>
                <w:rFonts w:hint="eastAsia" w:ascii="楷体" w:hAnsi="楷体" w:eastAsia="楷体" w:cs="楷体"/>
                <w:b/>
                <w:bCs/>
                <w:sz w:val="28"/>
                <w:szCs w:val="28"/>
              </w:rPr>
              <w:t>（一）村庄规划制定工程</w:t>
            </w:r>
          </w:p>
          <w:p>
            <w:pPr>
              <w:spacing w:line="560" w:lineRule="exact"/>
              <w:ind w:firstLine="560" w:firstLineChars="200"/>
              <w:rPr>
                <w:rFonts w:ascii="楷体" w:hAnsi="楷体" w:eastAsia="楷体" w:cs="Times New Roman"/>
                <w:sz w:val="28"/>
                <w:szCs w:val="28"/>
              </w:rPr>
            </w:pPr>
            <w:r>
              <w:rPr>
                <w:rFonts w:hint="eastAsia" w:ascii="楷体" w:hAnsi="楷体" w:eastAsia="楷体" w:cs="楷体"/>
                <w:sz w:val="28"/>
                <w:szCs w:val="28"/>
              </w:rPr>
              <w:t>以县为单位做好村庄布局规划，因地制宜、分类指导、分档推进，编制多规合一的实用性村庄规划，合理确定保留村、拆并村、新建村的空间布点和数量。细化乡（镇）域乡村规划，落实县（市、区）域规划内容。推动村庄规划管理全覆盖。实现“一村一规划”，避免千村一面，防止乡村景观城市化，到</w:t>
            </w:r>
            <w:r>
              <w:rPr>
                <w:rFonts w:ascii="楷体" w:hAnsi="楷体" w:eastAsia="楷体" w:cs="楷体"/>
                <w:sz w:val="28"/>
                <w:szCs w:val="28"/>
              </w:rPr>
              <w:t>2025</w:t>
            </w:r>
            <w:r>
              <w:rPr>
                <w:rFonts w:hint="eastAsia" w:ascii="楷体" w:hAnsi="楷体" w:eastAsia="楷体" w:cs="楷体"/>
                <w:sz w:val="28"/>
                <w:szCs w:val="28"/>
              </w:rPr>
              <w:t>年，全市应编类村庄进行村庄规划单独编制，做到应编尽编。</w:t>
            </w:r>
          </w:p>
          <w:p>
            <w:pPr>
              <w:spacing w:line="560" w:lineRule="exact"/>
              <w:ind w:firstLine="562" w:firstLineChars="200"/>
              <w:rPr>
                <w:rFonts w:ascii="楷体" w:hAnsi="楷体" w:eastAsia="楷体" w:cs="Times New Roman"/>
                <w:b/>
                <w:bCs/>
                <w:sz w:val="28"/>
                <w:szCs w:val="28"/>
              </w:rPr>
            </w:pPr>
            <w:r>
              <w:rPr>
                <w:rFonts w:hint="eastAsia" w:ascii="楷体" w:hAnsi="楷体" w:eastAsia="楷体" w:cs="楷体"/>
                <w:b/>
                <w:bCs/>
                <w:sz w:val="28"/>
                <w:szCs w:val="28"/>
              </w:rPr>
              <w:t>（二）乡村公共基础设施规划制定工程</w:t>
            </w:r>
          </w:p>
          <w:p>
            <w:pPr>
              <w:spacing w:line="560" w:lineRule="exact"/>
              <w:ind w:firstLine="640"/>
              <w:rPr>
                <w:rFonts w:cs="Times New Roman"/>
                <w:sz w:val="24"/>
                <w:szCs w:val="24"/>
              </w:rPr>
            </w:pPr>
            <w:r>
              <w:rPr>
                <w:rFonts w:hint="eastAsia" w:ascii="楷体" w:hAnsi="楷体" w:eastAsia="楷体" w:cs="楷体"/>
                <w:sz w:val="28"/>
                <w:szCs w:val="28"/>
              </w:rPr>
              <w:t>建立城乡基础设施一体化发展体制机制，推动城乡基础设施统一规划、统一建设、统一管护。构建分级分类投入机制，支持整体打包立项的城乡联动建设项目，建设城乡一体的道路系统、垃圾收运系统、供水系统、污水处理系统、农产品冷链物流系统等基础设施与公共服务体系，制定城乡协调发展的基础设施建设规划，到</w:t>
            </w:r>
            <w:r>
              <w:rPr>
                <w:rFonts w:ascii="楷体" w:hAnsi="楷体" w:eastAsia="楷体" w:cs="楷体"/>
                <w:sz w:val="28"/>
                <w:szCs w:val="28"/>
              </w:rPr>
              <w:t>2025</w:t>
            </w:r>
            <w:r>
              <w:rPr>
                <w:rFonts w:hint="eastAsia" w:ascii="楷体" w:hAnsi="楷体" w:eastAsia="楷体" w:cs="楷体"/>
                <w:sz w:val="28"/>
                <w:szCs w:val="28"/>
              </w:rPr>
              <w:t>年，实现全市乡村公共基础设施规划制定率达到</w:t>
            </w:r>
            <w:r>
              <w:rPr>
                <w:rFonts w:ascii="楷体" w:hAnsi="楷体" w:eastAsia="楷体" w:cs="楷体"/>
                <w:sz w:val="28"/>
                <w:szCs w:val="28"/>
              </w:rPr>
              <w:t>60%</w:t>
            </w:r>
            <w:r>
              <w:rPr>
                <w:rFonts w:hint="eastAsia" w:ascii="楷体" w:hAnsi="楷体" w:eastAsia="楷体" w:cs="楷体"/>
                <w:sz w:val="28"/>
                <w:szCs w:val="28"/>
              </w:rPr>
              <w:t>以上。</w:t>
            </w:r>
          </w:p>
        </w:tc>
      </w:tr>
    </w:tbl>
    <w:p>
      <w:pPr>
        <w:pStyle w:val="2"/>
        <w:jc w:val="center"/>
        <w:rPr>
          <w:rFonts w:ascii="黑体" w:hAnsi="黑体" w:eastAsia="黑体" w:cs="Times New Roman"/>
          <w:sz w:val="30"/>
          <w:szCs w:val="30"/>
        </w:rPr>
      </w:pPr>
      <w:bookmarkStart w:id="193" w:name="_Toc96329946"/>
      <w:bookmarkStart w:id="194" w:name="_Toc77925811"/>
      <w:bookmarkStart w:id="195" w:name="_Toc77520244"/>
      <w:r>
        <w:rPr>
          <w:rFonts w:hint="eastAsia" w:ascii="黑体" w:hAnsi="黑体" w:eastAsia="黑体" w:cs="黑体"/>
          <w:sz w:val="30"/>
          <w:szCs w:val="30"/>
        </w:rPr>
        <w:t>第二节</w:t>
      </w:r>
      <w:r>
        <w:rPr>
          <w:rFonts w:ascii="黑体" w:hAnsi="黑体" w:eastAsia="黑体" w:cs="黑体"/>
          <w:sz w:val="30"/>
          <w:szCs w:val="30"/>
        </w:rPr>
        <w:t xml:space="preserve"> </w:t>
      </w:r>
      <w:r>
        <w:rPr>
          <w:rFonts w:hint="eastAsia" w:ascii="黑体" w:hAnsi="黑体" w:eastAsia="黑体" w:cs="黑体"/>
          <w:sz w:val="30"/>
          <w:szCs w:val="30"/>
        </w:rPr>
        <w:t>加强农村基础设施建设</w:t>
      </w:r>
      <w:bookmarkEnd w:id="193"/>
      <w:bookmarkEnd w:id="194"/>
      <w:bookmarkEnd w:id="195"/>
    </w:p>
    <w:p>
      <w:pPr>
        <w:pStyle w:val="4"/>
        <w:spacing w:before="0" w:after="0" w:line="360" w:lineRule="auto"/>
        <w:ind w:firstLine="602" w:firstLineChars="200"/>
        <w:rPr>
          <w:rFonts w:ascii="仿宋" w:hAnsi="仿宋" w:eastAsia="仿宋" w:cs="Times New Roman"/>
          <w:sz w:val="30"/>
          <w:szCs w:val="30"/>
        </w:rPr>
      </w:pPr>
      <w:bookmarkStart w:id="196" w:name="_Toc77925812"/>
      <w:bookmarkStart w:id="197" w:name="_Toc65485927"/>
      <w:bookmarkStart w:id="198" w:name="_Toc77520245"/>
      <w:bookmarkStart w:id="199" w:name="_Toc57879251"/>
      <w:bookmarkStart w:id="200" w:name="_Toc96329947"/>
      <w:r>
        <w:rPr>
          <w:rFonts w:hint="eastAsia" w:ascii="仿宋" w:hAnsi="仿宋" w:eastAsia="仿宋" w:cs="仿宋"/>
          <w:sz w:val="30"/>
          <w:szCs w:val="30"/>
        </w:rPr>
        <w:t>一、改善农村交通物流设施条件</w:t>
      </w:r>
      <w:bookmarkEnd w:id="196"/>
      <w:bookmarkEnd w:id="197"/>
      <w:bookmarkEnd w:id="198"/>
      <w:bookmarkEnd w:id="199"/>
      <w:bookmarkEnd w:id="200"/>
    </w:p>
    <w:p>
      <w:pPr>
        <w:pStyle w:val="6"/>
        <w:snapToGrid w:val="0"/>
        <w:spacing w:line="560" w:lineRule="exact"/>
        <w:ind w:left="0" w:firstLine="600" w:firstLineChars="200"/>
        <w:jc w:val="both"/>
        <w:rPr>
          <w:rFonts w:ascii="仿宋" w:hAnsi="仿宋" w:eastAsia="仿宋" w:cs="Times New Roman"/>
          <w:sz w:val="30"/>
          <w:szCs w:val="30"/>
        </w:rPr>
      </w:pPr>
      <w:r>
        <w:rPr>
          <w:rFonts w:hint="eastAsia" w:ascii="仿宋" w:hAnsi="仿宋" w:eastAsia="仿宋" w:cs="仿宋"/>
          <w:sz w:val="30"/>
          <w:szCs w:val="30"/>
        </w:rPr>
        <w:t>加强农村交通设施建设和管理，全面推进“四好农村路”全国示范县县道升级改造工程建设，深化农村公路管护体制改革。大力推进农村公路改造升级，实施县乡道等级提升工程和</w:t>
      </w:r>
      <w:r>
        <w:rPr>
          <w:rFonts w:ascii="仿宋" w:hAnsi="仿宋" w:eastAsia="仿宋" w:cs="仿宋"/>
          <w:sz w:val="30"/>
          <w:szCs w:val="30"/>
        </w:rPr>
        <w:t>25</w:t>
      </w:r>
      <w:r>
        <w:rPr>
          <w:rFonts w:hint="eastAsia" w:ascii="仿宋" w:hAnsi="仿宋" w:eastAsia="仿宋" w:cs="仿宋"/>
          <w:sz w:val="30"/>
          <w:szCs w:val="30"/>
        </w:rPr>
        <w:t>户以上自然村通水泥路“清零行动”，加快行政村优先通达路线</w:t>
      </w:r>
      <w:r>
        <w:rPr>
          <w:rFonts w:ascii="仿宋" w:hAnsi="仿宋" w:eastAsia="仿宋" w:cs="仿宋"/>
          <w:sz w:val="30"/>
          <w:szCs w:val="30"/>
        </w:rPr>
        <w:t>3.5</w:t>
      </w:r>
      <w:r>
        <w:rPr>
          <w:rFonts w:hint="eastAsia" w:ascii="仿宋" w:hAnsi="仿宋" w:eastAsia="仿宋" w:cs="仿宋"/>
          <w:sz w:val="30"/>
          <w:szCs w:val="30"/>
        </w:rPr>
        <w:t>米及以下路面拓宽改造。完善安全防护设施，推进农村公路危桥改造，完成乡道及以上等级公路安全隐患治理，进一步改善乡村基本出行条件。加快推进城乡客运服务一体化，推动城市公共交通线路向农村延伸，鼓励发展镇村公交，实现具备条件的建制村全部通客车。推动有条件地区实施农村客车线路公交化改造。加快农村寄递物流体系建设，加快补齐农村寄递物流基础设施补短板，推进“快递进村”工程，解决物流</w:t>
      </w:r>
      <w:r>
        <w:rPr>
          <w:rFonts w:hint="eastAsia" w:ascii="仿宋" w:hAnsi="仿宋" w:eastAsia="仿宋" w:cs="仿宋"/>
          <w:sz w:val="30"/>
          <w:szCs w:val="30"/>
          <w:lang w:val="en-US"/>
        </w:rPr>
        <w:t>进</w:t>
      </w:r>
      <w:r>
        <w:rPr>
          <w:rFonts w:hint="eastAsia" w:ascii="仿宋" w:hAnsi="仿宋" w:eastAsia="仿宋" w:cs="仿宋"/>
          <w:sz w:val="30"/>
          <w:szCs w:val="30"/>
        </w:rPr>
        <w:t>村“最后一公里”问题。</w:t>
      </w:r>
    </w:p>
    <w:p>
      <w:pPr>
        <w:pStyle w:val="4"/>
        <w:spacing w:before="0" w:after="0" w:line="360" w:lineRule="auto"/>
        <w:ind w:firstLine="602" w:firstLineChars="200"/>
        <w:rPr>
          <w:rFonts w:ascii="仿宋" w:hAnsi="仿宋" w:eastAsia="仿宋" w:cs="Times New Roman"/>
          <w:sz w:val="30"/>
          <w:szCs w:val="30"/>
        </w:rPr>
      </w:pPr>
      <w:bookmarkStart w:id="201" w:name="_Toc65485928"/>
      <w:bookmarkStart w:id="202" w:name="_Toc77520246"/>
      <w:bookmarkStart w:id="203" w:name="_Toc57879252"/>
      <w:bookmarkStart w:id="204" w:name="_Toc96329948"/>
      <w:bookmarkStart w:id="205" w:name="_Toc77925813"/>
      <w:r>
        <w:rPr>
          <w:rFonts w:hint="eastAsia" w:ascii="仿宋" w:hAnsi="仿宋" w:eastAsia="仿宋" w:cs="仿宋"/>
          <w:sz w:val="30"/>
          <w:szCs w:val="30"/>
        </w:rPr>
        <w:t>二、加强农村水利基础设施建设</w:t>
      </w:r>
      <w:bookmarkEnd w:id="201"/>
      <w:bookmarkEnd w:id="202"/>
      <w:bookmarkEnd w:id="203"/>
      <w:bookmarkEnd w:id="204"/>
      <w:bookmarkEnd w:id="205"/>
    </w:p>
    <w:p>
      <w:pPr>
        <w:pStyle w:val="6"/>
        <w:snapToGrid w:val="0"/>
        <w:spacing w:line="560" w:lineRule="exact"/>
        <w:ind w:left="0" w:firstLine="600" w:firstLineChars="200"/>
        <w:jc w:val="both"/>
        <w:rPr>
          <w:rFonts w:ascii="仿宋" w:hAnsi="仿宋" w:eastAsia="仿宋" w:cs="Times New Roman"/>
          <w:sz w:val="30"/>
          <w:szCs w:val="30"/>
        </w:rPr>
      </w:pPr>
      <w:r>
        <w:rPr>
          <w:rFonts w:hint="eastAsia" w:ascii="仿宋" w:hAnsi="仿宋" w:eastAsia="仿宋" w:cs="仿宋"/>
          <w:sz w:val="30"/>
          <w:szCs w:val="30"/>
        </w:rPr>
        <w:t>改造升级农村水利基础设施。有序开展江河湖治理，加强中小河流治理、病险水库水闸除险加固、山洪沟治理及农村基层防汛预报预警体系建设，积极推进流域控制性枢纽工程和治涝工程建设。积极开展生态型、现代型灌区建设，大力推进高效节水灌溉，推广农业节水技术和产品。加快山塘整治，打通农田水利“最后一公里”。加大农村水环境治理力度，推进水系连通和河塘清淤整治等工程建设。深化农村水利改革。稳步推进农业水价综合改革。加强水资源保护，改善主要江河湖库水功能区水质。深入推进城乡供水一体化工程建设，采取新建、配套、改造、升级、联网等方式，发展规模化集中供水，提高农村安全饮水保障能力。推行农村饮水安全工程标准化管理，强化行业监管，提升农村饮水安全水平。鼓励农民、农村集体经济组织、农民用水合作组织、新型农业经营主体等参与工程建设经营。</w:t>
      </w:r>
    </w:p>
    <w:p>
      <w:pPr>
        <w:pStyle w:val="4"/>
        <w:spacing w:before="0" w:after="0" w:line="360" w:lineRule="auto"/>
        <w:ind w:firstLine="602" w:firstLineChars="200"/>
        <w:rPr>
          <w:rFonts w:ascii="仿宋" w:hAnsi="仿宋" w:eastAsia="仿宋" w:cs="Times New Roman"/>
          <w:sz w:val="30"/>
          <w:szCs w:val="30"/>
        </w:rPr>
      </w:pPr>
      <w:bookmarkStart w:id="206" w:name="_Toc77520247"/>
      <w:bookmarkStart w:id="207" w:name="_Toc65485929"/>
      <w:bookmarkStart w:id="208" w:name="_Toc57879253"/>
      <w:bookmarkStart w:id="209" w:name="_Toc96329949"/>
      <w:bookmarkStart w:id="210" w:name="_Toc77925814"/>
      <w:r>
        <w:rPr>
          <w:rFonts w:hint="eastAsia" w:ascii="仿宋" w:hAnsi="仿宋" w:eastAsia="仿宋" w:cs="仿宋"/>
          <w:sz w:val="30"/>
          <w:szCs w:val="30"/>
        </w:rPr>
        <w:t>三、</w:t>
      </w:r>
      <w:bookmarkEnd w:id="206"/>
      <w:bookmarkEnd w:id="207"/>
      <w:bookmarkEnd w:id="208"/>
      <w:r>
        <w:rPr>
          <w:rFonts w:hint="eastAsia" w:ascii="仿宋" w:hAnsi="仿宋" w:eastAsia="仿宋" w:cs="仿宋"/>
          <w:sz w:val="30"/>
          <w:szCs w:val="30"/>
        </w:rPr>
        <w:t>推动农村绿色低碳发展</w:t>
      </w:r>
      <w:bookmarkEnd w:id="209"/>
      <w:bookmarkEnd w:id="210"/>
    </w:p>
    <w:p>
      <w:pPr>
        <w:pStyle w:val="6"/>
        <w:snapToGrid w:val="0"/>
        <w:spacing w:line="560" w:lineRule="exact"/>
        <w:ind w:left="0" w:firstLine="600" w:firstLineChars="200"/>
        <w:jc w:val="both"/>
        <w:rPr>
          <w:rFonts w:ascii="仿宋" w:hAnsi="仿宋" w:eastAsia="仿宋" w:cs="Times New Roman"/>
          <w:sz w:val="30"/>
          <w:szCs w:val="30"/>
        </w:rPr>
      </w:pPr>
      <w:r>
        <w:rPr>
          <w:rFonts w:hint="eastAsia" w:ascii="仿宋" w:hAnsi="仿宋" w:eastAsia="仿宋" w:cs="仿宋"/>
          <w:sz w:val="30"/>
          <w:szCs w:val="30"/>
        </w:rPr>
        <w:t>统筹推进碳达峰、碳中和工作，充分协调好</w:t>
      </w:r>
      <w:r>
        <w:rPr>
          <w:rFonts w:ascii="仿宋" w:hAnsi="仿宋" w:eastAsia="仿宋" w:cs="仿宋"/>
          <w:sz w:val="30"/>
          <w:szCs w:val="30"/>
        </w:rPr>
        <w:t>?</w:t>
      </w:r>
      <w:r>
        <w:rPr>
          <w:rFonts w:hint="eastAsia" w:ascii="仿宋" w:hAnsi="仿宋" w:eastAsia="仿宋" w:cs="仿宋"/>
          <w:sz w:val="30"/>
          <w:szCs w:val="30"/>
        </w:rPr>
        <w:t>°双碳</w:t>
      </w:r>
      <w:r>
        <w:rPr>
          <w:rFonts w:ascii="仿宋" w:hAnsi="仿宋" w:eastAsia="仿宋" w:cs="仿宋"/>
          <w:sz w:val="30"/>
          <w:szCs w:val="30"/>
        </w:rPr>
        <w:t>?</w:t>
      </w:r>
      <w:r>
        <w:rPr>
          <w:rFonts w:hint="eastAsia" w:ascii="仿宋" w:hAnsi="仿宋" w:eastAsia="仿宋" w:cs="仿宋"/>
          <w:sz w:val="30"/>
          <w:szCs w:val="30"/>
        </w:rPr>
        <w:t>±目标、粮食安全目标和农民增收目标。牢固树立和践行绿水青山就是金山银山的理念，推动形成政府主导、社会参与、市场化运作的农业碳交易体系，在保障国家粮食安全与重要农产品有效供给的同时，尽可能降低碳排放、增加碳汇，并使农民在碳交易市场中得到更多红利，最终形成与资源环境承载力相匹配、与生产生活生态相协调的农业农村低碳发展新格局。</w:t>
      </w:r>
    </w:p>
    <w:p>
      <w:pPr>
        <w:pStyle w:val="6"/>
        <w:snapToGrid w:val="0"/>
        <w:spacing w:line="560" w:lineRule="exact"/>
        <w:ind w:left="0" w:firstLine="600" w:firstLineChars="200"/>
        <w:jc w:val="both"/>
        <w:rPr>
          <w:rFonts w:ascii="仿宋" w:hAnsi="仿宋" w:eastAsia="仿宋" w:cs="Times New Roman"/>
          <w:sz w:val="30"/>
          <w:szCs w:val="30"/>
        </w:rPr>
      </w:pPr>
      <w:r>
        <w:rPr>
          <w:rFonts w:hint="eastAsia" w:ascii="仿宋" w:hAnsi="仿宋" w:eastAsia="仿宋" w:cs="仿宋"/>
          <w:sz w:val="30"/>
          <w:szCs w:val="30"/>
        </w:rPr>
        <w:t>加快发展光伏发电，建成一批以农光互补、渔光互补等为重点的光伏发电综合利用项目。因地制宜开发风能、生物质能等新能源，重点推进澳斯康生物质能项目建设，大力开发利用白云峰、泥洋山、丰顶山、太阳岭、九岭山等高山风力资源，鼓励就地转化利用。深度开发水电，推进江西洪屏抽水蓄能电站项目二期、奉新抽水蓄能电站、龙头山水电站枢纽等项目建设。推进农村能源消费革命。优化农村能源结构，积极开发利用新能源和可再生能源，构建稳定、安全、经济、清洁的现代能源保障体系。促进农村能源消费升级，提高电能在农村能源消费中比重。推进燃气下乡进村，推广农村绿色节能建筑和农用节能技术、产品。加强农村能源发展统筹谋划，探索建设农村能源革命示范区。大力发展“互联网</w:t>
      </w:r>
      <w:r>
        <w:rPr>
          <w:rFonts w:ascii="仿宋" w:hAnsi="仿宋" w:eastAsia="仿宋" w:cs="仿宋"/>
          <w:sz w:val="30"/>
          <w:szCs w:val="30"/>
        </w:rPr>
        <w:t>+</w:t>
      </w:r>
      <w:r>
        <w:rPr>
          <w:rFonts w:hint="eastAsia" w:ascii="仿宋" w:hAnsi="仿宋" w:eastAsia="仿宋" w:cs="仿宋"/>
          <w:sz w:val="30"/>
          <w:szCs w:val="30"/>
        </w:rPr>
        <w:t>”智慧能源，促进能源与信息深度融合，支撑和推进农村能源革命。</w:t>
      </w:r>
    </w:p>
    <w:p>
      <w:pPr>
        <w:pStyle w:val="2"/>
        <w:jc w:val="center"/>
        <w:rPr>
          <w:rFonts w:ascii="黑体" w:hAnsi="黑体" w:eastAsia="黑体" w:cs="Times New Roman"/>
          <w:sz w:val="30"/>
          <w:szCs w:val="30"/>
        </w:rPr>
      </w:pPr>
      <w:bookmarkStart w:id="211" w:name="_Toc77520252"/>
      <w:bookmarkStart w:id="212" w:name="_Toc96329950"/>
      <w:bookmarkStart w:id="213" w:name="_Toc77925815"/>
      <w:r>
        <w:rPr>
          <w:rFonts w:hint="eastAsia" w:ascii="黑体" w:hAnsi="黑体" w:eastAsia="黑体" w:cs="黑体"/>
          <w:sz w:val="30"/>
          <w:szCs w:val="30"/>
        </w:rPr>
        <w:t>第三节</w:t>
      </w:r>
      <w:r>
        <w:rPr>
          <w:rFonts w:ascii="黑体" w:hAnsi="黑体" w:eastAsia="黑体" w:cs="黑体"/>
          <w:sz w:val="30"/>
          <w:szCs w:val="30"/>
        </w:rPr>
        <w:t xml:space="preserve"> </w:t>
      </w:r>
      <w:r>
        <w:rPr>
          <w:rFonts w:hint="eastAsia" w:ascii="黑体" w:hAnsi="黑体" w:eastAsia="黑体" w:cs="黑体"/>
          <w:sz w:val="30"/>
          <w:szCs w:val="30"/>
        </w:rPr>
        <w:t>加快数字乡村建设</w:t>
      </w:r>
      <w:bookmarkEnd w:id="211"/>
      <w:bookmarkEnd w:id="212"/>
      <w:bookmarkEnd w:id="213"/>
    </w:p>
    <w:p>
      <w:pPr>
        <w:pStyle w:val="4"/>
        <w:spacing w:before="0" w:after="0" w:line="360" w:lineRule="auto"/>
        <w:ind w:firstLine="602" w:firstLineChars="200"/>
        <w:rPr>
          <w:rFonts w:ascii="仿宋" w:hAnsi="仿宋" w:eastAsia="仿宋" w:cs="Times New Roman"/>
          <w:sz w:val="30"/>
          <w:szCs w:val="30"/>
        </w:rPr>
      </w:pPr>
      <w:bookmarkStart w:id="214" w:name="_Toc77925816"/>
      <w:bookmarkStart w:id="215" w:name="_Toc96329951"/>
      <w:bookmarkStart w:id="216" w:name="_Toc77520253"/>
      <w:r>
        <w:rPr>
          <w:rFonts w:hint="eastAsia" w:ascii="仿宋" w:hAnsi="仿宋" w:eastAsia="仿宋" w:cs="仿宋"/>
          <w:sz w:val="30"/>
          <w:szCs w:val="30"/>
        </w:rPr>
        <w:t>一、加快农村新型基础设施建设</w:t>
      </w:r>
      <w:bookmarkEnd w:id="214"/>
      <w:bookmarkEnd w:id="215"/>
      <w:bookmarkEnd w:id="216"/>
    </w:p>
    <w:p>
      <w:pPr>
        <w:pStyle w:val="6"/>
        <w:snapToGrid w:val="0"/>
        <w:spacing w:line="560" w:lineRule="exact"/>
        <w:ind w:left="0" w:firstLine="600" w:firstLineChars="200"/>
        <w:jc w:val="both"/>
        <w:rPr>
          <w:rFonts w:ascii="仿宋" w:hAnsi="仿宋" w:eastAsia="仿宋" w:cs="Times New Roman"/>
          <w:sz w:val="30"/>
          <w:szCs w:val="30"/>
        </w:rPr>
      </w:pPr>
      <w:r>
        <w:rPr>
          <w:rFonts w:hint="eastAsia" w:ascii="仿宋" w:hAnsi="仿宋" w:eastAsia="仿宋" w:cs="仿宋"/>
          <w:sz w:val="30"/>
          <w:szCs w:val="30"/>
        </w:rPr>
        <w:t>继续开展信息进村入户建设。加强农业信息服务载体建设，推动农村千兆光网、</w:t>
      </w:r>
      <w:r>
        <w:rPr>
          <w:rFonts w:ascii="仿宋" w:hAnsi="仿宋" w:eastAsia="仿宋" w:cs="仿宋"/>
          <w:sz w:val="30"/>
          <w:szCs w:val="30"/>
        </w:rPr>
        <w:t>5G</w:t>
      </w:r>
      <w:r>
        <w:rPr>
          <w:rFonts w:hint="eastAsia" w:ascii="仿宋" w:hAnsi="仿宋" w:eastAsia="仿宋" w:cs="仿宋"/>
          <w:sz w:val="30"/>
          <w:szCs w:val="30"/>
        </w:rPr>
        <w:t>网络、物联网与城市同步规划建设。推进农村新型广播电视基础设施建设，逐步实现电视、电脑、手机“三屏同显”“三端共用”。推动移动接收终端具备应急广播功能，开展乡村“智慧应急”建设。加快实施信息惠农工程，着眼于解决教育、医疗、就业、社保、养老、社区等民生热点问题，建立全面覆盖、动态跟踪、联动共享、功能齐全的社会管理与服务综合平台，进一步提高农村社区管理服务水平。</w:t>
      </w:r>
    </w:p>
    <w:p>
      <w:pPr>
        <w:pStyle w:val="4"/>
        <w:spacing w:before="0" w:after="0" w:line="360" w:lineRule="auto"/>
        <w:ind w:firstLine="602" w:firstLineChars="200"/>
        <w:rPr>
          <w:rFonts w:ascii="仿宋" w:hAnsi="仿宋" w:eastAsia="仿宋" w:cs="Times New Roman"/>
          <w:sz w:val="30"/>
          <w:szCs w:val="30"/>
        </w:rPr>
      </w:pPr>
      <w:bookmarkStart w:id="217" w:name="_Toc77520255"/>
      <w:bookmarkStart w:id="218" w:name="_Toc96329952"/>
      <w:bookmarkStart w:id="219" w:name="_Toc77925817"/>
      <w:r>
        <w:rPr>
          <w:rFonts w:hint="eastAsia" w:ascii="仿宋" w:hAnsi="仿宋" w:eastAsia="仿宋" w:cs="仿宋"/>
          <w:sz w:val="30"/>
          <w:szCs w:val="30"/>
        </w:rPr>
        <w:t>二、大力开展数字乡村建设试点</w:t>
      </w:r>
      <w:bookmarkEnd w:id="217"/>
      <w:bookmarkEnd w:id="218"/>
      <w:bookmarkEnd w:id="219"/>
    </w:p>
    <w:p>
      <w:pPr>
        <w:pStyle w:val="6"/>
        <w:snapToGrid w:val="0"/>
        <w:spacing w:line="560" w:lineRule="exact"/>
        <w:ind w:left="0" w:firstLine="600" w:firstLineChars="200"/>
        <w:jc w:val="both"/>
        <w:rPr>
          <w:rFonts w:ascii="仿宋" w:hAnsi="仿宋" w:eastAsia="仿宋" w:cs="Times New Roman"/>
          <w:sz w:val="30"/>
          <w:szCs w:val="30"/>
        </w:rPr>
      </w:pPr>
      <w:r>
        <w:rPr>
          <w:rFonts w:hint="eastAsia" w:ascii="仿宋" w:hAnsi="仿宋" w:eastAsia="仿宋" w:cs="仿宋"/>
          <w:sz w:val="30"/>
          <w:szCs w:val="30"/>
        </w:rPr>
        <w:t>加快通信网络升级改造。深化电信普遍服务改革工作，加快推进第五代移动通信（</w:t>
      </w:r>
      <w:r>
        <w:rPr>
          <w:rFonts w:ascii="仿宋" w:hAnsi="仿宋" w:eastAsia="仿宋" w:cs="仿宋"/>
          <w:sz w:val="30"/>
          <w:szCs w:val="30"/>
          <w:lang w:val="en-US"/>
        </w:rPr>
        <w:t>5</w:t>
      </w:r>
      <w:r>
        <w:rPr>
          <w:rFonts w:ascii="仿宋" w:hAnsi="仿宋" w:eastAsia="仿宋" w:cs="仿宋"/>
          <w:sz w:val="30"/>
          <w:szCs w:val="30"/>
        </w:rPr>
        <w:t>G</w:t>
      </w:r>
      <w:r>
        <w:rPr>
          <w:rFonts w:hint="eastAsia" w:ascii="仿宋" w:hAnsi="仿宋" w:eastAsia="仿宋" w:cs="仿宋"/>
          <w:sz w:val="30"/>
          <w:szCs w:val="30"/>
        </w:rPr>
        <w:t>）网络建设，加速无线局域（</w:t>
      </w:r>
      <w:r>
        <w:rPr>
          <w:rFonts w:ascii="仿宋" w:hAnsi="仿宋" w:eastAsia="仿宋" w:cs="仿宋"/>
          <w:sz w:val="30"/>
          <w:szCs w:val="30"/>
        </w:rPr>
        <w:t>WLAN</w:t>
      </w:r>
      <w:r>
        <w:rPr>
          <w:rFonts w:hint="eastAsia" w:ascii="仿宋" w:hAnsi="仿宋" w:eastAsia="仿宋" w:cs="仿宋"/>
          <w:sz w:val="30"/>
          <w:szCs w:val="30"/>
        </w:rPr>
        <w:t>）普及推广，推进无线网络向山区、库区等边缘地区延伸，</w:t>
      </w:r>
      <w:r>
        <w:rPr>
          <w:rFonts w:hint="eastAsia" w:ascii="仿宋" w:hAnsi="仿宋" w:eastAsia="仿宋" w:cs="仿宋"/>
          <w:sz w:val="30"/>
          <w:szCs w:val="30"/>
          <w:lang w:val="en-US"/>
        </w:rPr>
        <w:t>加快构建</w:t>
      </w:r>
      <w:r>
        <w:rPr>
          <w:rFonts w:hint="eastAsia" w:ascii="仿宋" w:hAnsi="仿宋" w:eastAsia="仿宋" w:cs="仿宋"/>
          <w:sz w:val="30"/>
          <w:szCs w:val="30"/>
        </w:rPr>
        <w:t>泛在先进的无线网络。开发适应“三农”特点的信息技术和产品，推动“互联网</w:t>
      </w:r>
      <w:r>
        <w:rPr>
          <w:rFonts w:ascii="仿宋" w:hAnsi="仿宋" w:eastAsia="仿宋" w:cs="仿宋"/>
          <w:sz w:val="30"/>
          <w:szCs w:val="30"/>
        </w:rPr>
        <w:t>+</w:t>
      </w:r>
      <w:r>
        <w:rPr>
          <w:rFonts w:hint="eastAsia" w:ascii="仿宋" w:hAnsi="仿宋" w:eastAsia="仿宋" w:cs="仿宋"/>
          <w:sz w:val="30"/>
          <w:szCs w:val="30"/>
        </w:rPr>
        <w:t>”拓展延伸。开展数字乡村建设，</w:t>
      </w:r>
      <w:r>
        <w:rPr>
          <w:rFonts w:hint="eastAsia" w:ascii="仿宋" w:hAnsi="仿宋" w:eastAsia="仿宋" w:cs="仿宋"/>
          <w:sz w:val="30"/>
          <w:szCs w:val="30"/>
          <w:lang w:val="en-US"/>
        </w:rPr>
        <w:t>支持高安市、宜丰县、铜鼓县试点建设“数字乡村”，</w:t>
      </w:r>
      <w:r>
        <w:rPr>
          <w:rFonts w:hint="eastAsia" w:ascii="仿宋" w:hAnsi="仿宋" w:eastAsia="仿宋" w:cs="仿宋"/>
          <w:sz w:val="30"/>
          <w:szCs w:val="30"/>
        </w:rPr>
        <w:t>推动农村宽带网络和第四代移动通信网络以及人工智能系统逐步实现全覆盖，适时推动</w:t>
      </w:r>
      <w:r>
        <w:rPr>
          <w:rFonts w:ascii="仿宋" w:hAnsi="仿宋" w:eastAsia="仿宋" w:cs="仿宋"/>
          <w:sz w:val="30"/>
          <w:szCs w:val="30"/>
        </w:rPr>
        <w:t>5G</w:t>
      </w:r>
      <w:r>
        <w:rPr>
          <w:rFonts w:hint="eastAsia" w:ascii="仿宋" w:hAnsi="仿宋" w:eastAsia="仿宋" w:cs="仿宋"/>
          <w:sz w:val="30"/>
          <w:szCs w:val="30"/>
        </w:rPr>
        <w:t>移动通信网络向乡村覆盖。完善农村信息服务网点，推进信息服务“进村入户”，完善农村消费信息服务、市场信息服务、“三农”政策服务，农村生活服务等系统和手机</w:t>
      </w:r>
      <w:r>
        <w:rPr>
          <w:rFonts w:ascii="仿宋" w:hAnsi="仿宋" w:eastAsia="仿宋" w:cs="仿宋"/>
          <w:sz w:val="30"/>
          <w:szCs w:val="30"/>
        </w:rPr>
        <w:t>APP</w:t>
      </w:r>
      <w:r>
        <w:rPr>
          <w:rFonts w:hint="eastAsia" w:ascii="仿宋" w:hAnsi="仿宋" w:eastAsia="仿宋" w:cs="仿宋"/>
          <w:sz w:val="30"/>
          <w:szCs w:val="30"/>
        </w:rPr>
        <w:t>，推进服务手段向移动终端延伸，服务方式向精准投放转变。全面提升网络信息安全防护能力，在乡村信息化基础设施建设过程中同步规划、同步建设、同步实施网络安全工作，确保信息系统网络运行安全、重要数据安全和公民个人信息安全。</w:t>
      </w:r>
    </w:p>
    <w:p>
      <w:pPr>
        <w:pStyle w:val="4"/>
        <w:spacing w:before="0" w:after="0" w:line="360" w:lineRule="auto"/>
        <w:ind w:firstLine="602" w:firstLineChars="200"/>
        <w:rPr>
          <w:rFonts w:ascii="仿宋" w:hAnsi="仿宋" w:eastAsia="仿宋" w:cs="Times New Roman"/>
          <w:sz w:val="30"/>
          <w:szCs w:val="30"/>
        </w:rPr>
      </w:pPr>
      <w:bookmarkStart w:id="220" w:name="_Toc77520256"/>
      <w:bookmarkStart w:id="221" w:name="_Toc96329953"/>
      <w:bookmarkStart w:id="222" w:name="_Toc77925818"/>
      <w:r>
        <w:rPr>
          <w:rFonts w:hint="eastAsia" w:ascii="仿宋" w:hAnsi="仿宋" w:eastAsia="仿宋" w:cs="仿宋"/>
          <w:sz w:val="30"/>
          <w:szCs w:val="30"/>
        </w:rPr>
        <w:t>三、加快农村电子商务建设</w:t>
      </w:r>
      <w:bookmarkEnd w:id="220"/>
      <w:bookmarkEnd w:id="221"/>
      <w:bookmarkEnd w:id="222"/>
    </w:p>
    <w:p>
      <w:pPr>
        <w:spacing w:line="560" w:lineRule="exact"/>
        <w:ind w:firstLine="600" w:firstLineChars="200"/>
        <w:rPr>
          <w:rFonts w:ascii="仿宋" w:hAnsi="仿宋" w:eastAsia="仿宋" w:cs="Times New Roman"/>
          <w:sz w:val="30"/>
          <w:szCs w:val="30"/>
          <w:lang w:val="zh-CN"/>
        </w:rPr>
      </w:pPr>
      <w:r>
        <w:rPr>
          <w:rFonts w:hint="eastAsia" w:ascii="仿宋" w:hAnsi="仿宋" w:eastAsia="仿宋" w:cs="仿宋"/>
          <w:sz w:val="30"/>
          <w:szCs w:val="30"/>
          <w:lang w:val="zh-CN"/>
        </w:rPr>
        <w:t>深入发展农村电商，统筹政府与社会资源，推动实施“数商兴农”，发展农村电商“新基建”，扩大电商进农村覆盖面。</w:t>
      </w:r>
      <w:r>
        <w:rPr>
          <w:rFonts w:hint="eastAsia" w:ascii="仿宋" w:hAnsi="仿宋" w:eastAsia="仿宋" w:cs="仿宋"/>
          <w:b/>
          <w:bCs/>
          <w:sz w:val="30"/>
          <w:szCs w:val="30"/>
          <w:lang w:val="zh-CN"/>
        </w:rPr>
        <w:t>一是</w:t>
      </w:r>
      <w:r>
        <w:rPr>
          <w:rFonts w:hint="eastAsia" w:ascii="仿宋" w:hAnsi="仿宋" w:eastAsia="仿宋" w:cs="仿宋"/>
          <w:sz w:val="30"/>
          <w:szCs w:val="30"/>
          <w:lang w:val="zh-CN"/>
        </w:rPr>
        <w:t>依托智慧小镇发展，积极引导电商、物流、商贸、金融、供销、邮政、快递等各类电子商务主体到乡村布局，构建农村购物网络平台。依托农家店、农村综合服务社、村邮站、快递网点（菜鸟驿站）、农产品购销代办站等发展农村电商末端网点。</w:t>
      </w:r>
      <w:r>
        <w:rPr>
          <w:rFonts w:hint="eastAsia" w:ascii="仿宋" w:hAnsi="仿宋" w:eastAsia="仿宋" w:cs="仿宋"/>
          <w:b/>
          <w:bCs/>
          <w:sz w:val="30"/>
          <w:szCs w:val="30"/>
          <w:lang w:val="zh-CN"/>
        </w:rPr>
        <w:t>二是</w:t>
      </w:r>
      <w:r>
        <w:rPr>
          <w:rFonts w:hint="eastAsia" w:ascii="仿宋" w:hAnsi="仿宋" w:eastAsia="仿宋" w:cs="仿宋"/>
          <w:sz w:val="30"/>
          <w:szCs w:val="30"/>
          <w:lang w:val="zh-CN"/>
        </w:rPr>
        <w:t>加快互联网技术在农业生产、加工、流通等环节的应用与推广。在促进工业品、农业生产资料下乡的同时，建立农产品网上分销平台等第三方平台，扩大农产品网络销售途径，拓展富硒农产品、绿色有机食品、民俗制品等产品的进城空间。</w:t>
      </w:r>
      <w:r>
        <w:rPr>
          <w:rFonts w:hint="eastAsia" w:ascii="仿宋" w:hAnsi="仿宋" w:eastAsia="仿宋" w:cs="仿宋"/>
          <w:b/>
          <w:bCs/>
          <w:sz w:val="30"/>
          <w:szCs w:val="30"/>
          <w:lang w:val="zh-CN"/>
        </w:rPr>
        <w:t>三是</w:t>
      </w:r>
      <w:r>
        <w:rPr>
          <w:rFonts w:hint="eastAsia" w:ascii="仿宋" w:hAnsi="仿宋" w:eastAsia="仿宋" w:cs="仿宋"/>
          <w:sz w:val="30"/>
          <w:szCs w:val="30"/>
          <w:lang w:val="zh-CN"/>
        </w:rPr>
        <w:t>实施“互联网</w:t>
      </w:r>
      <w:r>
        <w:rPr>
          <w:rFonts w:ascii="仿宋" w:hAnsi="仿宋" w:eastAsia="仿宋" w:cs="仿宋"/>
          <w:sz w:val="30"/>
          <w:szCs w:val="30"/>
          <w:lang w:val="zh-CN"/>
        </w:rPr>
        <w:t>+</w:t>
      </w:r>
      <w:r>
        <w:rPr>
          <w:rFonts w:hint="eastAsia" w:ascii="仿宋" w:hAnsi="仿宋" w:eastAsia="仿宋" w:cs="仿宋"/>
          <w:sz w:val="30"/>
          <w:szCs w:val="30"/>
          <w:lang w:val="zh-CN"/>
        </w:rPr>
        <w:t>”农产品出村进城工程，完善乡村信息网络基础设施，加快发展农产品冷链物流设施。整合宜春本地的种植养殖、物流、线上线下支付等资源，建设农村电子商务公共服务中心，加强农村电子商务人才培养，建设农产品网络营销标准化体系，营造良好</w:t>
      </w:r>
      <w:r>
        <w:rPr>
          <w:rFonts w:hint="eastAsia" w:ascii="仿宋" w:hAnsi="仿宋" w:eastAsia="仿宋" w:cs="仿宋"/>
          <w:sz w:val="30"/>
          <w:szCs w:val="30"/>
        </w:rPr>
        <w:t>的</w:t>
      </w:r>
      <w:r>
        <w:rPr>
          <w:rFonts w:hint="eastAsia" w:ascii="仿宋" w:hAnsi="仿宋" w:eastAsia="仿宋" w:cs="仿宋"/>
          <w:sz w:val="30"/>
          <w:szCs w:val="30"/>
          <w:lang w:val="zh-CN"/>
        </w:rPr>
        <w:t>市场环境。</w:t>
      </w:r>
    </w:p>
    <w:tbl>
      <w:tblPr>
        <w:tblStyle w:val="16"/>
        <w:tblW w:w="0" w:type="auto"/>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35" w:type="dxa"/>
            <w:noWrap/>
          </w:tcPr>
          <w:p>
            <w:pPr>
              <w:spacing w:line="360" w:lineRule="auto"/>
              <w:ind w:firstLine="562" w:firstLineChars="200"/>
              <w:jc w:val="center"/>
              <w:rPr>
                <w:rFonts w:ascii="黑体" w:hAnsi="黑体" w:eastAsia="黑体" w:cs="Times New Roman"/>
                <w:b/>
                <w:bCs/>
                <w:sz w:val="28"/>
                <w:szCs w:val="28"/>
                <w:shd w:val="clear" w:color="auto" w:fill="FFFFFF"/>
              </w:rPr>
            </w:pPr>
            <w:r>
              <w:rPr>
                <w:rFonts w:hint="eastAsia" w:ascii="黑体" w:hAnsi="黑体" w:eastAsia="黑体" w:cs="黑体"/>
                <w:b/>
                <w:bCs/>
                <w:sz w:val="28"/>
                <w:szCs w:val="28"/>
                <w:shd w:val="clear" w:color="auto" w:fill="FFFFFF"/>
              </w:rPr>
              <w:t>专栏</w:t>
            </w:r>
            <w:r>
              <w:rPr>
                <w:rFonts w:ascii="黑体" w:hAnsi="黑体" w:eastAsia="黑体" w:cs="黑体"/>
                <w:b/>
                <w:bCs/>
                <w:sz w:val="28"/>
                <w:szCs w:val="28"/>
                <w:shd w:val="clear" w:color="auto" w:fill="FFFFFF"/>
              </w:rPr>
              <w:t xml:space="preserve">10  </w:t>
            </w:r>
            <w:r>
              <w:rPr>
                <w:rFonts w:hint="eastAsia" w:ascii="黑体" w:hAnsi="黑体" w:eastAsia="黑体" w:cs="黑体"/>
                <w:b/>
                <w:bCs/>
                <w:sz w:val="28"/>
                <w:szCs w:val="28"/>
                <w:shd w:val="clear" w:color="auto" w:fill="FFFFFF"/>
              </w:rPr>
              <w:t>数字乡村建设工程</w:t>
            </w:r>
          </w:p>
          <w:p>
            <w:pPr>
              <w:spacing w:line="560" w:lineRule="exact"/>
              <w:ind w:firstLine="562" w:firstLineChars="200"/>
              <w:rPr>
                <w:rFonts w:ascii="楷体" w:hAnsi="楷体" w:eastAsia="楷体" w:cs="Times New Roman"/>
                <w:b/>
                <w:bCs/>
                <w:sz w:val="28"/>
                <w:szCs w:val="28"/>
              </w:rPr>
            </w:pPr>
            <w:r>
              <w:rPr>
                <w:rFonts w:hint="eastAsia" w:ascii="楷体" w:hAnsi="楷体" w:eastAsia="楷体" w:cs="楷体"/>
                <w:b/>
                <w:bCs/>
                <w:sz w:val="28"/>
                <w:szCs w:val="28"/>
              </w:rPr>
              <w:t>（一）乡村新型基础设施建设工程</w:t>
            </w:r>
          </w:p>
          <w:p>
            <w:pPr>
              <w:spacing w:line="560" w:lineRule="exact"/>
              <w:ind w:firstLine="560" w:firstLineChars="200"/>
              <w:rPr>
                <w:rFonts w:ascii="楷体" w:hAnsi="楷体" w:eastAsia="楷体" w:cs="Times New Roman"/>
                <w:sz w:val="28"/>
                <w:szCs w:val="28"/>
              </w:rPr>
            </w:pPr>
            <w:r>
              <w:rPr>
                <w:rFonts w:hint="eastAsia" w:ascii="仿宋" w:hAnsi="仿宋" w:eastAsia="仿宋" w:cs="仿宋"/>
                <w:sz w:val="28"/>
                <w:szCs w:val="28"/>
              </w:rPr>
              <w:t>推</w:t>
            </w:r>
            <w:r>
              <w:rPr>
                <w:rFonts w:hint="eastAsia" w:ascii="楷体" w:hAnsi="楷体" w:eastAsia="楷体" w:cs="楷体"/>
                <w:sz w:val="28"/>
                <w:szCs w:val="28"/>
              </w:rPr>
              <w:t>动农村千兆光网、</w:t>
            </w:r>
            <w:r>
              <w:rPr>
                <w:rFonts w:ascii="楷体" w:hAnsi="楷体" w:eastAsia="楷体" w:cs="楷体"/>
                <w:sz w:val="28"/>
                <w:szCs w:val="28"/>
              </w:rPr>
              <w:t>5G</w:t>
            </w:r>
            <w:r>
              <w:rPr>
                <w:rFonts w:hint="eastAsia" w:ascii="楷体" w:hAnsi="楷体" w:eastAsia="楷体" w:cs="楷体"/>
                <w:sz w:val="28"/>
                <w:szCs w:val="28"/>
              </w:rPr>
              <w:t>网络、移动物联网建设，加快人工智能、北斗导航、物联网等在农村应用，加快传统基础实施数字化、智能化改造。到</w:t>
            </w:r>
            <w:r>
              <w:rPr>
                <w:rFonts w:ascii="楷体" w:hAnsi="楷体" w:eastAsia="楷体" w:cs="楷体"/>
                <w:sz w:val="28"/>
                <w:szCs w:val="28"/>
              </w:rPr>
              <w:t>2025</w:t>
            </w:r>
            <w:r>
              <w:rPr>
                <w:rFonts w:hint="eastAsia" w:ascii="楷体" w:hAnsi="楷体" w:eastAsia="楷体" w:cs="楷体"/>
                <w:sz w:val="28"/>
                <w:szCs w:val="28"/>
              </w:rPr>
              <w:t>年，实现</w:t>
            </w:r>
            <w:r>
              <w:rPr>
                <w:rFonts w:ascii="楷体" w:hAnsi="楷体" w:eastAsia="楷体" w:cs="楷体"/>
                <w:sz w:val="28"/>
                <w:szCs w:val="28"/>
              </w:rPr>
              <w:t>100%</w:t>
            </w:r>
            <w:r>
              <w:rPr>
                <w:rFonts w:hint="eastAsia" w:ascii="楷体" w:hAnsi="楷体" w:eastAsia="楷体" w:cs="楷体"/>
                <w:sz w:val="28"/>
                <w:szCs w:val="28"/>
              </w:rPr>
              <w:t>行政村千兆光网覆盖能力，按需推动千兆光纤宽带逐步向有条件的自然村延伸。</w:t>
            </w:r>
          </w:p>
          <w:p>
            <w:pPr>
              <w:spacing w:line="560" w:lineRule="exact"/>
              <w:ind w:firstLine="562" w:firstLineChars="200"/>
              <w:rPr>
                <w:rFonts w:ascii="楷体" w:hAnsi="楷体" w:eastAsia="楷体" w:cs="Times New Roman"/>
                <w:b/>
                <w:bCs/>
                <w:sz w:val="28"/>
                <w:szCs w:val="28"/>
              </w:rPr>
            </w:pPr>
            <w:r>
              <w:rPr>
                <w:rFonts w:hint="eastAsia" w:ascii="楷体" w:hAnsi="楷体" w:eastAsia="楷体" w:cs="楷体"/>
                <w:b/>
                <w:bCs/>
                <w:sz w:val="28"/>
                <w:szCs w:val="28"/>
              </w:rPr>
              <w:t>（二）农业数字化升级工程</w:t>
            </w:r>
          </w:p>
          <w:p>
            <w:pPr>
              <w:spacing w:line="560" w:lineRule="exact"/>
              <w:ind w:firstLine="560" w:firstLineChars="200"/>
              <w:rPr>
                <w:rFonts w:ascii="楷体" w:hAnsi="楷体" w:eastAsia="楷体" w:cs="Times New Roman"/>
                <w:sz w:val="28"/>
                <w:szCs w:val="28"/>
              </w:rPr>
            </w:pPr>
            <w:r>
              <w:rPr>
                <w:rFonts w:hint="eastAsia" w:ascii="楷体" w:hAnsi="楷体" w:eastAsia="楷体" w:cs="楷体"/>
                <w:sz w:val="28"/>
                <w:szCs w:val="28"/>
              </w:rPr>
              <w:t>推进农业物联网应用、智慧灌溉、智慧种业、智慧渔业、智慧畜牧、智慧农机示范工程，创新发展定制农业、共享农业、云农场等新模式，深化电子商务进农村综合示范创建。到</w:t>
            </w:r>
            <w:r>
              <w:rPr>
                <w:rFonts w:ascii="楷体" w:hAnsi="楷体" w:eastAsia="楷体" w:cs="楷体"/>
                <w:sz w:val="28"/>
                <w:szCs w:val="28"/>
              </w:rPr>
              <w:t>2025</w:t>
            </w:r>
            <w:r>
              <w:rPr>
                <w:rFonts w:hint="eastAsia" w:ascii="楷体" w:hAnsi="楷体" w:eastAsia="楷体" w:cs="楷体"/>
                <w:sz w:val="28"/>
                <w:szCs w:val="28"/>
              </w:rPr>
              <w:t>年，实现全市新增数字农业创新应用基地</w:t>
            </w:r>
            <w:r>
              <w:rPr>
                <w:rFonts w:ascii="楷体" w:hAnsi="楷体" w:eastAsia="楷体" w:cs="楷体"/>
                <w:sz w:val="28"/>
                <w:szCs w:val="28"/>
              </w:rPr>
              <w:t>1</w:t>
            </w:r>
            <w:r>
              <w:rPr>
                <w:rFonts w:hint="eastAsia" w:ascii="楷体" w:hAnsi="楷体" w:eastAsia="楷体" w:cs="楷体"/>
                <w:sz w:val="28"/>
                <w:szCs w:val="28"/>
              </w:rPr>
              <w:t>个以上，电商示范村</w:t>
            </w:r>
            <w:r>
              <w:rPr>
                <w:rFonts w:ascii="楷体" w:hAnsi="楷体" w:eastAsia="楷体" w:cs="楷体"/>
                <w:sz w:val="28"/>
                <w:szCs w:val="28"/>
              </w:rPr>
              <w:t>30</w:t>
            </w:r>
            <w:r>
              <w:rPr>
                <w:rFonts w:hint="eastAsia" w:ascii="楷体" w:hAnsi="楷体" w:eastAsia="楷体" w:cs="楷体"/>
                <w:sz w:val="28"/>
                <w:szCs w:val="28"/>
              </w:rPr>
              <w:t>个以上，智慧农业服务体系实现全覆盖。</w:t>
            </w:r>
          </w:p>
          <w:p>
            <w:pPr>
              <w:spacing w:line="560" w:lineRule="exact"/>
              <w:ind w:firstLine="562" w:firstLineChars="200"/>
              <w:rPr>
                <w:rFonts w:ascii="楷体" w:hAnsi="楷体" w:eastAsia="楷体" w:cs="Times New Roman"/>
                <w:b/>
                <w:bCs/>
                <w:sz w:val="28"/>
                <w:szCs w:val="28"/>
              </w:rPr>
            </w:pPr>
            <w:r>
              <w:rPr>
                <w:rFonts w:hint="eastAsia" w:ascii="楷体" w:hAnsi="楷体" w:eastAsia="楷体" w:cs="楷体"/>
                <w:b/>
                <w:bCs/>
                <w:sz w:val="28"/>
                <w:szCs w:val="28"/>
              </w:rPr>
              <w:t>（三）乡村振兴大数据平台建设工程</w:t>
            </w:r>
          </w:p>
          <w:p>
            <w:pPr>
              <w:spacing w:line="560" w:lineRule="exact"/>
              <w:ind w:firstLine="560" w:firstLineChars="200"/>
              <w:rPr>
                <w:rFonts w:cs="Times New Roman"/>
              </w:rPr>
            </w:pPr>
            <w:r>
              <w:rPr>
                <w:rFonts w:hint="eastAsia" w:ascii="楷体" w:hAnsi="楷体" w:eastAsia="楷体" w:cs="楷体"/>
                <w:sz w:val="28"/>
                <w:szCs w:val="28"/>
              </w:rPr>
              <w:t>积极对接省级层面的乡村振兴大数据平台，统筹推进全市农村经济、政治、文化、社会、生态文明建设和基层党建，促进乡村产业、文化、人才、组织、生态振兴，构建市级层面的乡村振兴战略智能检测体系。</w:t>
            </w:r>
          </w:p>
        </w:tc>
      </w:tr>
    </w:tbl>
    <w:p>
      <w:pPr>
        <w:pStyle w:val="2"/>
        <w:jc w:val="center"/>
        <w:rPr>
          <w:rFonts w:ascii="黑体" w:hAnsi="黑体" w:eastAsia="黑体" w:cs="Times New Roman"/>
          <w:sz w:val="30"/>
          <w:szCs w:val="30"/>
        </w:rPr>
      </w:pPr>
      <w:bookmarkStart w:id="223" w:name="_Toc77520257"/>
      <w:bookmarkStart w:id="224" w:name="_Toc77925819"/>
      <w:bookmarkStart w:id="225" w:name="_Toc96329954"/>
      <w:r>
        <w:rPr>
          <w:rFonts w:hint="eastAsia" w:ascii="黑体" w:hAnsi="黑体" w:eastAsia="黑体" w:cs="黑体"/>
          <w:sz w:val="30"/>
          <w:szCs w:val="30"/>
        </w:rPr>
        <w:t>第四节</w:t>
      </w:r>
      <w:r>
        <w:rPr>
          <w:rFonts w:ascii="黑体" w:hAnsi="黑体" w:eastAsia="黑体" w:cs="黑体"/>
          <w:sz w:val="30"/>
          <w:szCs w:val="30"/>
        </w:rPr>
        <w:t xml:space="preserve"> </w:t>
      </w:r>
      <w:r>
        <w:rPr>
          <w:rFonts w:hint="eastAsia" w:ascii="黑体" w:hAnsi="黑体" w:eastAsia="黑体" w:cs="黑体"/>
          <w:sz w:val="30"/>
          <w:szCs w:val="30"/>
        </w:rPr>
        <w:t>优化农村基本公共服务供给</w:t>
      </w:r>
      <w:bookmarkEnd w:id="223"/>
      <w:bookmarkEnd w:id="224"/>
      <w:bookmarkEnd w:id="225"/>
    </w:p>
    <w:p>
      <w:pPr>
        <w:pStyle w:val="4"/>
        <w:spacing w:before="0" w:after="0" w:line="360" w:lineRule="auto"/>
        <w:ind w:firstLine="602" w:firstLineChars="200"/>
        <w:rPr>
          <w:rFonts w:ascii="仿宋" w:hAnsi="仿宋" w:eastAsia="仿宋" w:cs="Times New Roman"/>
          <w:sz w:val="30"/>
          <w:szCs w:val="30"/>
        </w:rPr>
      </w:pPr>
      <w:bookmarkStart w:id="226" w:name="_Toc77925820"/>
      <w:bookmarkStart w:id="227" w:name="_Toc57879261"/>
      <w:bookmarkStart w:id="228" w:name="_Toc77520258"/>
      <w:bookmarkStart w:id="229" w:name="_Toc96329955"/>
      <w:bookmarkStart w:id="230" w:name="_Toc65485937"/>
      <w:r>
        <w:rPr>
          <w:rFonts w:hint="eastAsia" w:ascii="仿宋" w:hAnsi="仿宋" w:eastAsia="仿宋" w:cs="仿宋"/>
          <w:sz w:val="30"/>
          <w:szCs w:val="30"/>
        </w:rPr>
        <w:t>一、优先发展农村教育事业</w:t>
      </w:r>
      <w:bookmarkEnd w:id="226"/>
      <w:bookmarkEnd w:id="227"/>
      <w:bookmarkEnd w:id="228"/>
      <w:bookmarkEnd w:id="229"/>
      <w:bookmarkEnd w:id="230"/>
    </w:p>
    <w:p>
      <w:pPr>
        <w:pStyle w:val="6"/>
        <w:snapToGrid w:val="0"/>
        <w:spacing w:line="560" w:lineRule="exact"/>
        <w:ind w:left="0" w:firstLine="600" w:firstLineChars="200"/>
        <w:jc w:val="both"/>
        <w:rPr>
          <w:rFonts w:ascii="仿宋" w:hAnsi="仿宋" w:eastAsia="仿宋" w:cs="Times New Roman"/>
          <w:sz w:val="30"/>
          <w:szCs w:val="30"/>
        </w:rPr>
      </w:pPr>
      <w:r>
        <w:rPr>
          <w:rFonts w:hint="eastAsia" w:ascii="仿宋" w:hAnsi="仿宋" w:eastAsia="仿宋" w:cs="仿宋"/>
          <w:sz w:val="30"/>
          <w:szCs w:val="30"/>
        </w:rPr>
        <w:t>改善农村教育基础设施条件。</w:t>
      </w:r>
      <w:r>
        <w:rPr>
          <w:rFonts w:hint="eastAsia" w:ascii="仿宋" w:hAnsi="仿宋" w:eastAsia="仿宋" w:cs="仿宋"/>
          <w:sz w:val="30"/>
          <w:szCs w:val="30"/>
          <w:lang w:val="en-US"/>
        </w:rPr>
        <w:t>实施学前教育质量提升计划，</w:t>
      </w:r>
      <w:r>
        <w:rPr>
          <w:rFonts w:hint="eastAsia" w:ascii="仿宋" w:hAnsi="仿宋" w:eastAsia="仿宋" w:cs="仿宋"/>
          <w:sz w:val="30"/>
          <w:szCs w:val="30"/>
        </w:rPr>
        <w:t>完善农村公办学前教育体系，支持村级新建、改扩建公办幼儿园，引导和支持民办幼儿园办成普惠性幼儿园，</w:t>
      </w:r>
      <w:r>
        <w:rPr>
          <w:rFonts w:hint="eastAsia" w:ascii="仿宋" w:hAnsi="仿宋" w:eastAsia="仿宋" w:cs="仿宋"/>
          <w:sz w:val="30"/>
          <w:szCs w:val="30"/>
          <w:lang w:val="en-US"/>
        </w:rPr>
        <w:t>到</w:t>
      </w:r>
      <w:r>
        <w:rPr>
          <w:rFonts w:ascii="仿宋" w:hAnsi="仿宋" w:eastAsia="仿宋" w:cs="仿宋"/>
          <w:sz w:val="30"/>
          <w:szCs w:val="30"/>
          <w:lang w:val="en-US"/>
        </w:rPr>
        <w:t>2025</w:t>
      </w:r>
      <w:r>
        <w:rPr>
          <w:rFonts w:hint="eastAsia" w:ascii="仿宋" w:hAnsi="仿宋" w:eastAsia="仿宋" w:cs="仿宋"/>
          <w:sz w:val="30"/>
          <w:szCs w:val="30"/>
          <w:lang w:val="en-US"/>
        </w:rPr>
        <w:t>年基本普及农村学前教育</w:t>
      </w:r>
      <w:r>
        <w:rPr>
          <w:rFonts w:hint="eastAsia" w:ascii="仿宋" w:hAnsi="仿宋" w:eastAsia="仿宋" w:cs="仿宋"/>
          <w:sz w:val="30"/>
          <w:szCs w:val="30"/>
        </w:rPr>
        <w:t>。科学推进义务教育公办学校标准化建设，办好农村寄宿制学校和小规模学校，有序增加教育资源不足片区的学位、确保到“十四五”期间全市大班额全部消除。实施高中阶段教育普及攻坚计划，提高高中阶段教育普及水平。调整城乡基础教育、职业教育与培训和高等教育的投资比例，优先保证基础教育特别是农村义务教育和职业教育经费配置的重心地位，同时探索高等教育通向农村的有效途径。</w:t>
      </w:r>
    </w:p>
    <w:p>
      <w:pPr>
        <w:pStyle w:val="6"/>
        <w:snapToGrid w:val="0"/>
        <w:spacing w:line="560" w:lineRule="exact"/>
        <w:ind w:left="0" w:firstLine="600" w:firstLineChars="200"/>
        <w:jc w:val="both"/>
        <w:rPr>
          <w:rFonts w:ascii="仿宋" w:hAnsi="仿宋" w:eastAsia="仿宋" w:cs="Times New Roman"/>
          <w:sz w:val="30"/>
          <w:szCs w:val="30"/>
        </w:rPr>
      </w:pPr>
      <w:r>
        <w:rPr>
          <w:rFonts w:hint="eastAsia" w:ascii="仿宋" w:hAnsi="仿宋" w:eastAsia="仿宋" w:cs="仿宋"/>
          <w:sz w:val="30"/>
          <w:szCs w:val="30"/>
        </w:rPr>
        <w:t>加强乡村学校信息化基础设施建设，深入推进“三通两平台”建设，完善乡村学校信息化基础设施，推进优质教育资源共享平台的普及和开放，让乡村每一所学校都能共享优质教育资源。推动优质学校辐射农村薄弱学校常态化，推动城乡教师交流轮岗，完善城乡学校对口支教制度。构建现代职业农民教育网络。大力发展面向农村的职业教育，优化职业学校布局，加强县级职业教育中心建设，结合各地农村农业需要和产业发展特点，调整优化专业设置。</w:t>
      </w:r>
    </w:p>
    <w:p>
      <w:pPr>
        <w:pStyle w:val="4"/>
        <w:spacing w:before="0" w:after="0" w:line="360" w:lineRule="auto"/>
        <w:ind w:firstLine="602" w:firstLineChars="200"/>
        <w:rPr>
          <w:rFonts w:ascii="仿宋" w:hAnsi="仿宋" w:eastAsia="仿宋" w:cs="Times New Roman"/>
          <w:sz w:val="30"/>
          <w:szCs w:val="30"/>
        </w:rPr>
      </w:pPr>
      <w:bookmarkStart w:id="231" w:name="_Toc77925821"/>
      <w:bookmarkStart w:id="232" w:name="_Toc65485938"/>
      <w:bookmarkStart w:id="233" w:name="_Toc57879262"/>
      <w:bookmarkStart w:id="234" w:name="_Toc96329956"/>
      <w:bookmarkStart w:id="235" w:name="_Toc77520259"/>
      <w:r>
        <w:rPr>
          <w:rFonts w:hint="eastAsia" w:ascii="仿宋" w:hAnsi="仿宋" w:eastAsia="仿宋" w:cs="仿宋"/>
          <w:sz w:val="30"/>
          <w:szCs w:val="30"/>
        </w:rPr>
        <w:t>二、全面推进健康乡村建设</w:t>
      </w:r>
      <w:bookmarkEnd w:id="231"/>
      <w:bookmarkEnd w:id="232"/>
      <w:bookmarkEnd w:id="233"/>
      <w:bookmarkEnd w:id="234"/>
      <w:bookmarkEnd w:id="235"/>
    </w:p>
    <w:p>
      <w:pPr>
        <w:pStyle w:val="6"/>
        <w:snapToGrid w:val="0"/>
        <w:spacing w:line="560" w:lineRule="exact"/>
        <w:ind w:left="0" w:firstLine="600" w:firstLineChars="200"/>
        <w:jc w:val="both"/>
        <w:rPr>
          <w:rFonts w:ascii="仿宋" w:hAnsi="仿宋" w:eastAsia="仿宋" w:cs="Times New Roman"/>
          <w:sz w:val="30"/>
          <w:szCs w:val="30"/>
        </w:rPr>
      </w:pPr>
      <w:r>
        <w:rPr>
          <w:rFonts w:hint="eastAsia" w:ascii="仿宋" w:hAnsi="仿宋" w:eastAsia="仿宋" w:cs="仿宋"/>
          <w:sz w:val="30"/>
          <w:szCs w:val="30"/>
        </w:rPr>
        <w:t>深入实施国家基本公共卫生服务项目，完善基本公共卫生服务补助政策。强化血吸虫病等重大传染病、慢性病、地方病的综合防治和职业病危害防治，加强严重精神病人的筛查、救治和管理工作，提高重点疾病筛查率和早诊早治率。加强基层医疗卫生服务体系建设，基本实现每个乡镇都有</w:t>
      </w:r>
      <w:r>
        <w:rPr>
          <w:rFonts w:ascii="仿宋" w:hAnsi="仿宋" w:eastAsia="仿宋" w:cs="仿宋"/>
          <w:sz w:val="30"/>
          <w:szCs w:val="30"/>
        </w:rPr>
        <w:t>1</w:t>
      </w:r>
      <w:r>
        <w:rPr>
          <w:rFonts w:hint="eastAsia" w:ascii="仿宋" w:hAnsi="仿宋" w:eastAsia="仿宋" w:cs="仿宋"/>
          <w:sz w:val="30"/>
          <w:szCs w:val="30"/>
        </w:rPr>
        <w:t>所政府举办的乡镇卫生院，每个行政村都有</w:t>
      </w:r>
      <w:r>
        <w:rPr>
          <w:rFonts w:ascii="仿宋" w:hAnsi="仿宋" w:eastAsia="仿宋" w:cs="仿宋"/>
          <w:sz w:val="30"/>
          <w:szCs w:val="30"/>
        </w:rPr>
        <w:t>1</w:t>
      </w:r>
      <w:r>
        <w:rPr>
          <w:rFonts w:hint="eastAsia" w:ascii="仿宋" w:hAnsi="仿宋" w:eastAsia="仿宋" w:cs="仿宋"/>
          <w:sz w:val="30"/>
          <w:szCs w:val="30"/>
        </w:rPr>
        <w:t>所卫生室，每个乡镇卫生院都有全科医生，加快推进基层医疗机构标准化建设和设备提档升级。鼓励大医院与乡镇医院建立医联体，开展远程医疗、巡回医疗、乡村卫生人员培训等，推动优质医疗卫生资源下沉。加强“互联网</w:t>
      </w:r>
      <w:r>
        <w:rPr>
          <w:rFonts w:ascii="仿宋" w:hAnsi="仿宋" w:eastAsia="仿宋" w:cs="仿宋"/>
          <w:sz w:val="30"/>
          <w:szCs w:val="30"/>
        </w:rPr>
        <w:t>+</w:t>
      </w:r>
      <w:r>
        <w:rPr>
          <w:rFonts w:hint="eastAsia" w:ascii="仿宋" w:hAnsi="仿宋" w:eastAsia="仿宋" w:cs="仿宋"/>
          <w:sz w:val="30"/>
          <w:szCs w:val="30"/>
        </w:rPr>
        <w:t>”医学教育和科普服务，健全“互联网</w:t>
      </w:r>
      <w:r>
        <w:rPr>
          <w:rFonts w:ascii="仿宋" w:hAnsi="仿宋" w:eastAsia="仿宋" w:cs="仿宋"/>
          <w:sz w:val="30"/>
          <w:szCs w:val="30"/>
        </w:rPr>
        <w:t>+</w:t>
      </w:r>
      <w:r>
        <w:rPr>
          <w:rFonts w:hint="eastAsia" w:ascii="仿宋" w:hAnsi="仿宋" w:eastAsia="仿宋" w:cs="仿宋"/>
          <w:sz w:val="30"/>
          <w:szCs w:val="30"/>
        </w:rPr>
        <w:t>医疗健康”服务体系，加快实现市、县、乡三级医疗健康信息互通共享，提高市、县、乡三级医院管理和便民服务水平。加强基本医疗保险、大病保险、医疗救助、疾病应急救助等制度的有效衔接。坚持以基层医疗卫生机构为平台，促进医疗卫生资源进机构、进村庄、进家庭，广泛为农村老年人建立健康档案，提供综合养老医疗护理服务。加强乡村医生队伍建设，开展乡村医生业务培训或继续教育，继续开展农村订单定向医学生免费培养计划。完善基层医疗卫生机构绩效工资制度。</w:t>
      </w:r>
    </w:p>
    <w:p>
      <w:pPr>
        <w:pStyle w:val="4"/>
        <w:spacing w:before="0" w:after="0" w:line="360" w:lineRule="auto"/>
        <w:ind w:firstLine="602" w:firstLineChars="200"/>
        <w:rPr>
          <w:rFonts w:ascii="仿宋" w:hAnsi="仿宋" w:eastAsia="仿宋" w:cs="Times New Roman"/>
          <w:sz w:val="30"/>
          <w:szCs w:val="30"/>
        </w:rPr>
      </w:pPr>
      <w:bookmarkStart w:id="236" w:name="_Toc77925822"/>
      <w:bookmarkStart w:id="237" w:name="_Toc96329957"/>
      <w:bookmarkStart w:id="238" w:name="_Toc77520260"/>
      <w:bookmarkStart w:id="239" w:name="_Toc57879263"/>
      <w:bookmarkStart w:id="240" w:name="_Toc65485939"/>
      <w:r>
        <w:rPr>
          <w:rFonts w:hint="eastAsia" w:ascii="仿宋" w:hAnsi="仿宋" w:eastAsia="仿宋" w:cs="仿宋"/>
          <w:sz w:val="30"/>
          <w:szCs w:val="30"/>
        </w:rPr>
        <w:t>三、发展农村新型服务业</w:t>
      </w:r>
      <w:bookmarkEnd w:id="236"/>
      <w:bookmarkEnd w:id="237"/>
      <w:bookmarkEnd w:id="238"/>
    </w:p>
    <w:p>
      <w:pPr>
        <w:spacing w:line="560" w:lineRule="exact"/>
        <w:ind w:firstLine="600" w:firstLineChars="200"/>
        <w:rPr>
          <w:rFonts w:cs="Times New Roman"/>
        </w:rPr>
      </w:pPr>
      <w:r>
        <w:rPr>
          <w:rFonts w:hint="eastAsia" w:ascii="仿宋" w:hAnsi="仿宋" w:eastAsia="仿宋" w:cs="仿宋"/>
          <w:sz w:val="30"/>
          <w:szCs w:val="30"/>
          <w:lang w:val="zh-CN"/>
        </w:rPr>
        <w:t>持续推进城乡融合发展，加快实现城乡多种生产要素转化，有效提升乡村生产性服务业，增加</w:t>
      </w:r>
      <w:r>
        <w:rPr>
          <w:rFonts w:hint="eastAsia" w:ascii="仿宋" w:hAnsi="仿宋" w:eastAsia="仿宋" w:cs="仿宋"/>
          <w:sz w:val="30"/>
          <w:szCs w:val="30"/>
        </w:rPr>
        <w:t>农村资源附加值</w:t>
      </w:r>
      <w:r>
        <w:rPr>
          <w:rFonts w:hint="eastAsia" w:ascii="仿宋" w:hAnsi="仿宋" w:eastAsia="仿宋" w:cs="仿宋"/>
          <w:sz w:val="30"/>
          <w:szCs w:val="30"/>
          <w:lang w:val="zh-CN"/>
        </w:rPr>
        <w:t>。加快发展乡村生产性服务业，推进农业、乡村工业、建筑业、交通运输业、商业和服务业等六大农业产业化服务发展，支持供销、邮政、农民合作社及乡村企业等，开展农技推广、土地托管、代耕代种、烘干收储等农业生产性服务，以及市场信息、农资供应、农业废弃物资源化利用、农机作业及维修、农产品营销等服务。鼓励大型农产品加工流通企业开展托管服务、专项服务、连锁服务、个性化服务等综合配套服务。积极拓展生活服务业，有效改善农村生活环境，提升乡村生活便利。积极发展订制服务、体验服务、智慧服务、共享服务、绿色服务等新形态，探索“线上交易</w:t>
      </w:r>
      <w:r>
        <w:rPr>
          <w:rFonts w:ascii="仿宋" w:hAnsi="仿宋" w:eastAsia="仿宋" w:cs="仿宋"/>
          <w:sz w:val="30"/>
          <w:szCs w:val="30"/>
          <w:lang w:val="zh-CN"/>
        </w:rPr>
        <w:t>+</w:t>
      </w:r>
      <w:r>
        <w:rPr>
          <w:rFonts w:hint="eastAsia" w:ascii="仿宋" w:hAnsi="仿宋" w:eastAsia="仿宋" w:cs="仿宋"/>
          <w:sz w:val="30"/>
          <w:szCs w:val="30"/>
          <w:lang w:val="zh-CN"/>
        </w:rPr>
        <w:t>线下服务”的新模式。鼓励各类服务主体建设运营覆盖娱乐、健康、教育、家政、体育等领域的在线服务平台，推动传统服务业升级改造，为乡村居民提供高效便捷服务。</w:t>
      </w:r>
    </w:p>
    <w:p>
      <w:pPr>
        <w:pStyle w:val="4"/>
        <w:spacing w:before="0" w:after="0" w:line="360" w:lineRule="auto"/>
        <w:ind w:firstLine="602" w:firstLineChars="200"/>
        <w:rPr>
          <w:rFonts w:ascii="仿宋" w:hAnsi="仿宋" w:eastAsia="仿宋" w:cs="Times New Roman"/>
          <w:sz w:val="30"/>
          <w:szCs w:val="30"/>
        </w:rPr>
      </w:pPr>
      <w:bookmarkStart w:id="241" w:name="_Toc77925823"/>
      <w:bookmarkStart w:id="242" w:name="_Toc96329958"/>
      <w:bookmarkStart w:id="243" w:name="_Toc77520261"/>
      <w:r>
        <w:rPr>
          <w:rFonts w:hint="eastAsia" w:ascii="仿宋" w:hAnsi="仿宋" w:eastAsia="仿宋" w:cs="仿宋"/>
          <w:sz w:val="30"/>
          <w:szCs w:val="30"/>
        </w:rPr>
        <w:t>四、加强农村社会保障体系建设</w:t>
      </w:r>
      <w:bookmarkEnd w:id="239"/>
      <w:bookmarkEnd w:id="240"/>
      <w:bookmarkEnd w:id="241"/>
      <w:bookmarkEnd w:id="242"/>
      <w:bookmarkEnd w:id="243"/>
    </w:p>
    <w:p>
      <w:pPr>
        <w:pStyle w:val="6"/>
        <w:snapToGrid w:val="0"/>
        <w:spacing w:line="560" w:lineRule="exact"/>
        <w:ind w:left="0" w:firstLine="600" w:firstLineChars="200"/>
        <w:jc w:val="both"/>
        <w:rPr>
          <w:rFonts w:cs="Times New Roman"/>
        </w:rPr>
      </w:pPr>
      <w:r>
        <w:rPr>
          <w:rFonts w:hint="eastAsia" w:ascii="仿宋" w:hAnsi="仿宋" w:eastAsia="仿宋" w:cs="仿宋"/>
          <w:sz w:val="30"/>
          <w:szCs w:val="30"/>
        </w:rPr>
        <w:t>健全统一完善的城乡居民基本医疗保险制度和大病保险制度，做好基本医疗保险、大病保险、医疗救助之间有效衔接，提升参保人员异地就医联网直接结算等医保服务水平。引导</w:t>
      </w:r>
      <w:r>
        <w:rPr>
          <w:rFonts w:hint="eastAsia" w:ascii="仿宋" w:hAnsi="仿宋" w:eastAsia="仿宋" w:cs="仿宋"/>
          <w:sz w:val="30"/>
          <w:szCs w:val="30"/>
          <w:lang w:val="en-US"/>
        </w:rPr>
        <w:t>有条件的农民</w:t>
      </w:r>
      <w:r>
        <w:rPr>
          <w:rFonts w:hint="eastAsia" w:ascii="仿宋" w:hAnsi="仿宋" w:eastAsia="仿宋" w:cs="仿宋"/>
          <w:sz w:val="30"/>
          <w:szCs w:val="30"/>
        </w:rPr>
        <w:t>主动参保缴费，长期持续缴费，选择较高缴费档次，增加个人账户积累，逐步提高养老保障水平。建立完善城乡居民基本养老保险待遇确定和基础养老金标准正常调整机制。全面落实被征地农民社会保障资金，建立被征地农民的基本养老保险机制，确保农民失地不失保。完善农村最低生活保障制度，健全低保标准动态机制，加强对农村低收入群体的基本生活救助。加大对符合条件的农村老年人、残疾人、孤儿和</w:t>
      </w:r>
      <w:r>
        <w:rPr>
          <w:rFonts w:hint="eastAsia" w:ascii="仿宋" w:hAnsi="仿宋" w:eastAsia="仿宋" w:cs="仿宋"/>
          <w:sz w:val="30"/>
          <w:szCs w:val="30"/>
          <w:lang w:val="en-US"/>
        </w:rPr>
        <w:t>事实无人抚养儿童</w:t>
      </w:r>
      <w:r>
        <w:rPr>
          <w:rFonts w:hint="eastAsia" w:ascii="仿宋" w:hAnsi="仿宋" w:eastAsia="仿宋" w:cs="仿宋"/>
          <w:sz w:val="30"/>
          <w:szCs w:val="30"/>
        </w:rPr>
        <w:t>等农村困难群体</w:t>
      </w:r>
      <w:r>
        <w:rPr>
          <w:rFonts w:hint="eastAsia" w:ascii="仿宋" w:hAnsi="仿宋" w:eastAsia="仿宋" w:cs="仿宋"/>
          <w:sz w:val="30"/>
          <w:szCs w:val="30"/>
          <w:lang w:val="en-US"/>
        </w:rPr>
        <w:t>的</w:t>
      </w:r>
      <w:r>
        <w:rPr>
          <w:rFonts w:hint="eastAsia" w:ascii="仿宋" w:hAnsi="仿宋" w:eastAsia="仿宋" w:cs="仿宋"/>
          <w:sz w:val="30"/>
          <w:szCs w:val="30"/>
        </w:rPr>
        <w:t>基本生活保障力度，建立救助供养服务体系。完善残疾人社会福利保障体系，加快推进村镇无障碍环境建设。建立健全农村“三留守”人员以及困境儿童关爱服务体系。鼓励多种方式建设幸福院、日间照料中心等互助养老服务设施，积极推进乡镇敬老院提升改造工作，建设医养结合养老机构。</w:t>
      </w:r>
    </w:p>
    <w:p>
      <w:pPr>
        <w:pageBreakBefore/>
        <w:spacing w:before="340" w:after="330" w:line="578" w:lineRule="auto"/>
        <w:jc w:val="center"/>
        <w:outlineLvl w:val="0"/>
        <w:rPr>
          <w:rFonts w:ascii="黑体" w:hAnsi="黑体" w:eastAsia="黑体" w:cs="Times New Roman"/>
          <w:b/>
          <w:bCs/>
          <w:kern w:val="44"/>
          <w:sz w:val="30"/>
          <w:szCs w:val="30"/>
        </w:rPr>
      </w:pPr>
      <w:bookmarkStart w:id="244" w:name="_Toc96329959"/>
      <w:r>
        <w:rPr>
          <w:rFonts w:hint="eastAsia" w:ascii="黑体" w:hAnsi="黑体" w:eastAsia="黑体" w:cs="黑体"/>
          <w:b/>
          <w:bCs/>
          <w:kern w:val="44"/>
          <w:sz w:val="30"/>
          <w:szCs w:val="30"/>
        </w:rPr>
        <w:t>第七章</w:t>
      </w:r>
      <w:r>
        <w:rPr>
          <w:rFonts w:ascii="黑体" w:hAnsi="黑体" w:eastAsia="黑体" w:cs="黑体"/>
          <w:b/>
          <w:bCs/>
          <w:kern w:val="44"/>
          <w:sz w:val="30"/>
          <w:szCs w:val="30"/>
        </w:rPr>
        <w:t xml:space="preserve"> </w:t>
      </w:r>
      <w:r>
        <w:rPr>
          <w:rFonts w:hint="eastAsia" w:ascii="黑体" w:hAnsi="黑体" w:eastAsia="黑体" w:cs="黑体"/>
          <w:b/>
          <w:bCs/>
          <w:kern w:val="44"/>
          <w:sz w:val="30"/>
          <w:szCs w:val="30"/>
        </w:rPr>
        <w:t>构建</w:t>
      </w:r>
      <w:r>
        <w:rPr>
          <w:rFonts w:ascii="黑体" w:hAnsi="黑体" w:eastAsia="黑体" w:cs="黑体"/>
          <w:b/>
          <w:bCs/>
          <w:kern w:val="44"/>
          <w:sz w:val="30"/>
          <w:szCs w:val="30"/>
        </w:rPr>
        <w:t>?</w:t>
      </w:r>
      <w:r>
        <w:rPr>
          <w:rFonts w:hint="eastAsia" w:ascii="黑体" w:hAnsi="黑体" w:eastAsia="黑体" w:cs="黑体"/>
          <w:b/>
          <w:bCs/>
          <w:kern w:val="44"/>
          <w:sz w:val="30"/>
          <w:szCs w:val="30"/>
        </w:rPr>
        <w:t>°文明和谐</w:t>
      </w:r>
      <w:r>
        <w:rPr>
          <w:rFonts w:ascii="黑体" w:hAnsi="黑体" w:eastAsia="黑体" w:cs="黑体"/>
          <w:b/>
          <w:bCs/>
          <w:kern w:val="44"/>
          <w:sz w:val="30"/>
          <w:szCs w:val="30"/>
        </w:rPr>
        <w:t xml:space="preserve"> </w:t>
      </w:r>
      <w:r>
        <w:rPr>
          <w:rFonts w:hint="eastAsia" w:ascii="黑体" w:hAnsi="黑体" w:eastAsia="黑体" w:cs="黑体"/>
          <w:b/>
          <w:bCs/>
          <w:kern w:val="44"/>
          <w:sz w:val="30"/>
          <w:szCs w:val="30"/>
        </w:rPr>
        <w:t>治理有效</w:t>
      </w:r>
      <w:r>
        <w:rPr>
          <w:rFonts w:ascii="黑体" w:hAnsi="黑体" w:eastAsia="黑体" w:cs="黑体"/>
          <w:b/>
          <w:bCs/>
          <w:kern w:val="44"/>
          <w:sz w:val="30"/>
          <w:szCs w:val="30"/>
        </w:rPr>
        <w:t>?</w:t>
      </w:r>
      <w:r>
        <w:rPr>
          <w:rFonts w:hint="eastAsia" w:ascii="黑体" w:hAnsi="黑体" w:eastAsia="黑体" w:cs="黑体"/>
          <w:b/>
          <w:bCs/>
          <w:kern w:val="44"/>
          <w:sz w:val="30"/>
          <w:szCs w:val="30"/>
        </w:rPr>
        <w:t>±的现代乡村新局面</w:t>
      </w:r>
      <w:bookmarkEnd w:id="244"/>
    </w:p>
    <w:p>
      <w:pPr>
        <w:keepNext/>
        <w:keepLines/>
        <w:spacing w:before="260" w:after="260" w:line="416" w:lineRule="auto"/>
        <w:jc w:val="center"/>
        <w:outlineLvl w:val="1"/>
        <w:rPr>
          <w:rFonts w:ascii="黑体" w:hAnsi="黑体" w:eastAsia="黑体" w:cs="Times New Roman"/>
          <w:b/>
          <w:bCs/>
          <w:sz w:val="30"/>
          <w:szCs w:val="30"/>
        </w:rPr>
      </w:pPr>
      <w:bookmarkStart w:id="245" w:name="_Toc96329960"/>
      <w:r>
        <w:rPr>
          <w:rFonts w:hint="eastAsia" w:ascii="黑体" w:hAnsi="黑体" w:eastAsia="黑体" w:cs="黑体"/>
          <w:b/>
          <w:bCs/>
          <w:sz w:val="30"/>
          <w:szCs w:val="30"/>
        </w:rPr>
        <w:t>第一节</w:t>
      </w:r>
      <w:r>
        <w:rPr>
          <w:rFonts w:ascii="黑体" w:hAnsi="黑体" w:eastAsia="黑体" w:cs="黑体"/>
          <w:b/>
          <w:bCs/>
          <w:sz w:val="30"/>
          <w:szCs w:val="30"/>
        </w:rPr>
        <w:t xml:space="preserve"> </w:t>
      </w:r>
      <w:r>
        <w:rPr>
          <w:rFonts w:hint="eastAsia" w:ascii="黑体" w:hAnsi="黑体" w:eastAsia="黑体" w:cs="黑体"/>
          <w:b/>
          <w:bCs/>
          <w:sz w:val="30"/>
          <w:szCs w:val="30"/>
        </w:rPr>
        <w:t>加快乡村治理转型发展</w:t>
      </w:r>
      <w:bookmarkEnd w:id="245"/>
    </w:p>
    <w:p>
      <w:pPr>
        <w:keepNext/>
        <w:keepLines/>
        <w:spacing w:line="360" w:lineRule="auto"/>
        <w:ind w:firstLine="602" w:firstLineChars="200"/>
        <w:outlineLvl w:val="2"/>
        <w:rPr>
          <w:rFonts w:ascii="仿宋" w:hAnsi="仿宋" w:eastAsia="仿宋" w:cs="Times New Roman"/>
          <w:b/>
          <w:bCs/>
          <w:sz w:val="30"/>
          <w:szCs w:val="30"/>
        </w:rPr>
      </w:pPr>
      <w:bookmarkStart w:id="246" w:name="_Toc57879266"/>
      <w:bookmarkStart w:id="247" w:name="_Toc96329961"/>
      <w:bookmarkStart w:id="248" w:name="_Toc65485942"/>
      <w:r>
        <w:rPr>
          <w:rFonts w:hint="eastAsia" w:ascii="仿宋" w:hAnsi="仿宋" w:eastAsia="仿宋" w:cs="仿宋"/>
          <w:b/>
          <w:bCs/>
          <w:sz w:val="30"/>
          <w:szCs w:val="30"/>
        </w:rPr>
        <w:t>一、加强农村党组织建设</w:t>
      </w:r>
      <w:bookmarkEnd w:id="246"/>
      <w:bookmarkEnd w:id="247"/>
      <w:bookmarkEnd w:id="248"/>
    </w:p>
    <w:p>
      <w:pPr>
        <w:autoSpaceDE w:val="0"/>
        <w:autoSpaceDN w:val="0"/>
        <w:snapToGrid w:val="0"/>
        <w:spacing w:line="560" w:lineRule="exact"/>
        <w:ind w:firstLine="600" w:firstLineChars="200"/>
        <w:rPr>
          <w:rFonts w:ascii="仿宋" w:hAnsi="仿宋" w:eastAsia="仿宋" w:cs="Times New Roman"/>
          <w:sz w:val="30"/>
          <w:szCs w:val="30"/>
          <w:lang w:val="zh-CN"/>
        </w:rPr>
      </w:pPr>
      <w:r>
        <w:rPr>
          <w:rFonts w:hint="eastAsia" w:ascii="仿宋" w:hAnsi="仿宋" w:eastAsia="仿宋" w:cs="仿宋"/>
          <w:sz w:val="30"/>
          <w:szCs w:val="30"/>
          <w:lang w:val="zh-CN"/>
        </w:rPr>
        <w:t>坚持和加强农村党组织对农村工作的全面领导，完善“一核两委一会”乡村治理机制，强化和夯实农村基层党组织领导作用。全面推行村党组织书记通过法定程序担任村委会主任和集体经济组织、农民合作组织负责人，稳定提高“一肩挑”比例和村“两委”班子成员交叉任职率。严格党的组织生活，落实好“三会一课”制度，定期开展支部主题党日活动，分级分类对村干部进行思想政治、形势政策、党纪国法教育和知识技能培训。健全村级重要事项、重大问题由村党组织研究讨论机制，全面落实“四议两公开”。按照应纳尽纳、应整尽整的原则，整顿软弱涣散村党组织，依法严厉打击农村黑恶势力、宗族恶势力、宗教极端势力、“村霸”，严防其侵蚀基层干部和基层政权。挂牌整顿重点难点村，全面落实村“两委”换届选举候选人县级联审机制。实施村党组织带头人队伍整体优化提升行动。选优配强村党组织带头人，注重从本村致富能手、外出务工经商返乡人员、本乡本土大学毕业生、退役军人等党员群体中选拔村党组织书记，把有文化、懂技术、会经营、善管理的高素质人才选配进村“两委”班子。加强村级后备干部队伍的选拔、培养、储备。广泛推行干部驻村联户、结对帮扶等服务群众机制，建好用好农村党群服务中心。面向帮扶重点村、软弱涣散村、集体经济薄弱村，实现村党组织第一书记和农村工作指导员派驻全覆盖。</w:t>
      </w:r>
    </w:p>
    <w:p>
      <w:pPr>
        <w:keepNext/>
        <w:keepLines/>
        <w:spacing w:line="360" w:lineRule="auto"/>
        <w:ind w:firstLine="602" w:firstLineChars="200"/>
        <w:outlineLvl w:val="2"/>
        <w:rPr>
          <w:rFonts w:ascii="仿宋" w:hAnsi="仿宋" w:eastAsia="仿宋" w:cs="Times New Roman"/>
          <w:b/>
          <w:bCs/>
          <w:sz w:val="30"/>
          <w:szCs w:val="30"/>
        </w:rPr>
      </w:pPr>
      <w:bookmarkStart w:id="249" w:name="_Toc65485943"/>
      <w:bookmarkStart w:id="250" w:name="_Toc57879267"/>
      <w:bookmarkStart w:id="251" w:name="_Toc96329962"/>
      <w:r>
        <w:rPr>
          <w:rFonts w:hint="eastAsia" w:ascii="仿宋" w:hAnsi="仿宋" w:eastAsia="仿宋" w:cs="仿宋"/>
          <w:b/>
          <w:bCs/>
          <w:sz w:val="30"/>
          <w:szCs w:val="30"/>
        </w:rPr>
        <w:t>二、深化村民自治实践</w:t>
      </w:r>
      <w:bookmarkEnd w:id="249"/>
      <w:bookmarkEnd w:id="250"/>
      <w:bookmarkEnd w:id="251"/>
    </w:p>
    <w:p>
      <w:pPr>
        <w:autoSpaceDE w:val="0"/>
        <w:autoSpaceDN w:val="0"/>
        <w:snapToGrid w:val="0"/>
        <w:spacing w:line="560" w:lineRule="exact"/>
        <w:ind w:firstLine="600" w:firstLineChars="200"/>
        <w:rPr>
          <w:rFonts w:ascii="仿宋" w:hAnsi="仿宋" w:eastAsia="仿宋" w:cs="Times New Roman"/>
          <w:sz w:val="30"/>
          <w:szCs w:val="30"/>
          <w:lang w:val="zh-CN"/>
        </w:rPr>
      </w:pPr>
      <w:r>
        <w:rPr>
          <w:rFonts w:hint="eastAsia" w:ascii="仿宋" w:hAnsi="仿宋" w:eastAsia="仿宋" w:cs="仿宋"/>
          <w:sz w:val="30"/>
          <w:szCs w:val="30"/>
          <w:lang w:val="zh-CN"/>
        </w:rPr>
        <w:t>提升村民自治组织能力，加强村民代表大会、村民理事会、红白理事会、村民议事会等农村群众性自治组织建设。引导村民实行自我约束、相互监督。发展农村各类合作组织参与到村民自治管理体系，打破村委会一元化治理结构，构建村经济合作组织、龙头企业、社会组织等多主体参与的多元、立体的治理结构体系，</w:t>
      </w:r>
      <w:r>
        <w:rPr>
          <w:rFonts w:hint="eastAsia" w:ascii="仿宋" w:hAnsi="仿宋" w:eastAsia="仿宋" w:cs="仿宋"/>
          <w:sz w:val="30"/>
          <w:szCs w:val="30"/>
        </w:rPr>
        <w:t>明确各治理主体职责。加强村务监督委员会建设，推进村级民主监督规范化，建立健全村民理事会、村民议事会等村级议事协商制度，推动各行政村成立议事协商功能室，</w:t>
      </w:r>
      <w:r>
        <w:rPr>
          <w:rFonts w:hint="eastAsia" w:ascii="仿宋" w:hAnsi="仿宋" w:eastAsia="仿宋" w:cs="仿宋"/>
          <w:sz w:val="30"/>
          <w:szCs w:val="30"/>
          <w:lang w:val="zh-CN"/>
        </w:rPr>
        <w:t>形成民事民议、民事民办、民事民管的多层次基层协商格局，构建党组织统一领导、各类组织积极协同、村民群众广泛参与的基层治理体系。加强乡村治理基层管理和服务创新，完善村民委员会民主选举制度，进一步规范民主选举程序。创新基层管理体制机制，打造“一门式办理”、“一站式服务”的综合服务平台。积极在村庄建立网上便民服务站点，逐步形成完善的乡村便民服务体系。推动“互联网</w:t>
      </w:r>
      <w:r>
        <w:rPr>
          <w:rFonts w:ascii="仿宋" w:hAnsi="仿宋" w:eastAsia="仿宋" w:cs="仿宋"/>
          <w:sz w:val="30"/>
          <w:szCs w:val="30"/>
          <w:lang w:val="zh-CN"/>
        </w:rPr>
        <w:t>+</w:t>
      </w:r>
      <w:r>
        <w:rPr>
          <w:rFonts w:hint="eastAsia" w:ascii="仿宋" w:hAnsi="仿宋" w:eastAsia="仿宋" w:cs="仿宋"/>
          <w:sz w:val="30"/>
          <w:szCs w:val="30"/>
          <w:lang w:val="zh-CN"/>
        </w:rPr>
        <w:t>政务服务”向农村社区延伸，实现各村网上服务站点全覆盖。创新村务公开形式，通过建立微信群等形式，定期公布村务信息，促进村内留守人员和在外村民及时了解村庄动向，推动线上线下村务公开，实现村务公开常态化。不断健全完善村规民约指引，发挥村规民约在乡村治理、村内公益事业和公共设施管护中的重要作用。</w:t>
      </w:r>
    </w:p>
    <w:p>
      <w:pPr>
        <w:keepNext/>
        <w:keepLines/>
        <w:spacing w:line="360" w:lineRule="auto"/>
        <w:ind w:firstLine="602" w:firstLineChars="200"/>
        <w:outlineLvl w:val="2"/>
        <w:rPr>
          <w:rFonts w:ascii="仿宋" w:hAnsi="仿宋" w:eastAsia="仿宋" w:cs="Times New Roman"/>
          <w:b/>
          <w:bCs/>
          <w:sz w:val="30"/>
          <w:szCs w:val="30"/>
        </w:rPr>
      </w:pPr>
      <w:bookmarkStart w:id="252" w:name="_Toc65485944"/>
      <w:bookmarkStart w:id="253" w:name="_Toc57879268"/>
      <w:bookmarkStart w:id="254" w:name="_Toc96329963"/>
      <w:r>
        <w:rPr>
          <w:rFonts w:hint="eastAsia" w:ascii="仿宋" w:hAnsi="仿宋" w:eastAsia="仿宋" w:cs="仿宋"/>
          <w:b/>
          <w:bCs/>
          <w:sz w:val="30"/>
          <w:szCs w:val="30"/>
        </w:rPr>
        <w:t>三、依法推进乡村</w:t>
      </w:r>
      <w:bookmarkEnd w:id="252"/>
      <w:bookmarkEnd w:id="253"/>
      <w:r>
        <w:rPr>
          <w:rFonts w:hint="eastAsia" w:ascii="仿宋" w:hAnsi="仿宋" w:eastAsia="仿宋" w:cs="仿宋"/>
          <w:b/>
          <w:bCs/>
          <w:sz w:val="30"/>
          <w:szCs w:val="30"/>
        </w:rPr>
        <w:t>治理</w:t>
      </w:r>
      <w:bookmarkEnd w:id="254"/>
    </w:p>
    <w:p>
      <w:pPr>
        <w:spacing w:line="360" w:lineRule="auto"/>
        <w:ind w:firstLine="600" w:firstLineChars="200"/>
        <w:rPr>
          <w:rFonts w:ascii="仿宋" w:hAnsi="仿宋" w:eastAsia="仿宋" w:cs="Times New Roman"/>
          <w:sz w:val="30"/>
          <w:szCs w:val="30"/>
          <w:lang w:val="zh-CN"/>
        </w:rPr>
      </w:pPr>
      <w:bookmarkStart w:id="255" w:name="_Toc65485945"/>
      <w:bookmarkStart w:id="256" w:name="_Toc57879269"/>
      <w:r>
        <w:rPr>
          <w:rFonts w:hint="eastAsia" w:ascii="仿宋" w:hAnsi="仿宋" w:eastAsia="仿宋" w:cs="仿宋"/>
          <w:sz w:val="30"/>
          <w:szCs w:val="30"/>
          <w:lang w:val="zh-CN"/>
        </w:rPr>
        <w:t>严格依照法律法规和村规民约规范乡村干部群众的行为，让依法决策、依法办事成为习惯和自觉。强化乡村法治宣传教育，深入实施“法律明白人”培养工程。坚持开展“送法下乡活动”，通过举办普法培训班、法治讲座，组织开展“宪法宣传周”“放心农资下乡”等主题活动，强化相关法治宣传教育。加强村级法治文化阵地建设，在新农村村点建设中注重弘扬社会主义法治文化。强化农业行政调解，开展“访调对接”“诉调对接”“专调对接”，着力化解基层矛盾纠纷。健全完善农村土地承包仲裁调解体系，及时调解和仲裁农村土地承包经营纠纷。推进农业综合行政执法改革。整合农业综合行政执法职能，加强执法队伍建设，加快构建权责明晰、上下贯通、指挥顺畅、运行高效、保障有力的农业综合行政执法体系。</w:t>
      </w:r>
    </w:p>
    <w:p>
      <w:pPr>
        <w:keepNext/>
        <w:keepLines/>
        <w:spacing w:line="360" w:lineRule="auto"/>
        <w:ind w:firstLine="602" w:firstLineChars="200"/>
        <w:outlineLvl w:val="2"/>
        <w:rPr>
          <w:rFonts w:ascii="仿宋" w:hAnsi="仿宋" w:eastAsia="仿宋" w:cs="Times New Roman"/>
          <w:b/>
          <w:bCs/>
          <w:sz w:val="30"/>
          <w:szCs w:val="30"/>
        </w:rPr>
      </w:pPr>
      <w:bookmarkStart w:id="257" w:name="_Toc96329964"/>
      <w:r>
        <w:rPr>
          <w:rFonts w:hint="eastAsia" w:ascii="仿宋" w:hAnsi="仿宋" w:eastAsia="仿宋" w:cs="仿宋"/>
          <w:b/>
          <w:bCs/>
          <w:sz w:val="30"/>
          <w:szCs w:val="30"/>
        </w:rPr>
        <w:t>四、实施德治乡村培育行动</w:t>
      </w:r>
      <w:bookmarkEnd w:id="255"/>
      <w:bookmarkEnd w:id="256"/>
      <w:bookmarkEnd w:id="257"/>
    </w:p>
    <w:p>
      <w:pPr>
        <w:autoSpaceDE w:val="0"/>
        <w:autoSpaceDN w:val="0"/>
        <w:snapToGrid w:val="0"/>
        <w:spacing w:line="560" w:lineRule="exact"/>
        <w:ind w:firstLine="600" w:firstLineChars="200"/>
        <w:rPr>
          <w:rFonts w:ascii="宋体" w:cs="Times New Roman"/>
          <w:sz w:val="28"/>
          <w:szCs w:val="28"/>
          <w:lang w:val="zh-CN"/>
        </w:rPr>
      </w:pPr>
      <w:r>
        <w:rPr>
          <w:rFonts w:hint="eastAsia" w:ascii="仿宋" w:hAnsi="仿宋" w:eastAsia="仿宋" w:cs="仿宋"/>
          <w:sz w:val="30"/>
          <w:szCs w:val="30"/>
          <w:lang w:val="zh-CN"/>
        </w:rPr>
        <w:t>引导群众挖掘具有地域特色的历史文化、家教家风文化，传承提升耕读传家、父慈子孝等家规祖训，培育和弘扬地方性优秀道德传统，增强村民的认同感、归属感、责任感和荣誉感，使崇德尚法、弘扬公序良俗成为人们的内在需求。推进道德规范和现代法治相结合，培育规则意识、契约精神、诚信观念。建立道德激励约束机制，充分发挥道德引领、规范、约束的内在作用，引导农民自我管理、自我教育、自我服务、自我提高，实现家庭和睦、邻里和谐、干群融洽。开展优秀传统文化传播，立家训家规、传家风家教、定村规民约、倡文明树新风、革除陈规陋习等活动，推进家风建设、文明创建、诚信建设，</w:t>
      </w:r>
      <w:r>
        <w:rPr>
          <w:rFonts w:hint="eastAsia" w:ascii="仿宋" w:hAnsi="仿宋" w:eastAsia="仿宋" w:cs="仿宋"/>
          <w:sz w:val="30"/>
          <w:szCs w:val="30"/>
        </w:rPr>
        <w:t>开展</w:t>
      </w:r>
      <w:r>
        <w:rPr>
          <w:rFonts w:hint="eastAsia" w:ascii="仿宋" w:hAnsi="仿宋" w:eastAsia="仿宋" w:cs="仿宋"/>
          <w:sz w:val="30"/>
          <w:szCs w:val="30"/>
          <w:lang w:val="zh-CN"/>
        </w:rPr>
        <w:t>依法治理、道德评议等行动，传承提升耕读传家、父慈子孝、兄友弟恭等家规祖训，实现乡村德治与自治良性互动。注重微博、微信等网络社交媒体的广泛应用，宣扬群众道德自律，培育和弘扬乡土优秀道德传统，增强群众的认同感、责任感和荣誉感，使崇德尚法、弘扬公序良俗成为人们的内在需求。开展好媳妇、好儿女、好公婆等形式多样的评选表彰活动，持续开展全</w:t>
      </w:r>
      <w:r>
        <w:rPr>
          <w:rFonts w:hint="eastAsia" w:ascii="仿宋" w:hAnsi="仿宋" w:eastAsia="仿宋" w:cs="仿宋"/>
          <w:sz w:val="30"/>
          <w:szCs w:val="30"/>
        </w:rPr>
        <w:t>市</w:t>
      </w:r>
      <w:r>
        <w:rPr>
          <w:rFonts w:hint="eastAsia" w:ascii="仿宋" w:hAnsi="仿宋" w:eastAsia="仿宋" w:cs="仿宋"/>
          <w:sz w:val="30"/>
          <w:szCs w:val="30"/>
          <w:lang w:val="zh-CN"/>
        </w:rPr>
        <w:t>“道德模范”、“身边好人”、“最美家庭”等评选活动，举办“道德讲堂”，发挥模范榜样的示范带动作用。</w:t>
      </w:r>
    </w:p>
    <w:p>
      <w:pPr>
        <w:keepNext/>
        <w:keepLines/>
        <w:spacing w:line="360" w:lineRule="auto"/>
        <w:ind w:firstLine="602" w:firstLineChars="200"/>
        <w:jc w:val="center"/>
        <w:outlineLvl w:val="1"/>
        <w:rPr>
          <w:rFonts w:ascii="黑体" w:hAnsi="黑体" w:eastAsia="黑体" w:cs="Times New Roman"/>
          <w:b/>
          <w:bCs/>
          <w:sz w:val="30"/>
          <w:szCs w:val="30"/>
        </w:rPr>
      </w:pPr>
      <w:bookmarkStart w:id="258" w:name="_Toc96329965"/>
      <w:r>
        <w:rPr>
          <w:rFonts w:hint="eastAsia" w:ascii="黑体" w:hAnsi="黑体" w:eastAsia="黑体" w:cs="黑体"/>
          <w:b/>
          <w:bCs/>
          <w:sz w:val="30"/>
          <w:szCs w:val="30"/>
        </w:rPr>
        <w:t>第二节</w:t>
      </w:r>
      <w:r>
        <w:rPr>
          <w:rFonts w:ascii="黑体" w:hAnsi="黑体" w:eastAsia="黑体" w:cs="黑体"/>
          <w:b/>
          <w:bCs/>
          <w:sz w:val="30"/>
          <w:szCs w:val="30"/>
        </w:rPr>
        <w:t xml:space="preserve"> </w:t>
      </w:r>
      <w:r>
        <w:rPr>
          <w:rFonts w:hint="eastAsia" w:ascii="黑体" w:hAnsi="黑体" w:eastAsia="黑体" w:cs="黑体"/>
          <w:b/>
          <w:bCs/>
          <w:sz w:val="30"/>
          <w:szCs w:val="30"/>
        </w:rPr>
        <w:t>推进乡村文化繁荣发展</w:t>
      </w:r>
      <w:bookmarkEnd w:id="258"/>
    </w:p>
    <w:p>
      <w:pPr>
        <w:keepNext/>
        <w:keepLines/>
        <w:spacing w:line="360" w:lineRule="auto"/>
        <w:ind w:firstLine="602" w:firstLineChars="200"/>
        <w:outlineLvl w:val="2"/>
        <w:rPr>
          <w:rFonts w:ascii="仿宋" w:hAnsi="仿宋" w:eastAsia="仿宋" w:cs="Times New Roman"/>
          <w:b/>
          <w:bCs/>
          <w:sz w:val="30"/>
          <w:szCs w:val="30"/>
        </w:rPr>
      </w:pPr>
      <w:bookmarkStart w:id="259" w:name="_Toc96329966"/>
      <w:bookmarkStart w:id="260" w:name="_Toc65485932"/>
      <w:bookmarkStart w:id="261" w:name="_Toc57879256"/>
      <w:r>
        <w:rPr>
          <w:rFonts w:hint="eastAsia" w:ascii="仿宋" w:hAnsi="仿宋" w:eastAsia="仿宋" w:cs="仿宋"/>
          <w:b/>
          <w:bCs/>
          <w:sz w:val="30"/>
          <w:szCs w:val="30"/>
        </w:rPr>
        <w:t>一、着力推进农村精神文明建设</w:t>
      </w:r>
      <w:bookmarkEnd w:id="259"/>
      <w:bookmarkEnd w:id="260"/>
      <w:bookmarkEnd w:id="261"/>
    </w:p>
    <w:p>
      <w:pPr>
        <w:autoSpaceDE w:val="0"/>
        <w:autoSpaceDN w:val="0"/>
        <w:snapToGrid w:val="0"/>
        <w:spacing w:line="560" w:lineRule="exact"/>
        <w:ind w:firstLine="600" w:firstLineChars="200"/>
        <w:rPr>
          <w:rFonts w:ascii="仿宋" w:hAnsi="仿宋" w:eastAsia="仿宋" w:cs="Times New Roman"/>
          <w:sz w:val="30"/>
          <w:szCs w:val="30"/>
          <w:lang w:val="zh-CN"/>
        </w:rPr>
      </w:pPr>
      <w:r>
        <w:rPr>
          <w:rFonts w:hint="eastAsia" w:ascii="仿宋" w:hAnsi="仿宋" w:eastAsia="仿宋" w:cs="仿宋"/>
          <w:sz w:val="30"/>
          <w:szCs w:val="30"/>
          <w:lang w:val="zh-CN"/>
        </w:rPr>
        <w:t>以社会主义核心价值观为引领，完善农村思想道德体系和文明素养建设，坚持教育引导、实践养成、制度保障“三管”齐下，推动社会主义核心价值观在农村落地生根，成为广大农民的价值取向、道德追求和行动自觉。大力弘扬民族精神和时代精神，加强爱国主义、集体主义和社会主义教育，注重革命传统教育，传承红色基因。加强文明乡风宣传，推出一批导向鲜明、富有内涵、引人向上、感染力强的作品。加大宣传教育力度。通过编印宣传资料，开展群众性主题教育活动、开设广播电视专题讲座、举行基层巡回宣讲等多种形式，推进社会主义核心价值观下基层。在全市范围兴办覆盖县、乡、村三级的“新时代传习所”，使其成为传播宣传社会主义核心价值观的主阵地。持续开展精神文明创建活动，深入推进农村文明家庭、星级文明户、最美家庭、绿色家庭、书香家庭、健康家庭建设，传承良好家风。推动文明村镇连片创建，各级文明乡镇带动所辖村开展文明村创建，进一步提高县级及以上文明村和文明乡镇的占比。推进农村诚信建设，强化农民的社会责任意识、规则意识、集体意识、主体意识。建立健全覆盖农村的征信系统，完善守信激励和失信惩戒机制，传播崇德向善的正能量。</w:t>
      </w:r>
    </w:p>
    <w:tbl>
      <w:tblPr>
        <w:tblStyle w:val="16"/>
        <w:tblW w:w="0" w:type="auto"/>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1" w:type="dxa"/>
          </w:tcPr>
          <w:p>
            <w:pPr>
              <w:spacing w:line="500" w:lineRule="exact"/>
              <w:ind w:firstLine="562" w:firstLineChars="200"/>
              <w:jc w:val="center"/>
              <w:rPr>
                <w:rFonts w:ascii="黑体" w:hAnsi="黑体" w:eastAsia="黑体" w:cs="Times New Roman"/>
                <w:b/>
                <w:bCs/>
                <w:kern w:val="0"/>
                <w:sz w:val="28"/>
                <w:szCs w:val="28"/>
              </w:rPr>
            </w:pPr>
            <w:r>
              <w:rPr>
                <w:rFonts w:hint="eastAsia" w:ascii="黑体" w:hAnsi="黑体" w:eastAsia="黑体" w:cs="黑体"/>
                <w:b/>
                <w:bCs/>
                <w:kern w:val="0"/>
                <w:sz w:val="28"/>
                <w:szCs w:val="28"/>
              </w:rPr>
              <w:t>专栏</w:t>
            </w:r>
            <w:r>
              <w:rPr>
                <w:rFonts w:ascii="黑体" w:hAnsi="黑体" w:eastAsia="黑体" w:cs="黑体"/>
                <w:b/>
                <w:bCs/>
                <w:kern w:val="0"/>
                <w:sz w:val="28"/>
                <w:szCs w:val="28"/>
              </w:rPr>
              <w:t xml:space="preserve">11  </w:t>
            </w:r>
            <w:r>
              <w:rPr>
                <w:rFonts w:hint="eastAsia" w:ascii="黑体" w:hAnsi="黑体" w:eastAsia="黑体" w:cs="黑体"/>
                <w:b/>
                <w:bCs/>
                <w:kern w:val="0"/>
                <w:sz w:val="28"/>
                <w:szCs w:val="28"/>
              </w:rPr>
              <w:t>农村精神文明创建和道德建设工程</w:t>
            </w:r>
          </w:p>
          <w:p>
            <w:pPr>
              <w:spacing w:line="540" w:lineRule="exact"/>
              <w:ind w:firstLine="562" w:firstLineChars="200"/>
              <w:rPr>
                <w:rFonts w:ascii="楷体" w:hAnsi="楷体" w:eastAsia="楷体" w:cs="Times New Roman"/>
                <w:b/>
                <w:bCs/>
                <w:kern w:val="0"/>
                <w:sz w:val="28"/>
                <w:szCs w:val="28"/>
              </w:rPr>
            </w:pPr>
            <w:r>
              <w:rPr>
                <w:rFonts w:hint="eastAsia" w:ascii="楷体" w:hAnsi="楷体" w:eastAsia="楷体" w:cs="楷体"/>
                <w:b/>
                <w:bCs/>
                <w:kern w:val="0"/>
                <w:sz w:val="28"/>
                <w:szCs w:val="28"/>
              </w:rPr>
              <w:t>（一）文明村镇创建工程</w:t>
            </w:r>
          </w:p>
          <w:p>
            <w:pPr>
              <w:spacing w:line="540" w:lineRule="exact"/>
              <w:ind w:firstLine="560" w:firstLineChars="200"/>
              <w:rPr>
                <w:rFonts w:ascii="楷体" w:hAnsi="楷体" w:eastAsia="楷体" w:cs="Times New Roman"/>
                <w:kern w:val="0"/>
                <w:sz w:val="28"/>
                <w:szCs w:val="28"/>
              </w:rPr>
            </w:pPr>
            <w:r>
              <w:rPr>
                <w:rFonts w:hint="eastAsia" w:ascii="楷体" w:hAnsi="楷体" w:eastAsia="楷体" w:cs="楷体"/>
                <w:kern w:val="0"/>
                <w:sz w:val="28"/>
                <w:szCs w:val="28"/>
              </w:rPr>
              <w:t>积极开展国家、省、市、县四级文明村镇创建活动，加强对文明村镇创建工作的统筹谋划，总结推广文明村镇创建工作的好经验好做法，培养和树立一批先进典型、样板村镇，不断提高文明村镇创建的水平。到</w:t>
            </w:r>
            <w:r>
              <w:rPr>
                <w:rFonts w:ascii="楷体" w:hAnsi="楷体" w:eastAsia="楷体" w:cs="楷体"/>
                <w:kern w:val="0"/>
                <w:sz w:val="28"/>
                <w:szCs w:val="28"/>
              </w:rPr>
              <w:t>2025</w:t>
            </w:r>
            <w:r>
              <w:rPr>
                <w:rFonts w:hint="eastAsia" w:ascii="楷体" w:hAnsi="楷体" w:eastAsia="楷体" w:cs="楷体"/>
                <w:kern w:val="0"/>
                <w:sz w:val="28"/>
                <w:szCs w:val="28"/>
              </w:rPr>
              <w:t>年，全市县级及以上文明村占比达到</w:t>
            </w:r>
            <w:r>
              <w:rPr>
                <w:rFonts w:ascii="楷体" w:hAnsi="楷体" w:eastAsia="楷体" w:cs="楷体"/>
                <w:kern w:val="0"/>
                <w:sz w:val="28"/>
                <w:szCs w:val="28"/>
              </w:rPr>
              <w:t>60%</w:t>
            </w:r>
            <w:r>
              <w:rPr>
                <w:rFonts w:hint="eastAsia" w:ascii="楷体" w:hAnsi="楷体" w:eastAsia="楷体" w:cs="楷体"/>
                <w:kern w:val="0"/>
                <w:sz w:val="28"/>
                <w:szCs w:val="28"/>
              </w:rPr>
              <w:t>。</w:t>
            </w:r>
          </w:p>
          <w:p>
            <w:pPr>
              <w:spacing w:line="540" w:lineRule="exact"/>
              <w:ind w:firstLine="562" w:firstLineChars="200"/>
              <w:rPr>
                <w:rFonts w:ascii="楷体" w:hAnsi="楷体" w:eastAsia="楷体" w:cs="Times New Roman"/>
                <w:b/>
                <w:bCs/>
                <w:kern w:val="0"/>
                <w:sz w:val="28"/>
                <w:szCs w:val="28"/>
              </w:rPr>
            </w:pPr>
            <w:r>
              <w:rPr>
                <w:rFonts w:hint="eastAsia" w:ascii="楷体" w:hAnsi="楷体" w:eastAsia="楷体" w:cs="楷体"/>
                <w:b/>
                <w:bCs/>
                <w:kern w:val="0"/>
                <w:sz w:val="28"/>
                <w:szCs w:val="28"/>
              </w:rPr>
              <w:t>（二）文明家庭创建工程</w:t>
            </w:r>
          </w:p>
          <w:p>
            <w:pPr>
              <w:spacing w:line="540" w:lineRule="exact"/>
              <w:ind w:firstLine="560" w:firstLineChars="200"/>
              <w:rPr>
                <w:rFonts w:ascii="仿宋_GB2312" w:hAnsi="Times New Roman" w:cs="Times New Roman"/>
                <w:kern w:val="0"/>
                <w:sz w:val="28"/>
                <w:szCs w:val="28"/>
              </w:rPr>
            </w:pPr>
            <w:r>
              <w:rPr>
                <w:rFonts w:hint="eastAsia" w:ascii="楷体" w:hAnsi="楷体" w:eastAsia="楷体" w:cs="楷体"/>
                <w:kern w:val="0"/>
                <w:sz w:val="28"/>
                <w:szCs w:val="28"/>
              </w:rPr>
              <w:t>制定创建文明家庭实施方案，着眼文明家庭建设的覆盖面、参与性和长效化，在全市开展文明家庭建设系列创建活动、系列评选比赛活动、系列宣传实践活动。围绕发扬光大中华民族传统家庭美德，推出更多注重家风建设的道德模范，到</w:t>
            </w:r>
            <w:r>
              <w:rPr>
                <w:rFonts w:ascii="楷体" w:hAnsi="楷体" w:eastAsia="楷体" w:cs="楷体"/>
                <w:kern w:val="0"/>
                <w:sz w:val="28"/>
                <w:szCs w:val="28"/>
              </w:rPr>
              <w:t>2025</w:t>
            </w:r>
            <w:r>
              <w:rPr>
                <w:rFonts w:hint="eastAsia" w:ascii="楷体" w:hAnsi="楷体" w:eastAsia="楷体" w:cs="楷体"/>
                <w:kern w:val="0"/>
                <w:sz w:val="28"/>
                <w:szCs w:val="28"/>
              </w:rPr>
              <w:t>年，形成村村有模范、户户争文明的良好局面。</w:t>
            </w:r>
          </w:p>
        </w:tc>
      </w:tr>
    </w:tbl>
    <w:p>
      <w:pPr>
        <w:keepNext/>
        <w:keepLines/>
        <w:spacing w:line="360" w:lineRule="auto"/>
        <w:ind w:firstLine="602" w:firstLineChars="200"/>
        <w:outlineLvl w:val="2"/>
        <w:rPr>
          <w:rFonts w:ascii="仿宋" w:hAnsi="仿宋" w:eastAsia="仿宋" w:cs="Times New Roman"/>
          <w:b/>
          <w:bCs/>
          <w:sz w:val="30"/>
          <w:szCs w:val="30"/>
        </w:rPr>
      </w:pPr>
      <w:bookmarkStart w:id="262" w:name="_Toc96329967"/>
      <w:bookmarkStart w:id="263" w:name="_Toc57879257"/>
      <w:bookmarkStart w:id="264" w:name="_Toc65485933"/>
      <w:r>
        <w:rPr>
          <w:rFonts w:hint="eastAsia" w:ascii="仿宋" w:hAnsi="仿宋" w:eastAsia="仿宋" w:cs="仿宋"/>
          <w:b/>
          <w:bCs/>
          <w:sz w:val="30"/>
          <w:szCs w:val="30"/>
        </w:rPr>
        <w:t>二、完善乡村公共文化服务体系</w:t>
      </w:r>
      <w:bookmarkEnd w:id="262"/>
      <w:bookmarkEnd w:id="263"/>
      <w:bookmarkEnd w:id="264"/>
    </w:p>
    <w:p>
      <w:pPr>
        <w:autoSpaceDE w:val="0"/>
        <w:autoSpaceDN w:val="0"/>
        <w:snapToGrid w:val="0"/>
        <w:spacing w:line="560" w:lineRule="exact"/>
        <w:ind w:firstLine="600" w:firstLineChars="200"/>
        <w:rPr>
          <w:rFonts w:ascii="仿宋" w:hAnsi="仿宋" w:eastAsia="仿宋" w:cs="Times New Roman"/>
          <w:sz w:val="30"/>
          <w:szCs w:val="30"/>
        </w:rPr>
      </w:pPr>
      <w:r>
        <w:rPr>
          <w:rFonts w:hint="eastAsia" w:ascii="仿宋" w:hAnsi="仿宋" w:eastAsia="仿宋" w:cs="仿宋"/>
          <w:sz w:val="30"/>
          <w:szCs w:val="30"/>
        </w:rPr>
        <w:t>进一步完善乡村文化服务设施，推进全市乡镇</w:t>
      </w:r>
      <w:r>
        <w:rPr>
          <w:rFonts w:ascii="仿宋" w:hAnsi="仿宋" w:eastAsia="仿宋" w:cs="仿宋"/>
          <w:sz w:val="30"/>
          <w:szCs w:val="30"/>
        </w:rPr>
        <w:t>(</w:t>
      </w:r>
      <w:r>
        <w:rPr>
          <w:rFonts w:hint="eastAsia" w:ascii="仿宋" w:hAnsi="仿宋" w:eastAsia="仿宋" w:cs="仿宋"/>
          <w:sz w:val="30"/>
          <w:szCs w:val="30"/>
        </w:rPr>
        <w:t>街道</w:t>
      </w:r>
      <w:r>
        <w:rPr>
          <w:rFonts w:ascii="仿宋" w:hAnsi="仿宋" w:eastAsia="仿宋" w:cs="仿宋"/>
          <w:sz w:val="30"/>
          <w:szCs w:val="30"/>
        </w:rPr>
        <w:t>)</w:t>
      </w:r>
      <w:r>
        <w:rPr>
          <w:rFonts w:hint="eastAsia" w:ascii="仿宋" w:hAnsi="仿宋" w:eastAsia="仿宋" w:cs="仿宋"/>
          <w:sz w:val="30"/>
          <w:szCs w:val="30"/>
        </w:rPr>
        <w:t>和行政村</w:t>
      </w:r>
      <w:r>
        <w:rPr>
          <w:rFonts w:ascii="仿宋" w:hAnsi="仿宋" w:eastAsia="仿宋" w:cs="仿宋"/>
          <w:sz w:val="30"/>
          <w:szCs w:val="30"/>
        </w:rPr>
        <w:t>(</w:t>
      </w:r>
      <w:r>
        <w:rPr>
          <w:rFonts w:hint="eastAsia" w:ascii="仿宋" w:hAnsi="仿宋" w:eastAsia="仿宋" w:cs="仿宋"/>
          <w:sz w:val="30"/>
          <w:szCs w:val="30"/>
        </w:rPr>
        <w:t>社区</w:t>
      </w:r>
      <w:r>
        <w:rPr>
          <w:rFonts w:ascii="仿宋" w:hAnsi="仿宋" w:eastAsia="仿宋" w:cs="仿宋"/>
          <w:sz w:val="30"/>
          <w:szCs w:val="30"/>
        </w:rPr>
        <w:t>)</w:t>
      </w:r>
      <w:r>
        <w:rPr>
          <w:rFonts w:hint="eastAsia" w:ascii="仿宋" w:hAnsi="仿宋" w:eastAsia="仿宋" w:cs="仿宋"/>
          <w:sz w:val="30"/>
          <w:szCs w:val="30"/>
        </w:rPr>
        <w:t>综合性文化服务中心全覆盖；扩大县级文化馆、图书馆总分馆制建设覆盖面，全面建成主城区和中心镇</w:t>
      </w:r>
      <w:r>
        <w:rPr>
          <w:rFonts w:ascii="仿宋" w:hAnsi="仿宋" w:eastAsia="仿宋" w:cs="仿宋"/>
          <w:sz w:val="30"/>
          <w:szCs w:val="30"/>
        </w:rPr>
        <w:t>15</w:t>
      </w:r>
      <w:r>
        <w:rPr>
          <w:rFonts w:hint="eastAsia" w:ascii="仿宋" w:hAnsi="仿宋" w:eastAsia="仿宋" w:cs="仿宋"/>
          <w:sz w:val="30"/>
          <w:szCs w:val="30"/>
        </w:rPr>
        <w:t>分钟、一般村镇</w:t>
      </w:r>
      <w:r>
        <w:rPr>
          <w:rFonts w:ascii="仿宋" w:hAnsi="仿宋" w:eastAsia="仿宋" w:cs="仿宋"/>
          <w:sz w:val="30"/>
          <w:szCs w:val="30"/>
        </w:rPr>
        <w:t>20</w:t>
      </w:r>
      <w:r>
        <w:rPr>
          <w:rFonts w:hint="eastAsia" w:ascii="仿宋" w:hAnsi="仿宋" w:eastAsia="仿宋" w:cs="仿宋"/>
          <w:sz w:val="30"/>
          <w:szCs w:val="30"/>
        </w:rPr>
        <w:t>分钟的“公共文化服务圈”，</w:t>
      </w:r>
      <w:r>
        <w:rPr>
          <w:rFonts w:hint="eastAsia" w:ascii="仿宋" w:hAnsi="仿宋" w:eastAsia="仿宋" w:cs="仿宋"/>
          <w:sz w:val="30"/>
          <w:szCs w:val="30"/>
          <w:lang w:val="zh-CN"/>
        </w:rPr>
        <w:t>到</w:t>
      </w:r>
      <w:r>
        <w:rPr>
          <w:rFonts w:ascii="仿宋" w:hAnsi="仿宋" w:eastAsia="仿宋" w:cs="仿宋"/>
          <w:sz w:val="30"/>
          <w:szCs w:val="30"/>
          <w:lang w:val="zh-CN"/>
        </w:rPr>
        <w:t>2025</w:t>
      </w:r>
      <w:r>
        <w:rPr>
          <w:rFonts w:hint="eastAsia" w:ascii="仿宋" w:hAnsi="仿宋" w:eastAsia="仿宋" w:cs="仿宋"/>
          <w:sz w:val="30"/>
          <w:szCs w:val="30"/>
          <w:lang w:val="zh-CN"/>
        </w:rPr>
        <w:t>年，建成覆盖城乡、便捷高效的公共文化服务体系，行政村综合文化服务中心综合覆盖率达到</w:t>
      </w:r>
      <w:r>
        <w:rPr>
          <w:rFonts w:ascii="仿宋" w:hAnsi="仿宋" w:eastAsia="仿宋" w:cs="仿宋"/>
          <w:sz w:val="30"/>
          <w:szCs w:val="30"/>
          <w:lang w:val="zh-CN"/>
        </w:rPr>
        <w:t>100%</w:t>
      </w:r>
      <w:r>
        <w:rPr>
          <w:rFonts w:hint="eastAsia" w:ascii="仿宋" w:hAnsi="仿宋" w:eastAsia="仿宋" w:cs="仿宋"/>
          <w:sz w:val="30"/>
          <w:szCs w:val="30"/>
          <w:lang w:val="zh-CN"/>
        </w:rPr>
        <w:t>，村（社区）图书馆服务点有效覆盖率达到</w:t>
      </w:r>
      <w:r>
        <w:rPr>
          <w:rFonts w:ascii="仿宋" w:hAnsi="仿宋" w:eastAsia="仿宋" w:cs="仿宋"/>
          <w:sz w:val="30"/>
          <w:szCs w:val="30"/>
          <w:lang w:val="zh-CN"/>
        </w:rPr>
        <w:t>95%</w:t>
      </w:r>
      <w:r>
        <w:rPr>
          <w:rFonts w:hint="eastAsia" w:ascii="仿宋" w:hAnsi="仿宋" w:eastAsia="仿宋" w:cs="仿宋"/>
          <w:sz w:val="30"/>
          <w:szCs w:val="30"/>
          <w:lang w:val="zh-CN"/>
        </w:rPr>
        <w:t>以上。依托党组织活动场所、农村祠堂、闲置中小学校等公共服务配套设施，加快建设村级综合性文化服务中心，同时配套建设群众文体活动场地和健身设施。</w:t>
      </w:r>
      <w:r>
        <w:rPr>
          <w:rFonts w:hint="eastAsia" w:ascii="仿宋" w:hAnsi="仿宋" w:eastAsia="仿宋" w:cs="仿宋"/>
          <w:sz w:val="30"/>
          <w:szCs w:val="30"/>
        </w:rPr>
        <w:t>围绕推进公共文化服务体系和治理能力现代化，建设公共文化信息资源库和公共数字文化服务平台，建成与互联网、移动终端发展相适应的数字公共文化服务系统，实现全市公共数字文化服务城乡共建共享。进一步提升广电公共服务水平，加强全市</w:t>
      </w:r>
      <w:r>
        <w:rPr>
          <w:rFonts w:ascii="仿宋" w:hAnsi="仿宋" w:eastAsia="仿宋" w:cs="仿宋"/>
          <w:sz w:val="30"/>
          <w:szCs w:val="30"/>
        </w:rPr>
        <w:t>10</w:t>
      </w:r>
      <w:r>
        <w:rPr>
          <w:rFonts w:hint="eastAsia" w:ascii="仿宋" w:hAnsi="仿宋" w:eastAsia="仿宋" w:cs="仿宋"/>
          <w:sz w:val="30"/>
          <w:szCs w:val="30"/>
        </w:rPr>
        <w:t>座县级地面数字电视发射台及</w:t>
      </w:r>
      <w:r>
        <w:rPr>
          <w:rFonts w:ascii="仿宋" w:hAnsi="仿宋" w:eastAsia="仿宋" w:cs="仿宋"/>
          <w:sz w:val="30"/>
          <w:szCs w:val="30"/>
        </w:rPr>
        <w:t>7</w:t>
      </w:r>
      <w:r>
        <w:rPr>
          <w:rFonts w:hint="eastAsia" w:ascii="仿宋" w:hAnsi="仿宋" w:eastAsia="仿宋" w:cs="仿宋"/>
          <w:sz w:val="30"/>
          <w:szCs w:val="30"/>
        </w:rPr>
        <w:t>座乡镇地面数字电视发射站发射质量监测管理，完成全市应急广播系统建设，完成丰城</w:t>
      </w:r>
      <w:r>
        <w:rPr>
          <w:rFonts w:ascii="仿宋" w:hAnsi="仿宋" w:eastAsia="仿宋" w:cs="仿宋"/>
          <w:sz w:val="30"/>
          <w:szCs w:val="30"/>
        </w:rPr>
        <w:t>812</w:t>
      </w:r>
      <w:r>
        <w:rPr>
          <w:rFonts w:hint="eastAsia" w:ascii="仿宋" w:hAnsi="仿宋" w:eastAsia="仿宋" w:cs="仿宋"/>
          <w:sz w:val="30"/>
          <w:szCs w:val="30"/>
        </w:rPr>
        <w:t>台建设并开播。完善农村公共文化服务运行保障机制，形成基层文化阵地建管用的长效机制，配齐乡村文化管理队伍。完善乡村文化建设管理机制，明确各级政府主体责任并进行监督考核。</w:t>
      </w:r>
    </w:p>
    <w:p>
      <w:pPr>
        <w:keepNext/>
        <w:keepLines/>
        <w:spacing w:line="360" w:lineRule="auto"/>
        <w:ind w:firstLine="602" w:firstLineChars="200"/>
        <w:outlineLvl w:val="2"/>
        <w:rPr>
          <w:rFonts w:ascii="仿宋" w:hAnsi="仿宋" w:eastAsia="仿宋" w:cs="Times New Roman"/>
          <w:b/>
          <w:bCs/>
          <w:sz w:val="30"/>
          <w:szCs w:val="30"/>
        </w:rPr>
      </w:pPr>
      <w:bookmarkStart w:id="265" w:name="_Toc96329968"/>
      <w:bookmarkStart w:id="266" w:name="_Toc65485934"/>
      <w:bookmarkStart w:id="267" w:name="_Toc57879258"/>
      <w:r>
        <w:rPr>
          <w:rFonts w:hint="eastAsia" w:ascii="仿宋" w:hAnsi="仿宋" w:eastAsia="仿宋" w:cs="仿宋"/>
          <w:b/>
          <w:bCs/>
          <w:sz w:val="30"/>
          <w:szCs w:val="30"/>
        </w:rPr>
        <w:t>三、丰富群众文化生活</w:t>
      </w:r>
      <w:bookmarkEnd w:id="265"/>
      <w:bookmarkEnd w:id="266"/>
      <w:bookmarkEnd w:id="267"/>
    </w:p>
    <w:p>
      <w:pPr>
        <w:autoSpaceDE w:val="0"/>
        <w:autoSpaceDN w:val="0"/>
        <w:snapToGrid w:val="0"/>
        <w:spacing w:line="560" w:lineRule="exact"/>
        <w:ind w:left="233" w:firstLine="600" w:firstLineChars="200"/>
        <w:rPr>
          <w:rFonts w:ascii="仿宋" w:hAnsi="仿宋" w:eastAsia="仿宋" w:cs="Times New Roman"/>
          <w:sz w:val="30"/>
          <w:szCs w:val="30"/>
        </w:rPr>
      </w:pPr>
      <w:r>
        <w:rPr>
          <w:rFonts w:hint="eastAsia" w:ascii="仿宋" w:hAnsi="仿宋" w:eastAsia="仿宋" w:cs="仿宋"/>
          <w:sz w:val="30"/>
          <w:szCs w:val="30"/>
          <w:lang w:val="zh-CN"/>
        </w:rPr>
        <w:t>培育文化活动主体。依托基层综合性文化服务中心，兴办读书社、书画社、乡村文艺俱乐部，发掘和培养乡村文艺骨干，鼓励农民自办文化活动，培养群众文化团队，组织群众开展示范展演和民俗文化活动，开展送演出、送讲座、送展览、送培训等活动，满足广大农民精神文化需求。扶持民间职业剧团、农村业余剧团，支持其扎根民间、深入农村、服务农民。关注和保障特殊人群文化权益，</w:t>
      </w:r>
      <w:r>
        <w:rPr>
          <w:rFonts w:hint="eastAsia" w:ascii="仿宋" w:hAnsi="仿宋" w:eastAsia="仿宋" w:cs="仿宋"/>
          <w:sz w:val="30"/>
          <w:szCs w:val="30"/>
        </w:rPr>
        <w:t>特别是农村留守妇女儿童、孤寡老人、残疾人士、返乡农民工等特殊群体的文化权益；抓好面向农村群众的文化产品和服务的生产供给，组织创作生产一批体现当今农村和农民风貌、群众喜闻乐见的文艺作品，通过农村文化“三下乡”、送文化下基层、文化志愿服务等活动，丰富活跃农村群众精神文化生活，培养积极向上的生活情操，增强人民文化获得感、幸福感；持续开展“一县一品、一乡一色”区域文化品牌建设，进一步做强农民版画、诗词、摄影、漫画、书法等民间艺术，支持各地因地制宜举办农民丰收节、晒红节、百合文化节、传统庙会等各种农民才艺、民俗展示活动，打造一批民间文艺团体和草根文化名人，叫响县域文化、社区文化、乡村文化等品牌。</w:t>
      </w:r>
    </w:p>
    <w:p>
      <w:pPr>
        <w:keepNext/>
        <w:keepLines/>
        <w:spacing w:line="360" w:lineRule="auto"/>
        <w:ind w:firstLine="602" w:firstLineChars="200"/>
        <w:outlineLvl w:val="2"/>
        <w:rPr>
          <w:rFonts w:ascii="仿宋" w:hAnsi="仿宋" w:eastAsia="仿宋" w:cs="Times New Roman"/>
          <w:b/>
          <w:bCs/>
          <w:sz w:val="30"/>
          <w:szCs w:val="30"/>
        </w:rPr>
      </w:pPr>
      <w:bookmarkStart w:id="268" w:name="_Toc57879259"/>
      <w:bookmarkStart w:id="269" w:name="_Toc65485935"/>
      <w:bookmarkStart w:id="270" w:name="_Toc96329969"/>
      <w:r>
        <w:rPr>
          <w:rFonts w:hint="eastAsia" w:ascii="仿宋" w:hAnsi="仿宋" w:eastAsia="仿宋" w:cs="仿宋"/>
          <w:b/>
          <w:bCs/>
          <w:sz w:val="30"/>
          <w:szCs w:val="30"/>
        </w:rPr>
        <w:t>四、弘扬宜春优秀传统文化</w:t>
      </w:r>
      <w:bookmarkEnd w:id="268"/>
      <w:bookmarkEnd w:id="269"/>
      <w:bookmarkEnd w:id="270"/>
    </w:p>
    <w:p>
      <w:pPr>
        <w:autoSpaceDE w:val="0"/>
        <w:autoSpaceDN w:val="0"/>
        <w:snapToGrid w:val="0"/>
        <w:spacing w:line="560" w:lineRule="exact"/>
        <w:ind w:left="233" w:firstLine="600" w:firstLineChars="200"/>
        <w:rPr>
          <w:rFonts w:ascii="楷体" w:hAnsi="楷体" w:eastAsia="楷体" w:cs="Times New Roman"/>
          <w:sz w:val="44"/>
          <w:szCs w:val="44"/>
          <w:lang w:val="zh-CN"/>
        </w:rPr>
      </w:pPr>
      <w:r>
        <w:rPr>
          <w:rFonts w:hint="eastAsia" w:ascii="仿宋" w:hAnsi="仿宋" w:eastAsia="仿宋" w:cs="仿宋"/>
          <w:sz w:val="30"/>
          <w:szCs w:val="30"/>
          <w:lang w:val="zh-CN"/>
        </w:rPr>
        <w:t>保护传统文化遗产。</w:t>
      </w:r>
      <w:r>
        <w:rPr>
          <w:rFonts w:hint="eastAsia" w:ascii="仿宋" w:hAnsi="仿宋" w:eastAsia="仿宋" w:cs="仿宋"/>
          <w:sz w:val="30"/>
          <w:szCs w:val="30"/>
        </w:rPr>
        <w:t>完善全市历史文化遗产保护体系，持续抓好“文化和自然遗产日”宣传教育活动，提高全民特别是农村群众的文化遗产保护意识。强化农村、野外文物遗址保护，加强传统村落的整体保护利用，做好农村红色旅游资源的开发利用，注重农村古建筑和代表性历史建筑的保护修缮、集镇改造中的文化遗产保护，构建宜春文化标识体系；推进农村非物质文化遗产保护传承工作</w:t>
      </w:r>
      <w:r>
        <w:rPr>
          <w:rFonts w:hint="eastAsia" w:ascii="仿宋" w:hAnsi="仿宋" w:eastAsia="仿宋" w:cs="仿宋"/>
          <w:sz w:val="30"/>
          <w:szCs w:val="30"/>
          <w:lang w:val="zh-CN"/>
        </w:rPr>
        <w:t>。</w:t>
      </w:r>
      <w:r>
        <w:rPr>
          <w:rFonts w:hint="eastAsia" w:ascii="仿宋" w:hAnsi="仿宋" w:eastAsia="仿宋" w:cs="仿宋"/>
          <w:sz w:val="30"/>
          <w:szCs w:val="30"/>
        </w:rPr>
        <w:t>加强对民间历史文化资源、传统习俗和节庆活动的挖掘整理、宣传展示，继续开展非遗扶贫助残工作，努力提高民间艺术和传统手工技艺传承人的授业积极性，推进非物质文化遗产在民间的“活态”传承，推动宜春优秀传统文化展现永久魅力、焕发时代风采</w:t>
      </w:r>
      <w:r>
        <w:rPr>
          <w:rFonts w:hint="eastAsia" w:ascii="仿宋" w:hAnsi="仿宋" w:eastAsia="仿宋" w:cs="仿宋"/>
          <w:sz w:val="30"/>
          <w:szCs w:val="30"/>
          <w:lang w:val="zh-CN"/>
        </w:rPr>
        <w:t>。发展农村特色文化产业。实施传统手工艺振兴计划，培育形成具有民族和地域特色的传统工艺产品品牌。依托宜春底蕴深厚、丰富多彩的历史文化、红色文化、好人文化、耕读文化、生态文化、民俗文化、禅宗文化和月亮文化，推进文化产业项目建设。</w:t>
      </w:r>
    </w:p>
    <w:p>
      <w:pPr>
        <w:keepNext/>
        <w:keepLines/>
        <w:spacing w:line="360" w:lineRule="auto"/>
        <w:ind w:firstLine="602" w:firstLineChars="200"/>
        <w:jc w:val="center"/>
        <w:outlineLvl w:val="1"/>
        <w:rPr>
          <w:rFonts w:ascii="黑体" w:hAnsi="黑体" w:eastAsia="黑体" w:cs="Times New Roman"/>
          <w:b/>
          <w:bCs/>
          <w:sz w:val="30"/>
          <w:szCs w:val="30"/>
        </w:rPr>
      </w:pPr>
      <w:bookmarkStart w:id="271" w:name="_Toc96329970"/>
      <w:r>
        <w:rPr>
          <w:rFonts w:hint="eastAsia" w:ascii="黑体" w:hAnsi="黑体" w:eastAsia="黑体" w:cs="黑体"/>
          <w:b/>
          <w:bCs/>
          <w:sz w:val="30"/>
          <w:szCs w:val="30"/>
        </w:rPr>
        <w:t>第三节</w:t>
      </w:r>
      <w:r>
        <w:rPr>
          <w:rFonts w:ascii="黑体" w:hAnsi="黑体" w:eastAsia="黑体" w:cs="黑体"/>
          <w:b/>
          <w:bCs/>
          <w:sz w:val="30"/>
          <w:szCs w:val="30"/>
        </w:rPr>
        <w:t xml:space="preserve"> </w:t>
      </w:r>
      <w:r>
        <w:rPr>
          <w:rFonts w:hint="eastAsia" w:ascii="黑体" w:hAnsi="黑体" w:eastAsia="黑体" w:cs="黑体"/>
          <w:b/>
          <w:bCs/>
          <w:sz w:val="30"/>
          <w:szCs w:val="30"/>
        </w:rPr>
        <w:t>不断优化农业农村政务服务</w:t>
      </w:r>
      <w:bookmarkEnd w:id="271"/>
    </w:p>
    <w:p>
      <w:pPr>
        <w:keepNext/>
        <w:keepLines/>
        <w:spacing w:line="360" w:lineRule="auto"/>
        <w:ind w:firstLine="602" w:firstLineChars="200"/>
        <w:outlineLvl w:val="2"/>
        <w:rPr>
          <w:rFonts w:ascii="仿宋" w:hAnsi="仿宋" w:eastAsia="仿宋" w:cs="Times New Roman"/>
          <w:b/>
          <w:bCs/>
          <w:sz w:val="30"/>
          <w:szCs w:val="30"/>
        </w:rPr>
      </w:pPr>
      <w:bookmarkStart w:id="272" w:name="_Toc96329971"/>
      <w:r>
        <w:rPr>
          <w:rFonts w:hint="eastAsia" w:ascii="仿宋" w:hAnsi="仿宋" w:eastAsia="仿宋" w:cs="仿宋"/>
          <w:b/>
          <w:bCs/>
          <w:sz w:val="30"/>
          <w:szCs w:val="30"/>
        </w:rPr>
        <w:t>一、深化简证便民服务</w:t>
      </w:r>
      <w:bookmarkEnd w:id="272"/>
    </w:p>
    <w:p>
      <w:pPr>
        <w:spacing w:line="360" w:lineRule="auto"/>
        <w:ind w:firstLine="600" w:firstLineChars="200"/>
        <w:rPr>
          <w:rFonts w:ascii="仿宋" w:hAnsi="仿宋" w:eastAsia="仿宋" w:cs="Times New Roman"/>
          <w:sz w:val="30"/>
          <w:szCs w:val="30"/>
        </w:rPr>
      </w:pPr>
      <w:r>
        <w:rPr>
          <w:rFonts w:hint="eastAsia" w:ascii="仿宋" w:hAnsi="仿宋" w:eastAsia="仿宋" w:cs="仿宋"/>
          <w:sz w:val="30"/>
          <w:szCs w:val="30"/>
        </w:rPr>
        <w:t>增强官网和微信公众号服务群众功能，推进电子认证、“快递</w:t>
      </w:r>
      <w:r>
        <w:rPr>
          <w:rFonts w:ascii="仿宋" w:hAnsi="仿宋" w:eastAsia="仿宋" w:cs="仿宋"/>
          <w:sz w:val="30"/>
          <w:szCs w:val="30"/>
        </w:rPr>
        <w:t>+</w:t>
      </w:r>
      <w:r>
        <w:rPr>
          <w:rFonts w:hint="eastAsia" w:ascii="仿宋" w:hAnsi="仿宋" w:eastAsia="仿宋" w:cs="仿宋"/>
          <w:sz w:val="30"/>
          <w:szCs w:val="30"/>
        </w:rPr>
        <w:t>政务服务”等方式，全面推行“不见面”办事。实施“告知承诺制”、“一件事一次办”、政务服务“好差评”管理。持续完善政务服务线下平台体系，进一步规范政务服务中心建设管理，加强乡镇（街道）便民服务中心和村（社区）便民服务站点建设，实现基层政务服务“一门式”全覆盖，推行帮（代）办服务，打通服务群众“最后一百米”。</w:t>
      </w:r>
    </w:p>
    <w:p>
      <w:pPr>
        <w:keepNext/>
        <w:keepLines/>
        <w:spacing w:line="360" w:lineRule="auto"/>
        <w:ind w:firstLine="602" w:firstLineChars="200"/>
        <w:outlineLvl w:val="2"/>
        <w:rPr>
          <w:rFonts w:ascii="仿宋" w:hAnsi="仿宋" w:eastAsia="仿宋" w:cs="Times New Roman"/>
          <w:b/>
          <w:bCs/>
          <w:sz w:val="30"/>
          <w:szCs w:val="30"/>
        </w:rPr>
      </w:pPr>
      <w:bookmarkStart w:id="273" w:name="_Toc96329972"/>
      <w:r>
        <w:rPr>
          <w:rFonts w:hint="eastAsia" w:ascii="仿宋" w:hAnsi="仿宋" w:eastAsia="仿宋" w:cs="仿宋"/>
          <w:b/>
          <w:bCs/>
          <w:sz w:val="30"/>
          <w:szCs w:val="30"/>
        </w:rPr>
        <w:t>二、加快农业信用体系建设</w:t>
      </w:r>
      <w:bookmarkEnd w:id="273"/>
    </w:p>
    <w:p>
      <w:pPr>
        <w:spacing w:line="360" w:lineRule="auto"/>
        <w:ind w:firstLine="600" w:firstLineChars="200"/>
        <w:rPr>
          <w:rFonts w:ascii="仿宋" w:hAnsi="仿宋" w:eastAsia="仿宋" w:cs="Times New Roman"/>
          <w:sz w:val="30"/>
          <w:szCs w:val="30"/>
        </w:rPr>
      </w:pPr>
      <w:r>
        <w:rPr>
          <w:rFonts w:hint="eastAsia" w:ascii="仿宋" w:hAnsi="仿宋" w:eastAsia="仿宋" w:cs="仿宋"/>
          <w:sz w:val="30"/>
          <w:szCs w:val="30"/>
        </w:rPr>
        <w:t>构建市、县级涉农信用信息数据库，建立完善的新型农业经营主体信用体系。推进农资和农产品生产经营主体信用档案建设，适时规范完善信用档案内容，鼓励有条件的地方逐步将散户纳入信用档案建设范围。依法加强信用信息的归集、公示和共享。强化信用档案应用，建立企业白名单制度，健全守信联合激励和失信联合惩戒机制。鼓励行业协会、社会团体和第三方机构运用公开的信用信息开展信用评价，为社会提供多样化的信用产品和服务，引导生产经营主体树立诚信意识，守法诚信经营。</w:t>
      </w:r>
    </w:p>
    <w:p>
      <w:pPr>
        <w:keepNext/>
        <w:keepLines/>
        <w:spacing w:line="360" w:lineRule="auto"/>
        <w:ind w:firstLine="602" w:firstLineChars="200"/>
        <w:outlineLvl w:val="2"/>
        <w:rPr>
          <w:rFonts w:ascii="仿宋" w:hAnsi="仿宋" w:eastAsia="仿宋" w:cs="Times New Roman"/>
          <w:b/>
          <w:bCs/>
          <w:sz w:val="30"/>
          <w:szCs w:val="30"/>
        </w:rPr>
      </w:pPr>
      <w:bookmarkStart w:id="274" w:name="_Toc96329973"/>
      <w:r>
        <w:rPr>
          <w:rFonts w:hint="eastAsia" w:ascii="仿宋" w:hAnsi="仿宋" w:eastAsia="仿宋" w:cs="仿宋"/>
          <w:b/>
          <w:bCs/>
          <w:sz w:val="30"/>
          <w:szCs w:val="30"/>
        </w:rPr>
        <w:t>三、全面推进政务公开</w:t>
      </w:r>
      <w:bookmarkEnd w:id="274"/>
    </w:p>
    <w:p>
      <w:pPr>
        <w:spacing w:line="360" w:lineRule="auto"/>
        <w:ind w:firstLine="600" w:firstLineChars="200"/>
        <w:rPr>
          <w:rFonts w:ascii="仿宋" w:hAnsi="仿宋" w:eastAsia="仿宋" w:cs="Times New Roman"/>
          <w:sz w:val="30"/>
          <w:szCs w:val="30"/>
        </w:rPr>
      </w:pPr>
      <w:r>
        <w:rPr>
          <w:rFonts w:hint="eastAsia" w:ascii="仿宋" w:hAnsi="仿宋" w:eastAsia="仿宋" w:cs="仿宋"/>
          <w:sz w:val="30"/>
          <w:szCs w:val="30"/>
        </w:rPr>
        <w:t>贯彻落实《政府信息公开条例》，推动主动公开目录体系建设，坚持以公开为常态、不公开为例外的原则，推进“五公开”（决策公开、执行公开、管理公开、服务公开、结果公开），确保法定主动内容全部公开。推进规范性文件、人大建议政协提案办理结果、执法信息公示、行政许可、行政处罚决定信息公开，方便群众查询、监督。强化农业部门网站建设和管理，加强部门、网站之间协同联动，打通各地区各部门政府网站，加强资源整合和开放共享，提升网站的集群效应，形成一体化的政务服务网络。推进基层政务公开标准化规范化，切实优化政务服务，提升政府效能，破解企业和群众“办证多、办事难”问题，全力打通服务群众“最后一公里”。</w:t>
      </w:r>
    </w:p>
    <w:p>
      <w:pPr>
        <w:pStyle w:val="3"/>
        <w:keepNext w:val="0"/>
        <w:keepLines w:val="0"/>
        <w:pageBreakBefore/>
        <w:jc w:val="center"/>
        <w:rPr>
          <w:rFonts w:ascii="黑体" w:hAnsi="黑体" w:eastAsia="黑体" w:cs="Times New Roman"/>
          <w:sz w:val="30"/>
          <w:szCs w:val="30"/>
        </w:rPr>
      </w:pPr>
      <w:bookmarkStart w:id="275" w:name="_Toc77925824"/>
      <w:bookmarkStart w:id="276" w:name="_Toc96329974"/>
      <w:bookmarkStart w:id="277" w:name="_Toc77520278"/>
      <w:r>
        <w:rPr>
          <w:rFonts w:hint="eastAsia" w:ascii="黑体" w:hAnsi="黑体" w:eastAsia="黑体" w:cs="黑体"/>
          <w:sz w:val="30"/>
          <w:szCs w:val="30"/>
        </w:rPr>
        <w:t>第八章</w:t>
      </w:r>
      <w:r>
        <w:rPr>
          <w:rFonts w:ascii="黑体" w:hAnsi="黑体" w:eastAsia="黑体" w:cs="黑体"/>
          <w:sz w:val="30"/>
          <w:szCs w:val="30"/>
        </w:rPr>
        <w:t xml:space="preserve"> </w:t>
      </w:r>
      <w:r>
        <w:rPr>
          <w:rFonts w:hint="eastAsia" w:ascii="黑体" w:hAnsi="黑体" w:eastAsia="黑体" w:cs="黑体"/>
          <w:sz w:val="30"/>
          <w:szCs w:val="30"/>
        </w:rPr>
        <w:t>构建</w:t>
      </w:r>
      <w:r>
        <w:rPr>
          <w:rFonts w:ascii="黑体" w:hAnsi="黑体" w:eastAsia="黑体" w:cs="黑体"/>
          <w:sz w:val="30"/>
          <w:szCs w:val="30"/>
        </w:rPr>
        <w:t>?</w:t>
      </w:r>
      <w:r>
        <w:rPr>
          <w:rFonts w:hint="eastAsia" w:ascii="黑体" w:hAnsi="黑体" w:eastAsia="黑体" w:cs="黑体"/>
          <w:sz w:val="30"/>
          <w:szCs w:val="30"/>
        </w:rPr>
        <w:t>°普惠大众</w:t>
      </w:r>
      <w:r>
        <w:rPr>
          <w:rFonts w:ascii="黑体" w:hAnsi="黑体" w:eastAsia="黑体" w:cs="黑体"/>
          <w:sz w:val="30"/>
          <w:szCs w:val="30"/>
        </w:rPr>
        <w:t xml:space="preserve"> </w:t>
      </w:r>
      <w:r>
        <w:rPr>
          <w:rFonts w:hint="eastAsia" w:ascii="黑体" w:hAnsi="黑体" w:eastAsia="黑体" w:cs="黑体"/>
          <w:sz w:val="30"/>
          <w:szCs w:val="30"/>
        </w:rPr>
        <w:t>生活富裕</w:t>
      </w:r>
      <w:r>
        <w:rPr>
          <w:rFonts w:ascii="黑体" w:hAnsi="黑体" w:eastAsia="黑体" w:cs="黑体"/>
          <w:sz w:val="30"/>
          <w:szCs w:val="30"/>
        </w:rPr>
        <w:t>?</w:t>
      </w:r>
      <w:r>
        <w:rPr>
          <w:rFonts w:hint="eastAsia" w:ascii="黑体" w:hAnsi="黑体" w:eastAsia="黑体" w:cs="黑体"/>
          <w:sz w:val="30"/>
          <w:szCs w:val="30"/>
        </w:rPr>
        <w:t>±的农民现代化体系</w:t>
      </w:r>
      <w:bookmarkEnd w:id="275"/>
      <w:bookmarkEnd w:id="276"/>
      <w:bookmarkEnd w:id="277"/>
    </w:p>
    <w:p>
      <w:pPr>
        <w:pStyle w:val="2"/>
        <w:jc w:val="center"/>
        <w:rPr>
          <w:rFonts w:ascii="黑体" w:hAnsi="黑体" w:eastAsia="黑体" w:cs="Times New Roman"/>
          <w:sz w:val="30"/>
          <w:szCs w:val="30"/>
        </w:rPr>
      </w:pPr>
      <w:bookmarkStart w:id="278" w:name="_Toc96329975"/>
      <w:bookmarkStart w:id="279" w:name="_Toc77520279"/>
      <w:bookmarkStart w:id="280" w:name="_Toc77925825"/>
      <w:r>
        <w:rPr>
          <w:rFonts w:hint="eastAsia" w:ascii="黑体" w:hAnsi="黑体" w:eastAsia="黑体" w:cs="黑体"/>
          <w:sz w:val="30"/>
          <w:szCs w:val="30"/>
        </w:rPr>
        <w:t>第一节</w:t>
      </w:r>
      <w:r>
        <w:rPr>
          <w:rFonts w:ascii="黑体" w:hAnsi="黑体" w:eastAsia="黑体" w:cs="黑体"/>
          <w:sz w:val="30"/>
          <w:szCs w:val="30"/>
        </w:rPr>
        <w:t xml:space="preserve"> </w:t>
      </w:r>
      <w:r>
        <w:rPr>
          <w:rFonts w:hint="eastAsia" w:ascii="黑体" w:hAnsi="黑体" w:eastAsia="黑体" w:cs="黑体"/>
          <w:sz w:val="30"/>
          <w:szCs w:val="30"/>
        </w:rPr>
        <w:t>巩固拓展脱贫攻坚成果</w:t>
      </w:r>
      <w:bookmarkEnd w:id="278"/>
      <w:bookmarkEnd w:id="279"/>
      <w:bookmarkEnd w:id="280"/>
    </w:p>
    <w:p>
      <w:pPr>
        <w:spacing w:line="600" w:lineRule="exact"/>
        <w:ind w:firstLine="600" w:firstLineChars="200"/>
        <w:rPr>
          <w:rFonts w:ascii="仿宋" w:hAnsi="仿宋" w:eastAsia="仿宋" w:cs="Times New Roman"/>
          <w:sz w:val="30"/>
          <w:szCs w:val="30"/>
          <w:lang w:val="zh-CN"/>
        </w:rPr>
      </w:pPr>
      <w:r>
        <w:rPr>
          <w:rFonts w:hint="eastAsia" w:ascii="仿宋" w:hAnsi="仿宋" w:eastAsia="仿宋" w:cs="仿宋"/>
          <w:sz w:val="30"/>
          <w:szCs w:val="30"/>
          <w:lang w:val="zh-CN"/>
        </w:rPr>
        <w:t>立足新发展阶段，贯彻新发展理念，融入新发展格局，牢牢把握党中央设立五年过渡期主要任务，严格落实“四个不摘”要求，建立健全巩固拓展脱贫攻坚成果长效机制，做好巩固拓展脱贫攻坚成果同乡村振兴有效衔接，保持主要帮扶政策总体稳定，增强脱贫地区内生发展能力，保障脱贫人口脱贫后持续增收，加强易地扶贫搬迁后续扶持政策落实，推进完善减贫工作体系平稳转型，让脱贫群众过上更加美好的生活，逐步走上共同富裕的道路。</w:t>
      </w:r>
    </w:p>
    <w:p>
      <w:pPr>
        <w:pStyle w:val="4"/>
        <w:spacing w:before="0" w:after="0" w:line="360" w:lineRule="auto"/>
        <w:ind w:firstLine="602" w:firstLineChars="200"/>
        <w:rPr>
          <w:rFonts w:ascii="仿宋" w:hAnsi="仿宋" w:eastAsia="仿宋" w:cs="Times New Roman"/>
          <w:sz w:val="30"/>
          <w:szCs w:val="30"/>
        </w:rPr>
      </w:pPr>
      <w:bookmarkStart w:id="281" w:name="_Toc77520280"/>
      <w:bookmarkStart w:id="282" w:name="_Toc77925826"/>
      <w:bookmarkStart w:id="283" w:name="_Toc96329976"/>
      <w:r>
        <w:rPr>
          <w:rFonts w:hint="eastAsia" w:ascii="仿宋" w:hAnsi="仿宋" w:eastAsia="仿宋" w:cs="仿宋"/>
          <w:sz w:val="30"/>
          <w:szCs w:val="30"/>
        </w:rPr>
        <w:t>一、建立健全防返贫动态监测帮扶机制</w:t>
      </w:r>
      <w:bookmarkEnd w:id="281"/>
      <w:bookmarkEnd w:id="282"/>
      <w:bookmarkEnd w:id="283"/>
    </w:p>
    <w:p>
      <w:pPr>
        <w:adjustRightInd w:val="0"/>
        <w:spacing w:line="600" w:lineRule="exact"/>
        <w:ind w:firstLine="600" w:firstLineChars="200"/>
        <w:rPr>
          <w:rFonts w:ascii="仿宋" w:hAnsi="仿宋" w:eastAsia="仿宋" w:cs="Times New Roman"/>
          <w:sz w:val="30"/>
          <w:szCs w:val="30"/>
          <w:lang w:val="zh-CN"/>
        </w:rPr>
      </w:pPr>
      <w:r>
        <w:rPr>
          <w:rFonts w:hint="eastAsia" w:ascii="仿宋" w:hAnsi="仿宋" w:eastAsia="仿宋" w:cs="仿宋"/>
          <w:sz w:val="30"/>
          <w:szCs w:val="30"/>
          <w:lang w:val="zh-CN"/>
        </w:rPr>
        <w:t>健全防止返贫动态监测和精准帮扶机制，对易返贫致贫人口实施常态化监测。对脱贫不稳定户、边缘易致贫户以及因病因灾因意外事故等刚性支出较大或收入大幅缩减导致基本生活出现严重困难户，开展核查，实行动态管理。健全防止返贫大数据监测平台，加强数据共享，充分利用先进技术手段提升监测准确性，进一步完善基础数据库。建立完善农户自主申报、部门筛查预警、基层干部排查相结合的易返贫致贫人口发现和核查机制，实施动态管理，开展分类帮扶，坚决防止发生规模性返贫。坚持因人因户精准施策，对有劳动能力的农村低收入人口，坚持开发式帮扶，引导勤劳致富，促进稳定增收；对无劳动能力或丧失部分劳动能力且无法通过就业获得稳定收入的，以现有社会保障体系为基础，纳入农村低保或特困人员救助供养范围，做好兜底保障；对内生动力不足的，持续扶志扶智，激发内生动力，增强发展能力。</w:t>
      </w:r>
    </w:p>
    <w:p>
      <w:pPr>
        <w:pStyle w:val="4"/>
        <w:spacing w:before="0" w:after="0" w:line="360" w:lineRule="auto"/>
        <w:ind w:firstLine="602" w:firstLineChars="200"/>
        <w:rPr>
          <w:rFonts w:ascii="仿宋" w:hAnsi="仿宋" w:eastAsia="仿宋" w:cs="Times New Roman"/>
          <w:sz w:val="30"/>
          <w:szCs w:val="30"/>
        </w:rPr>
      </w:pPr>
      <w:bookmarkStart w:id="284" w:name="_Toc77520281"/>
      <w:bookmarkStart w:id="285" w:name="_Toc96329977"/>
      <w:bookmarkStart w:id="286" w:name="_Toc77925827"/>
      <w:r>
        <w:rPr>
          <w:rFonts w:hint="eastAsia" w:ascii="仿宋" w:hAnsi="仿宋" w:eastAsia="仿宋" w:cs="仿宋"/>
          <w:sz w:val="30"/>
          <w:szCs w:val="30"/>
        </w:rPr>
        <w:t>二、巩固提升“两不愁三保障”和饮水安全成果</w:t>
      </w:r>
      <w:bookmarkEnd w:id="284"/>
      <w:bookmarkEnd w:id="285"/>
      <w:bookmarkEnd w:id="286"/>
    </w:p>
    <w:p>
      <w:pPr>
        <w:spacing w:line="360" w:lineRule="auto"/>
        <w:ind w:firstLine="640"/>
        <w:rPr>
          <w:rFonts w:ascii="仿宋" w:hAnsi="仿宋" w:eastAsia="仿宋" w:cs="Times New Roman"/>
          <w:sz w:val="30"/>
          <w:szCs w:val="30"/>
          <w:lang w:val="zh-CN"/>
        </w:rPr>
      </w:pPr>
      <w:r>
        <w:rPr>
          <w:rFonts w:hint="eastAsia" w:ascii="仿宋" w:hAnsi="仿宋" w:eastAsia="仿宋" w:cs="仿宋"/>
          <w:sz w:val="30"/>
          <w:szCs w:val="30"/>
          <w:lang w:val="zh-CN"/>
        </w:rPr>
        <w:t>落实行业主管部门工作责任，加强部门单位数据共享对接，分类建立巩固台账，确保巩固</w:t>
      </w:r>
      <w:r>
        <w:rPr>
          <w:rFonts w:ascii="仿宋" w:hAnsi="仿宋" w:eastAsia="仿宋" w:cs="仿宋"/>
          <w:sz w:val="30"/>
          <w:szCs w:val="30"/>
          <w:lang w:val="zh-CN"/>
        </w:rPr>
        <w:t>?</w:t>
      </w:r>
      <w:r>
        <w:rPr>
          <w:rFonts w:hint="eastAsia" w:ascii="仿宋" w:hAnsi="仿宋" w:eastAsia="仿宋" w:cs="仿宋"/>
          <w:sz w:val="30"/>
          <w:szCs w:val="30"/>
          <w:lang w:val="zh-CN"/>
        </w:rPr>
        <w:t>°两不愁三保障</w:t>
      </w:r>
      <w:r>
        <w:rPr>
          <w:rFonts w:ascii="仿宋" w:hAnsi="仿宋" w:eastAsia="仿宋" w:cs="仿宋"/>
          <w:sz w:val="30"/>
          <w:szCs w:val="30"/>
          <w:lang w:val="zh-CN"/>
        </w:rPr>
        <w:t>?</w:t>
      </w:r>
      <w:r>
        <w:rPr>
          <w:rFonts w:hint="eastAsia" w:ascii="仿宋" w:hAnsi="仿宋" w:eastAsia="仿宋" w:cs="仿宋"/>
          <w:sz w:val="30"/>
          <w:szCs w:val="30"/>
          <w:lang w:val="zh-CN"/>
        </w:rPr>
        <w:t>±和饮水安全成果稳步提升。健全控辍保学工作机制，提升农村中小学教育质量水平，确保除身体原因不具备学习条件外脱贫家庭义务教育阶段适龄儿童少年不失学辍学。继续落实城乡居民基本医疗保险参保个人缴费资助政策和先诊疗后付费措施，执行大病专项救治政策，落实重大传染性疾病防控措施，优化慢病签约服务，防范因病返贫致贫风险。健全完善农村脱贫人口住房安全动态监测机制，按照户申请、村评议、乡镇核查、县级审批程序，通过农村危房改造、闲置农房置换或长期租赁、闲置公用房安置等保障低收入人口基本住房安全。健全农村饮水</w:t>
      </w:r>
      <w:r>
        <w:rPr>
          <w:rFonts w:ascii="仿宋" w:hAnsi="仿宋" w:eastAsia="仿宋" w:cs="仿宋"/>
          <w:sz w:val="30"/>
          <w:szCs w:val="30"/>
          <w:lang w:val="zh-CN"/>
        </w:rPr>
        <w:t>?</w:t>
      </w:r>
      <w:r>
        <w:rPr>
          <w:rFonts w:hint="eastAsia" w:ascii="仿宋" w:hAnsi="仿宋" w:eastAsia="仿宋" w:cs="仿宋"/>
          <w:sz w:val="30"/>
          <w:szCs w:val="30"/>
          <w:lang w:val="zh-CN"/>
        </w:rPr>
        <w:t>°建管用维</w:t>
      </w:r>
      <w:r>
        <w:rPr>
          <w:rFonts w:ascii="仿宋" w:hAnsi="仿宋" w:eastAsia="仿宋" w:cs="仿宋"/>
          <w:sz w:val="30"/>
          <w:szCs w:val="30"/>
          <w:lang w:val="zh-CN"/>
        </w:rPr>
        <w:t>?</w:t>
      </w:r>
      <w:r>
        <w:rPr>
          <w:rFonts w:hint="eastAsia" w:ascii="仿宋" w:hAnsi="仿宋" w:eastAsia="仿宋" w:cs="仿宋"/>
          <w:sz w:val="30"/>
          <w:szCs w:val="30"/>
          <w:lang w:val="zh-CN"/>
        </w:rPr>
        <w:t>±长效机制，提升农村饮水安全保障水平。</w:t>
      </w:r>
    </w:p>
    <w:p>
      <w:pPr>
        <w:pStyle w:val="4"/>
        <w:spacing w:before="0" w:after="0" w:line="360" w:lineRule="auto"/>
        <w:ind w:firstLine="602" w:firstLineChars="200"/>
        <w:rPr>
          <w:rFonts w:ascii="仿宋" w:hAnsi="仿宋" w:eastAsia="仿宋" w:cs="Times New Roman"/>
          <w:sz w:val="30"/>
          <w:szCs w:val="30"/>
        </w:rPr>
      </w:pPr>
      <w:bookmarkStart w:id="287" w:name="_Toc96329978"/>
      <w:bookmarkStart w:id="288" w:name="_Toc77520283"/>
      <w:bookmarkStart w:id="289" w:name="_Toc77925828"/>
      <w:r>
        <w:rPr>
          <w:rFonts w:hint="eastAsia" w:ascii="仿宋" w:hAnsi="仿宋" w:eastAsia="仿宋" w:cs="仿宋"/>
          <w:sz w:val="30"/>
          <w:szCs w:val="30"/>
        </w:rPr>
        <w:t>三、健全完善扶贫资产监管机制</w:t>
      </w:r>
      <w:bookmarkEnd w:id="287"/>
    </w:p>
    <w:p>
      <w:pPr>
        <w:spacing w:line="360" w:lineRule="auto"/>
        <w:ind w:firstLine="640"/>
        <w:rPr>
          <w:rFonts w:ascii="仿宋" w:hAnsi="仿宋" w:eastAsia="仿宋" w:cs="Times New Roman"/>
          <w:sz w:val="30"/>
          <w:szCs w:val="30"/>
          <w:lang w:val="zh-CN"/>
        </w:rPr>
      </w:pPr>
      <w:r>
        <w:rPr>
          <w:rFonts w:hint="eastAsia" w:ascii="仿宋" w:hAnsi="仿宋" w:eastAsia="仿宋" w:cs="仿宋"/>
          <w:sz w:val="30"/>
          <w:szCs w:val="30"/>
          <w:lang w:val="zh-CN"/>
        </w:rPr>
        <w:t>持续完善资产管理信息台账，按照资产归属权限分别建立真实完整的县、乡、村、户四级动态管理台账，实行县级统管、行业监管、乡镇主管、农户协管分级定责管理模式，推进持续保值增值。健全监管督查机制，落实运营单位、审计监察部门、受益群体监督责任，实行经营运行、收益分配、后期管护等全过程动态化监管。</w:t>
      </w:r>
    </w:p>
    <w:bookmarkEnd w:id="288"/>
    <w:bookmarkEnd w:id="289"/>
    <w:p>
      <w:pPr>
        <w:pStyle w:val="4"/>
        <w:spacing w:before="0" w:after="0" w:line="360" w:lineRule="auto"/>
        <w:ind w:firstLine="602" w:firstLineChars="200"/>
        <w:rPr>
          <w:rFonts w:ascii="仿宋" w:hAnsi="仿宋" w:eastAsia="仿宋" w:cs="Times New Roman"/>
          <w:sz w:val="30"/>
          <w:szCs w:val="30"/>
        </w:rPr>
      </w:pPr>
      <w:bookmarkStart w:id="290" w:name="_Toc77925829"/>
      <w:bookmarkStart w:id="291" w:name="_Toc96329979"/>
      <w:bookmarkStart w:id="292" w:name="_Toc77520284"/>
      <w:r>
        <w:rPr>
          <w:rFonts w:hint="eastAsia" w:ascii="仿宋" w:hAnsi="仿宋" w:eastAsia="仿宋" w:cs="仿宋"/>
          <w:sz w:val="30"/>
          <w:szCs w:val="30"/>
        </w:rPr>
        <w:t>四、健全激发内生动力长效机制</w:t>
      </w:r>
      <w:bookmarkEnd w:id="290"/>
      <w:bookmarkEnd w:id="291"/>
      <w:bookmarkEnd w:id="292"/>
    </w:p>
    <w:p>
      <w:pPr>
        <w:spacing w:line="360" w:lineRule="auto"/>
        <w:ind w:firstLine="640"/>
        <w:rPr>
          <w:rFonts w:ascii="仿宋" w:hAnsi="仿宋" w:eastAsia="仿宋" w:cs="Times New Roman"/>
          <w:sz w:val="30"/>
          <w:szCs w:val="30"/>
          <w:lang w:val="zh-CN"/>
        </w:rPr>
      </w:pPr>
      <w:r>
        <w:rPr>
          <w:rFonts w:hint="eastAsia" w:ascii="仿宋" w:hAnsi="仿宋" w:eastAsia="仿宋" w:cs="仿宋"/>
          <w:sz w:val="30"/>
          <w:szCs w:val="30"/>
          <w:lang w:val="zh-CN"/>
        </w:rPr>
        <w:t>聚焦基层党组织带领发展和脱贫人口自我发展</w:t>
      </w:r>
      <w:r>
        <w:rPr>
          <w:rFonts w:ascii="仿宋" w:hAnsi="仿宋" w:eastAsia="仿宋" w:cs="仿宋"/>
          <w:sz w:val="30"/>
          <w:szCs w:val="30"/>
          <w:lang w:val="zh-CN"/>
        </w:rPr>
        <w:t>?</w:t>
      </w:r>
      <w:r>
        <w:rPr>
          <w:rFonts w:hint="eastAsia" w:ascii="仿宋" w:hAnsi="仿宋" w:eastAsia="仿宋" w:cs="仿宋"/>
          <w:sz w:val="30"/>
          <w:szCs w:val="30"/>
          <w:lang w:val="zh-CN"/>
        </w:rPr>
        <w:t>°两个内力</w:t>
      </w:r>
      <w:r>
        <w:rPr>
          <w:rFonts w:ascii="仿宋" w:hAnsi="仿宋" w:eastAsia="仿宋" w:cs="仿宋"/>
          <w:sz w:val="30"/>
          <w:szCs w:val="30"/>
          <w:lang w:val="zh-CN"/>
        </w:rPr>
        <w:t>?</w:t>
      </w:r>
      <w:r>
        <w:rPr>
          <w:rFonts w:hint="eastAsia" w:ascii="仿宋" w:hAnsi="仿宋" w:eastAsia="仿宋" w:cs="仿宋"/>
          <w:sz w:val="30"/>
          <w:szCs w:val="30"/>
          <w:lang w:val="zh-CN"/>
        </w:rPr>
        <w:t>±，持续整顿软弱涣散村党组织，实行支部引领、合作社推动、党员带头、群众参与的工作机制，因地制宜发展土地股份型、资源开发型、农旅融合型、抱团发展型等形式的村级集体经济；加强文明乡风、良好家风、淳朴民风的培育，深入推进乡村社会公德、家庭美德、村民品德建设，发挥好村民小组长、妇女小组长、村民理事会、议事会作用，鼓励基层自治组织引导村民依法制定村规民</w:t>
      </w:r>
      <w:r>
        <w:rPr>
          <w:rFonts w:hint="eastAsia" w:ascii="仿宋" w:hAnsi="仿宋" w:eastAsia="仿宋" w:cs="仿宋"/>
          <w:sz w:val="30"/>
          <w:szCs w:val="30"/>
        </w:rPr>
        <w:t>约</w:t>
      </w:r>
      <w:r>
        <w:rPr>
          <w:rFonts w:hint="eastAsia" w:ascii="仿宋" w:hAnsi="仿宋" w:eastAsia="仿宋" w:cs="仿宋"/>
          <w:sz w:val="30"/>
          <w:szCs w:val="30"/>
          <w:lang w:val="zh-CN"/>
        </w:rPr>
        <w:t>，广泛参与开展文明村镇、文明家庭评选创建活动，形成文明和谐社会风尚，完善</w:t>
      </w:r>
      <w:r>
        <w:rPr>
          <w:rFonts w:ascii="仿宋" w:hAnsi="仿宋" w:eastAsia="仿宋" w:cs="仿宋"/>
          <w:sz w:val="30"/>
          <w:szCs w:val="30"/>
          <w:lang w:val="zh-CN"/>
        </w:rPr>
        <w:t>?</w:t>
      </w:r>
      <w:r>
        <w:rPr>
          <w:rFonts w:hint="eastAsia" w:ascii="仿宋" w:hAnsi="仿宋" w:eastAsia="仿宋" w:cs="仿宋"/>
          <w:sz w:val="30"/>
          <w:szCs w:val="30"/>
          <w:lang w:val="zh-CN"/>
        </w:rPr>
        <w:t>°爱心超市</w:t>
      </w:r>
      <w:r>
        <w:rPr>
          <w:rFonts w:ascii="仿宋" w:hAnsi="仿宋" w:eastAsia="仿宋" w:cs="仿宋"/>
          <w:sz w:val="30"/>
          <w:szCs w:val="30"/>
          <w:lang w:val="zh-CN"/>
        </w:rPr>
        <w:t>?</w:t>
      </w:r>
      <w:r>
        <w:rPr>
          <w:rFonts w:hint="eastAsia" w:ascii="仿宋" w:hAnsi="仿宋" w:eastAsia="仿宋" w:cs="仿宋"/>
          <w:sz w:val="30"/>
          <w:szCs w:val="30"/>
          <w:lang w:val="zh-CN"/>
        </w:rPr>
        <w:t>±积分激励和反向约束机制，提升农民精神风貌和农村社会文明程度。</w:t>
      </w:r>
    </w:p>
    <w:p>
      <w:pPr>
        <w:pStyle w:val="2"/>
        <w:jc w:val="center"/>
        <w:rPr>
          <w:rFonts w:ascii="黑体" w:hAnsi="黑体" w:eastAsia="黑体" w:cs="Times New Roman"/>
          <w:sz w:val="30"/>
          <w:szCs w:val="30"/>
        </w:rPr>
      </w:pPr>
      <w:bookmarkStart w:id="293" w:name="_Toc77520285"/>
      <w:bookmarkStart w:id="294" w:name="_Toc96329980"/>
      <w:bookmarkStart w:id="295" w:name="_Toc77925830"/>
      <w:r>
        <w:rPr>
          <w:rFonts w:hint="eastAsia" w:ascii="黑体" w:hAnsi="黑体" w:eastAsia="黑体" w:cs="黑体"/>
          <w:sz w:val="30"/>
          <w:szCs w:val="30"/>
        </w:rPr>
        <w:t>第二节</w:t>
      </w:r>
      <w:r>
        <w:rPr>
          <w:rFonts w:ascii="黑体" w:hAnsi="黑体" w:eastAsia="黑体" w:cs="黑体"/>
          <w:sz w:val="30"/>
          <w:szCs w:val="30"/>
        </w:rPr>
        <w:t xml:space="preserve"> </w:t>
      </w:r>
      <w:r>
        <w:rPr>
          <w:rFonts w:hint="eastAsia" w:ascii="黑体" w:hAnsi="黑体" w:eastAsia="黑体" w:cs="黑体"/>
          <w:sz w:val="30"/>
          <w:szCs w:val="30"/>
        </w:rPr>
        <w:t>提升脱贫地区整体发展水平</w:t>
      </w:r>
      <w:bookmarkEnd w:id="293"/>
      <w:bookmarkEnd w:id="294"/>
      <w:bookmarkEnd w:id="295"/>
    </w:p>
    <w:p>
      <w:pPr>
        <w:pStyle w:val="4"/>
        <w:spacing w:before="0" w:after="0" w:line="360" w:lineRule="auto"/>
        <w:ind w:firstLine="602" w:firstLineChars="200"/>
        <w:rPr>
          <w:rFonts w:ascii="仿宋" w:hAnsi="仿宋" w:eastAsia="仿宋" w:cs="Times New Roman"/>
          <w:sz w:val="30"/>
          <w:szCs w:val="30"/>
        </w:rPr>
      </w:pPr>
      <w:bookmarkStart w:id="296" w:name="_Toc96329981"/>
      <w:bookmarkStart w:id="297" w:name="_Toc77520286"/>
      <w:bookmarkStart w:id="298" w:name="_Toc77925831"/>
      <w:r>
        <w:rPr>
          <w:rFonts w:hint="eastAsia" w:ascii="仿宋" w:hAnsi="仿宋" w:eastAsia="仿宋" w:cs="仿宋"/>
          <w:sz w:val="30"/>
          <w:szCs w:val="30"/>
        </w:rPr>
        <w:t>一、推动乡村产业发展壮大</w:t>
      </w:r>
      <w:bookmarkEnd w:id="296"/>
      <w:bookmarkEnd w:id="297"/>
      <w:bookmarkEnd w:id="298"/>
    </w:p>
    <w:p>
      <w:pPr>
        <w:ind w:firstLine="600" w:firstLineChars="200"/>
        <w:rPr>
          <w:rFonts w:ascii="仿宋" w:hAnsi="仿宋" w:eastAsia="仿宋" w:cs="Times New Roman"/>
          <w:sz w:val="30"/>
          <w:szCs w:val="30"/>
          <w:lang w:val="zh-CN"/>
        </w:rPr>
      </w:pPr>
      <w:r>
        <w:rPr>
          <w:rFonts w:hint="eastAsia" w:ascii="仿宋" w:hAnsi="仿宋" w:eastAsia="仿宋" w:cs="仿宋"/>
          <w:sz w:val="30"/>
          <w:szCs w:val="30"/>
          <w:lang w:val="zh-CN"/>
        </w:rPr>
        <w:t>按照主导产业突出、地域特色鲜明、业态类型丰富、利益联结紧密的要求，坚持县乡统筹规划、乡村合理布局，做优农村特色产业，持续推进产业布局优化、基地规模扩张、产业链条延伸、农产品品牌提升、产地环境治理、农业科技助农，构建以富硒绿色有机为优势，大米、油茶、中药材产业为支撑，多种经营业态融合发展的“</w:t>
      </w:r>
      <w:r>
        <w:rPr>
          <w:rFonts w:ascii="仿宋" w:hAnsi="仿宋" w:eastAsia="仿宋" w:cs="仿宋"/>
          <w:sz w:val="30"/>
          <w:szCs w:val="30"/>
          <w:lang w:val="zh-CN"/>
        </w:rPr>
        <w:t>1+3+N</w:t>
      </w:r>
      <w:r>
        <w:rPr>
          <w:rFonts w:hint="eastAsia" w:ascii="仿宋" w:hAnsi="仿宋" w:eastAsia="仿宋" w:cs="仿宋"/>
          <w:sz w:val="30"/>
          <w:szCs w:val="30"/>
          <w:lang w:val="zh-CN"/>
        </w:rPr>
        <w:t>”现代产业体系。完善经营主体培育机制，积极培育龙头企业、农民专业合作社、家庭农场、致富带头人等新型经营主体，提升产业发展组织化经营程度。完善全产业链扶持机制，强化生产、加工、资金、技术、销售、仓储保鲜、冷链物流全产业链支持，做好延链补链强链工作。完善风险防范机制，拓展农业保险覆盖领域、服务范围，探索健全覆盖农业产前、产中、产后全链条各环节风险点的保险方案，在农业生产、加工、储运、销售等环节提供全</w:t>
      </w:r>
      <w:r>
        <w:rPr>
          <w:rFonts w:hint="eastAsia" w:ascii="仿宋" w:hAnsi="仿宋" w:eastAsia="仿宋" w:cs="仿宋"/>
          <w:sz w:val="30"/>
          <w:szCs w:val="30"/>
        </w:rPr>
        <w:t>方位</w:t>
      </w:r>
      <w:r>
        <w:rPr>
          <w:rFonts w:hint="eastAsia" w:ascii="仿宋" w:hAnsi="仿宋" w:eastAsia="仿宋" w:cs="仿宋"/>
          <w:sz w:val="30"/>
          <w:szCs w:val="30"/>
          <w:lang w:val="zh-CN"/>
        </w:rPr>
        <w:t>的保险保障。加大科技服务支持力度，充分发挥产业发展指导员、科技特派员作用。</w:t>
      </w:r>
      <w:bookmarkStart w:id="299" w:name="_Toc77925832"/>
      <w:bookmarkStart w:id="300" w:name="_Toc77520287"/>
      <w:r>
        <w:rPr>
          <w:rFonts w:hint="eastAsia" w:ascii="仿宋" w:hAnsi="仿宋" w:eastAsia="仿宋" w:cs="仿宋"/>
          <w:sz w:val="30"/>
          <w:szCs w:val="30"/>
          <w:lang w:val="zh-CN"/>
        </w:rPr>
        <w:t>深入推进消费帮扶，加大脱贫地区农副产品“六进”力度，做大做实帮扶产品“三专”和定向直供直销渠道，持续推进预算单位预留份额和工会经费采购脱贫地区农副产品，健全农产品滞销卖难应对机制，提高产业发展抗风险能力。</w:t>
      </w:r>
    </w:p>
    <w:p>
      <w:pPr>
        <w:pStyle w:val="4"/>
        <w:spacing w:before="0" w:after="0" w:line="360" w:lineRule="auto"/>
        <w:ind w:firstLine="602" w:firstLineChars="200"/>
        <w:rPr>
          <w:rFonts w:ascii="仿宋" w:hAnsi="仿宋" w:eastAsia="仿宋" w:cs="Times New Roman"/>
          <w:sz w:val="30"/>
          <w:szCs w:val="30"/>
        </w:rPr>
      </w:pPr>
      <w:bookmarkStart w:id="301" w:name="_Toc96329982"/>
      <w:r>
        <w:rPr>
          <w:rFonts w:hint="eastAsia" w:ascii="仿宋" w:hAnsi="仿宋" w:eastAsia="仿宋" w:cs="仿宋"/>
          <w:sz w:val="30"/>
          <w:szCs w:val="30"/>
        </w:rPr>
        <w:t>二、促进农村劳动力充分就业</w:t>
      </w:r>
      <w:bookmarkEnd w:id="299"/>
      <w:bookmarkEnd w:id="300"/>
      <w:bookmarkEnd w:id="301"/>
    </w:p>
    <w:p>
      <w:pPr>
        <w:spacing w:line="360" w:lineRule="auto"/>
        <w:ind w:firstLine="640"/>
        <w:rPr>
          <w:rFonts w:ascii="仿宋" w:hAnsi="仿宋" w:eastAsia="仿宋" w:cs="Times New Roman"/>
          <w:sz w:val="30"/>
          <w:szCs w:val="30"/>
          <w:lang w:val="zh-CN"/>
        </w:rPr>
      </w:pPr>
      <w:bookmarkStart w:id="302" w:name="_Toc77520288"/>
      <w:bookmarkStart w:id="303" w:name="_Toc77925833"/>
      <w:r>
        <w:rPr>
          <w:rFonts w:hint="eastAsia" w:ascii="仿宋" w:hAnsi="仿宋" w:eastAsia="仿宋" w:cs="仿宋"/>
          <w:sz w:val="30"/>
          <w:szCs w:val="30"/>
          <w:lang w:val="zh-CN"/>
        </w:rPr>
        <w:t>持续优化就业扶持政策，健全就业稳岗长效机制，促进脱贫人口和低收入人口稳定就业、稳定增收。完善县乡村三级脱贫人口和低收入劳动力就业务工信息动态监测台账，定期开展就业信息排查，建立</w:t>
      </w:r>
      <w:r>
        <w:rPr>
          <w:rFonts w:ascii="仿宋" w:hAnsi="仿宋" w:eastAsia="仿宋" w:cs="仿宋"/>
          <w:sz w:val="30"/>
          <w:szCs w:val="30"/>
          <w:lang w:val="zh-CN"/>
        </w:rPr>
        <w:t>?</w:t>
      </w:r>
      <w:r>
        <w:rPr>
          <w:rFonts w:hint="eastAsia" w:ascii="仿宋" w:hAnsi="仿宋" w:eastAsia="仿宋" w:cs="仿宋"/>
          <w:sz w:val="30"/>
          <w:szCs w:val="30"/>
          <w:lang w:val="zh-CN"/>
        </w:rPr>
        <w:t>°劳动力地图</w:t>
      </w:r>
      <w:r>
        <w:rPr>
          <w:rFonts w:ascii="仿宋" w:hAnsi="仿宋" w:eastAsia="仿宋" w:cs="仿宋"/>
          <w:sz w:val="30"/>
          <w:szCs w:val="30"/>
          <w:lang w:val="zh-CN"/>
        </w:rPr>
        <w:t>?</w:t>
      </w:r>
      <w:r>
        <w:rPr>
          <w:rFonts w:hint="eastAsia" w:ascii="仿宋" w:hAnsi="仿宋" w:eastAsia="仿宋" w:cs="仿宋"/>
          <w:sz w:val="30"/>
          <w:szCs w:val="30"/>
          <w:lang w:val="zh-CN"/>
        </w:rPr>
        <w:t>±等，做到底数清、劳动能力清、就业状态清、就业收入清、外出意愿清。大力推进高质量就业乡镇（街道）、村（社区）创建计划，强力推进公共就业服务向基层一线延伸，畅通脱贫人口和低收入劳动力就业、务工、转岗信息及外出务工渠道。继续深化省内外劳务协作，发挥好各类人力资源服务机构作用，稳定外出务工就业。进一步加大就业岗位供给统筹力度，延续就业帮扶车间支持政策，加大公益性岗位开发管理力度，实施好以工代赈项目等，通过就业帮扶车间安排一批、鼓励企业吸纳一批、公益性岗位安置一批、以工代赈解决一批等方式，做好无法离乡、无业可扶、无力稳定增收的脱贫人口和低收入劳动力就业兜底保障工作。继续统筹整合各类技能培训资源，充分依托职业院校、培训机构、企业等培训主体，组织开展农业实用技术培训、就业技能培训、企业职工岗位技能培训、创业培训等，提升脱贫人口和低收入劳动力就业技能水平。</w:t>
      </w:r>
    </w:p>
    <w:p>
      <w:pPr>
        <w:pStyle w:val="4"/>
        <w:spacing w:before="0" w:after="0" w:line="360" w:lineRule="auto"/>
        <w:ind w:firstLine="602" w:firstLineChars="200"/>
        <w:rPr>
          <w:rFonts w:ascii="仿宋" w:hAnsi="仿宋" w:eastAsia="仿宋" w:cs="Times New Roman"/>
          <w:sz w:val="30"/>
          <w:szCs w:val="30"/>
        </w:rPr>
      </w:pPr>
      <w:bookmarkStart w:id="304" w:name="_Toc96329983"/>
      <w:r>
        <w:rPr>
          <w:rFonts w:hint="eastAsia" w:ascii="仿宋" w:hAnsi="仿宋" w:eastAsia="仿宋" w:cs="仿宋"/>
          <w:sz w:val="30"/>
          <w:szCs w:val="30"/>
        </w:rPr>
        <w:t>三、提升搬迁群众</w:t>
      </w:r>
      <w:bookmarkEnd w:id="302"/>
      <w:r>
        <w:rPr>
          <w:rFonts w:hint="eastAsia" w:ascii="仿宋" w:hAnsi="仿宋" w:eastAsia="仿宋" w:cs="仿宋"/>
          <w:sz w:val="30"/>
          <w:szCs w:val="30"/>
        </w:rPr>
        <w:t>自我发展能力</w:t>
      </w:r>
      <w:bookmarkEnd w:id="303"/>
      <w:bookmarkEnd w:id="304"/>
    </w:p>
    <w:p>
      <w:pPr>
        <w:spacing w:line="360" w:lineRule="auto"/>
        <w:ind w:firstLine="640"/>
        <w:rPr>
          <w:rFonts w:ascii="仿宋" w:hAnsi="仿宋" w:eastAsia="仿宋" w:cs="Times New Roman"/>
          <w:sz w:val="30"/>
          <w:szCs w:val="30"/>
          <w:lang w:val="zh-CN"/>
        </w:rPr>
      </w:pPr>
      <w:r>
        <w:rPr>
          <w:rFonts w:hint="eastAsia" w:ascii="仿宋" w:hAnsi="仿宋" w:eastAsia="仿宋" w:cs="仿宋"/>
          <w:sz w:val="30"/>
          <w:szCs w:val="30"/>
          <w:lang w:val="zh-CN"/>
        </w:rPr>
        <w:t>强化后续帮扶措施，完善易地扶贫搬迁后续扶持政策体系，确保搬迁群众搬得出、有就业、逐步能致富；加大易地扶贫搬迁后续产业扶持，强化后续产业规划与乡村振兴战略的衔接，积极促进安置区产业发展，盘活迁出地农业农村资源。重点围绕搬迁群众产业带动、务工就业、教育医疗、民生保障，以及安置点基础设施管护等每月开展回访，确保搬迁群众实现安居乐业。分类做实产业就业，对乡村两级安置并继续从事农业生产经营的，因地制宜选择市场好、附加值高、见效快的种养业、加工业、乡村旅游业等项目覆盖安置点搬迁群众；对不再从事农业生产经营的，通过产业帮扶、就业帮扶、园区企业承接就业、指导创业等方式帮助搬迁群众就业创业；对无劳动力的，探索资产收益分红形式进行覆盖。加强社区党组织建设，按照</w:t>
      </w:r>
      <w:r>
        <w:rPr>
          <w:rFonts w:ascii="仿宋" w:hAnsi="仿宋" w:eastAsia="仿宋" w:cs="仿宋"/>
          <w:sz w:val="30"/>
          <w:szCs w:val="30"/>
          <w:lang w:val="zh-CN"/>
        </w:rPr>
        <w:t>?</w:t>
      </w:r>
      <w:r>
        <w:rPr>
          <w:rFonts w:hint="eastAsia" w:ascii="仿宋" w:hAnsi="仿宋" w:eastAsia="仿宋" w:cs="仿宋"/>
          <w:sz w:val="30"/>
          <w:szCs w:val="30"/>
          <w:lang w:val="zh-CN"/>
        </w:rPr>
        <w:t>°有组织、有制度、有服务、有氛围、有队伍</w:t>
      </w:r>
      <w:r>
        <w:rPr>
          <w:rFonts w:ascii="仿宋" w:hAnsi="仿宋" w:eastAsia="仿宋" w:cs="仿宋"/>
          <w:sz w:val="30"/>
          <w:szCs w:val="30"/>
          <w:lang w:val="zh-CN"/>
        </w:rPr>
        <w:t>?</w:t>
      </w:r>
      <w:r>
        <w:rPr>
          <w:rFonts w:hint="eastAsia" w:ascii="仿宋" w:hAnsi="仿宋" w:eastAsia="仿宋" w:cs="仿宋"/>
          <w:sz w:val="30"/>
          <w:szCs w:val="30"/>
          <w:lang w:val="zh-CN"/>
        </w:rPr>
        <w:t>±的要求，健全安置点社区长效管理机制，不断改善基本公共服务，提升安置点社区管理服务水平，做足做好</w:t>
      </w:r>
      <w:r>
        <w:rPr>
          <w:rFonts w:ascii="仿宋" w:hAnsi="仿宋" w:eastAsia="仿宋" w:cs="仿宋"/>
          <w:sz w:val="30"/>
          <w:szCs w:val="30"/>
          <w:lang w:val="zh-CN"/>
        </w:rPr>
        <w:t>?</w:t>
      </w:r>
      <w:r>
        <w:rPr>
          <w:rFonts w:hint="eastAsia" w:ascii="仿宋" w:hAnsi="仿宋" w:eastAsia="仿宋" w:cs="仿宋"/>
          <w:sz w:val="30"/>
          <w:szCs w:val="30"/>
          <w:lang w:val="zh-CN"/>
        </w:rPr>
        <w:t>°稳</w:t>
      </w:r>
      <w:r>
        <w:rPr>
          <w:rFonts w:ascii="仿宋" w:hAnsi="仿宋" w:eastAsia="仿宋" w:cs="仿宋"/>
          <w:sz w:val="30"/>
          <w:szCs w:val="30"/>
          <w:lang w:val="zh-CN"/>
        </w:rPr>
        <w:t>?</w:t>
      </w:r>
      <w:r>
        <w:rPr>
          <w:rFonts w:hint="eastAsia" w:ascii="仿宋" w:hAnsi="仿宋" w:eastAsia="仿宋" w:cs="仿宋"/>
          <w:sz w:val="30"/>
          <w:szCs w:val="30"/>
          <w:lang w:val="zh-CN"/>
        </w:rPr>
        <w:t>±的文章，促进易地搬迁脱贫群众更好融入当地社会。</w:t>
      </w:r>
    </w:p>
    <w:p>
      <w:pPr>
        <w:pStyle w:val="2"/>
        <w:jc w:val="center"/>
        <w:rPr>
          <w:rFonts w:ascii="黑体" w:hAnsi="黑体" w:eastAsia="黑体" w:cs="Times New Roman"/>
          <w:sz w:val="30"/>
          <w:szCs w:val="30"/>
        </w:rPr>
      </w:pPr>
      <w:bookmarkStart w:id="305" w:name="_Toc77520289"/>
      <w:bookmarkStart w:id="306" w:name="_Toc77925834"/>
      <w:bookmarkStart w:id="307" w:name="_Toc96329984"/>
      <w:r>
        <w:rPr>
          <w:rFonts w:hint="eastAsia" w:ascii="黑体" w:hAnsi="黑体" w:eastAsia="黑体" w:cs="黑体"/>
          <w:sz w:val="30"/>
          <w:szCs w:val="30"/>
        </w:rPr>
        <w:t>第三节</w:t>
      </w:r>
      <w:r>
        <w:rPr>
          <w:rFonts w:ascii="黑体" w:hAnsi="黑体" w:eastAsia="黑体" w:cs="黑体"/>
          <w:sz w:val="30"/>
          <w:szCs w:val="30"/>
        </w:rPr>
        <w:t xml:space="preserve"> </w:t>
      </w:r>
      <w:r>
        <w:rPr>
          <w:rFonts w:hint="eastAsia" w:ascii="黑体" w:hAnsi="黑体" w:eastAsia="黑体" w:cs="黑体"/>
          <w:sz w:val="30"/>
          <w:szCs w:val="30"/>
        </w:rPr>
        <w:t>稳妥推进政策体系有效衔接</w:t>
      </w:r>
      <w:bookmarkEnd w:id="305"/>
      <w:bookmarkEnd w:id="306"/>
      <w:bookmarkEnd w:id="307"/>
    </w:p>
    <w:p>
      <w:pPr>
        <w:pStyle w:val="4"/>
        <w:spacing w:before="0" w:after="0" w:line="360" w:lineRule="auto"/>
        <w:ind w:firstLine="602" w:firstLineChars="200"/>
        <w:rPr>
          <w:rFonts w:ascii="仿宋" w:hAnsi="仿宋" w:eastAsia="仿宋" w:cs="Times New Roman"/>
          <w:sz w:val="30"/>
          <w:szCs w:val="30"/>
        </w:rPr>
      </w:pPr>
      <w:bookmarkStart w:id="308" w:name="_Toc77925835"/>
      <w:bookmarkStart w:id="309" w:name="_Toc96329985"/>
      <w:bookmarkStart w:id="310" w:name="_Toc77520290"/>
      <w:r>
        <w:rPr>
          <w:rFonts w:hint="eastAsia" w:ascii="仿宋" w:hAnsi="仿宋" w:eastAsia="仿宋" w:cs="仿宋"/>
          <w:sz w:val="30"/>
          <w:szCs w:val="30"/>
        </w:rPr>
        <w:t>一、推进财政投入政策衔接</w:t>
      </w:r>
      <w:bookmarkEnd w:id="308"/>
      <w:bookmarkEnd w:id="309"/>
      <w:bookmarkEnd w:id="310"/>
    </w:p>
    <w:p>
      <w:pPr>
        <w:spacing w:line="360" w:lineRule="auto"/>
        <w:ind w:firstLine="640"/>
        <w:rPr>
          <w:rFonts w:ascii="仿宋" w:hAnsi="仿宋" w:eastAsia="仿宋" w:cs="Times New Roman"/>
          <w:sz w:val="30"/>
          <w:szCs w:val="30"/>
          <w:lang w:val="zh-CN"/>
        </w:rPr>
      </w:pPr>
      <w:bookmarkStart w:id="311" w:name="_Toc77520291"/>
      <w:bookmarkStart w:id="312" w:name="_Toc77925836"/>
      <w:r>
        <w:rPr>
          <w:rFonts w:hint="eastAsia" w:ascii="仿宋" w:hAnsi="仿宋" w:eastAsia="仿宋" w:cs="仿宋"/>
          <w:sz w:val="30"/>
          <w:szCs w:val="30"/>
          <w:lang w:val="zh-CN"/>
        </w:rPr>
        <w:t>过渡期内保持财政支持政策总体稳定，根据有效衔接需要和财力状况，合理安排财政投入规模，优化支出结构，调整支持重点。聚焦支持重点帮扶村巩固拓展脱贫攻坚成果和乡村振兴，适当向脱贫村倾斜，并逐步提高用于产业发展的比例。对农村低收入人口的救助帮扶，通过现有资金支出渠道支持。允许继续实施统筹整合使用财政涉农资金试点政策，探索建立涉农资金整合长效机制。对支持产业发展效果明显的贷款贴息、政府采购等政策，在调整优化的基础上继续实施。过渡期内延续脱贫攻坚相关税收优惠政策。</w:t>
      </w:r>
    </w:p>
    <w:p>
      <w:pPr>
        <w:pStyle w:val="4"/>
        <w:spacing w:before="0" w:after="0" w:line="360" w:lineRule="auto"/>
        <w:ind w:firstLine="602" w:firstLineChars="200"/>
        <w:rPr>
          <w:rFonts w:ascii="仿宋" w:hAnsi="仿宋" w:eastAsia="仿宋" w:cs="Times New Roman"/>
          <w:sz w:val="30"/>
          <w:szCs w:val="30"/>
        </w:rPr>
      </w:pPr>
      <w:bookmarkStart w:id="313" w:name="_Toc96329986"/>
      <w:r>
        <w:rPr>
          <w:rFonts w:hint="eastAsia" w:ascii="仿宋" w:hAnsi="仿宋" w:eastAsia="仿宋" w:cs="仿宋"/>
          <w:sz w:val="30"/>
          <w:szCs w:val="30"/>
        </w:rPr>
        <w:t>二、推进金融服务政策衔接</w:t>
      </w:r>
      <w:bookmarkEnd w:id="311"/>
      <w:bookmarkEnd w:id="312"/>
      <w:bookmarkEnd w:id="313"/>
    </w:p>
    <w:p>
      <w:pPr>
        <w:spacing w:line="360" w:lineRule="auto"/>
        <w:ind w:firstLine="640"/>
        <w:rPr>
          <w:rFonts w:ascii="仿宋" w:hAnsi="仿宋" w:eastAsia="仿宋" w:cs="Times New Roman"/>
          <w:sz w:val="30"/>
          <w:szCs w:val="30"/>
          <w:lang w:val="zh-CN"/>
        </w:rPr>
      </w:pPr>
      <w:r>
        <w:rPr>
          <w:rFonts w:hint="eastAsia" w:ascii="仿宋" w:hAnsi="仿宋" w:eastAsia="仿宋" w:cs="仿宋"/>
          <w:sz w:val="30"/>
          <w:szCs w:val="30"/>
          <w:lang w:val="zh-CN"/>
        </w:rPr>
        <w:t>严格执行扶贫再贷款展期规定，现有扶贫再贷款帮扶政策在展期期间保持不变。进一步完善扶贫小额信贷政策，按照国家要求调整实施范围、贷款额度等相关政策，防范逾期风险。对有较大贷款资金需求，符合贷款条件的对象，鼓励其申请创业担保贷款政策支持。加大对绿色产业等优势特色产业信贷和保险支持力度。支持开发性金融和政策性金融在业务范围内为乡村振兴提供中长期信贷服务。鼓励各地因地制宜开发优势特色农产品保险。</w:t>
      </w:r>
    </w:p>
    <w:p>
      <w:pPr>
        <w:pStyle w:val="4"/>
        <w:spacing w:before="0" w:after="0" w:line="360" w:lineRule="auto"/>
        <w:ind w:firstLine="602" w:firstLineChars="200"/>
        <w:rPr>
          <w:rFonts w:ascii="仿宋" w:hAnsi="仿宋" w:eastAsia="仿宋" w:cs="Times New Roman"/>
          <w:sz w:val="30"/>
          <w:szCs w:val="30"/>
        </w:rPr>
      </w:pPr>
      <w:bookmarkStart w:id="314" w:name="_Toc77925837"/>
      <w:bookmarkStart w:id="315" w:name="_Toc96329987"/>
      <w:bookmarkStart w:id="316" w:name="_Toc77520292"/>
      <w:r>
        <w:rPr>
          <w:rFonts w:hint="eastAsia" w:ascii="仿宋" w:hAnsi="仿宋" w:eastAsia="仿宋" w:cs="仿宋"/>
          <w:sz w:val="30"/>
          <w:szCs w:val="30"/>
        </w:rPr>
        <w:t>三、推进土地支持政策衔接</w:t>
      </w:r>
      <w:bookmarkEnd w:id="314"/>
      <w:bookmarkEnd w:id="315"/>
      <w:bookmarkEnd w:id="316"/>
    </w:p>
    <w:p>
      <w:pPr>
        <w:spacing w:line="360" w:lineRule="auto"/>
        <w:ind w:firstLine="640"/>
        <w:rPr>
          <w:rFonts w:ascii="仿宋" w:hAnsi="仿宋" w:eastAsia="仿宋" w:cs="Times New Roman"/>
          <w:sz w:val="30"/>
          <w:szCs w:val="30"/>
          <w:lang w:val="zh-CN"/>
        </w:rPr>
      </w:pPr>
      <w:r>
        <w:rPr>
          <w:rFonts w:hint="eastAsia" w:ascii="仿宋" w:hAnsi="仿宋" w:eastAsia="仿宋" w:cs="仿宋"/>
          <w:sz w:val="30"/>
          <w:szCs w:val="30"/>
          <w:lang w:val="zh-CN"/>
        </w:rPr>
        <w:t>严格控制非农建设占用耕地，深入推进农村乱占耕地建房专项整治行动，坚决遏制</w:t>
      </w:r>
      <w:r>
        <w:rPr>
          <w:rFonts w:ascii="仿宋" w:hAnsi="仿宋" w:eastAsia="仿宋" w:cs="仿宋"/>
          <w:sz w:val="30"/>
          <w:szCs w:val="30"/>
          <w:lang w:val="zh-CN"/>
        </w:rPr>
        <w:t>?</w:t>
      </w:r>
      <w:r>
        <w:rPr>
          <w:rFonts w:hint="eastAsia" w:ascii="仿宋" w:hAnsi="仿宋" w:eastAsia="仿宋" w:cs="仿宋"/>
          <w:sz w:val="30"/>
          <w:szCs w:val="30"/>
          <w:lang w:val="zh-CN"/>
        </w:rPr>
        <w:t>°非粮化</w:t>
      </w:r>
      <w:r>
        <w:rPr>
          <w:rFonts w:ascii="仿宋" w:hAnsi="仿宋" w:eastAsia="仿宋" w:cs="仿宋"/>
          <w:sz w:val="30"/>
          <w:szCs w:val="30"/>
          <w:lang w:val="zh-CN"/>
        </w:rPr>
        <w:t>?</w:t>
      </w:r>
      <w:r>
        <w:rPr>
          <w:rFonts w:hint="eastAsia" w:ascii="仿宋" w:hAnsi="仿宋" w:eastAsia="仿宋" w:cs="仿宋"/>
          <w:sz w:val="30"/>
          <w:szCs w:val="30"/>
          <w:lang w:val="zh-CN"/>
        </w:rPr>
        <w:t>±、防止</w:t>
      </w:r>
      <w:r>
        <w:rPr>
          <w:rFonts w:ascii="仿宋" w:hAnsi="仿宋" w:eastAsia="仿宋" w:cs="仿宋"/>
          <w:sz w:val="30"/>
          <w:szCs w:val="30"/>
          <w:lang w:val="zh-CN"/>
        </w:rPr>
        <w:t>?</w:t>
      </w:r>
      <w:r>
        <w:rPr>
          <w:rFonts w:hint="eastAsia" w:ascii="仿宋" w:hAnsi="仿宋" w:eastAsia="仿宋" w:cs="仿宋"/>
          <w:sz w:val="30"/>
          <w:szCs w:val="30"/>
          <w:lang w:val="zh-CN"/>
        </w:rPr>
        <w:t>°非农化</w:t>
      </w:r>
      <w:r>
        <w:rPr>
          <w:rFonts w:ascii="仿宋" w:hAnsi="仿宋" w:eastAsia="仿宋" w:cs="仿宋"/>
          <w:sz w:val="30"/>
          <w:szCs w:val="30"/>
          <w:lang w:val="zh-CN"/>
        </w:rPr>
        <w:t>?</w:t>
      </w:r>
      <w:r>
        <w:rPr>
          <w:rFonts w:hint="eastAsia" w:ascii="仿宋" w:hAnsi="仿宋" w:eastAsia="仿宋" w:cs="仿宋"/>
          <w:sz w:val="30"/>
          <w:szCs w:val="30"/>
          <w:lang w:val="zh-CN"/>
        </w:rPr>
        <w:t>±。以国土空间规划为依据，按照应保尽保原则，新增建设用地计划指标优先保障巩固拓展脱贫攻坚成果同乡村振兴用地需求。过渡期内对脱贫地区符合条件的增减挂钩节余指标优先参与跨省域调剂，仍有节余的，倾斜支持在省域内调剂。调整完善土地出让收入使用范围，提高巩固拓展脱贫攻坚成果、全面推进乡村振兴投入比例，优先统筹用于脱贫地区发展乡村产业、改善农村人居环境、建设高标准农田和乡镇、村庄公共设施等。</w:t>
      </w:r>
    </w:p>
    <w:p>
      <w:pPr>
        <w:pStyle w:val="4"/>
        <w:spacing w:before="0" w:after="0" w:line="360" w:lineRule="auto"/>
        <w:ind w:firstLine="602" w:firstLineChars="200"/>
        <w:rPr>
          <w:rFonts w:ascii="仿宋" w:hAnsi="仿宋" w:eastAsia="仿宋" w:cs="Times New Roman"/>
          <w:sz w:val="30"/>
          <w:szCs w:val="30"/>
        </w:rPr>
      </w:pPr>
      <w:bookmarkStart w:id="317" w:name="_Toc77925838"/>
      <w:bookmarkStart w:id="318" w:name="_Toc77520293"/>
      <w:bookmarkStart w:id="319" w:name="_Toc96329988"/>
      <w:r>
        <w:rPr>
          <w:rFonts w:hint="eastAsia" w:ascii="仿宋" w:hAnsi="仿宋" w:eastAsia="仿宋" w:cs="仿宋"/>
          <w:sz w:val="30"/>
          <w:szCs w:val="30"/>
        </w:rPr>
        <w:t>四、推进人才支持政策衔接</w:t>
      </w:r>
      <w:bookmarkEnd w:id="317"/>
      <w:bookmarkEnd w:id="318"/>
      <w:bookmarkEnd w:id="319"/>
    </w:p>
    <w:p>
      <w:pPr>
        <w:spacing w:line="360" w:lineRule="auto"/>
        <w:ind w:firstLine="640"/>
        <w:rPr>
          <w:rFonts w:ascii="仿宋" w:hAnsi="仿宋" w:eastAsia="仿宋" w:cs="Times New Roman"/>
          <w:sz w:val="30"/>
          <w:szCs w:val="30"/>
          <w:lang w:val="zh-CN"/>
        </w:rPr>
      </w:pPr>
      <w:r>
        <w:rPr>
          <w:rFonts w:hint="eastAsia" w:ascii="仿宋" w:hAnsi="仿宋" w:eastAsia="仿宋" w:cs="仿宋"/>
          <w:sz w:val="30"/>
          <w:szCs w:val="30"/>
          <w:lang w:val="zh-CN"/>
        </w:rPr>
        <w:t>延续脱贫攻坚期间各项人才智力支持政策，建立健全引导各类人才服务乡村振兴长效机制。加强乡村振兴工作干部队伍的培养、配备、使用和管理，落实关爱激励政策和容错纠错机制，鼓励干部改革创新、担当实干。加强乡村教师队伍建设，优先满足脱贫村对高素质教师的补充需求。加强农村医疗卫生队伍建设，实施农村全科医生特岗和农村订单定向医学生免费培养等基层卫生人才计划，并向脱贫村倾斜。继续支持脱贫户“两后生”接受职业教育，按规定给予相应资助；对监测对象尚未消除风险的，可视风险类别，从</w:t>
      </w:r>
      <w:r>
        <w:rPr>
          <w:rFonts w:ascii="仿宋" w:hAnsi="仿宋" w:eastAsia="仿宋" w:cs="仿宋"/>
          <w:sz w:val="30"/>
          <w:szCs w:val="30"/>
          <w:lang w:val="zh-CN"/>
        </w:rPr>
        <w:t>2021</w:t>
      </w:r>
      <w:r>
        <w:rPr>
          <w:rFonts w:hint="eastAsia" w:ascii="仿宋" w:hAnsi="仿宋" w:eastAsia="仿宋" w:cs="仿宋"/>
          <w:sz w:val="30"/>
          <w:szCs w:val="30"/>
          <w:lang w:val="zh-CN"/>
        </w:rPr>
        <w:t>年春季学期开始纳入“雨露计划”政策补助范围，风险消除后从下一学期起停止发放补助。鼓励支持社会各界提供教育培训、技术支持、创业指导等服务，加强农村人力资源开发引进，推动智力、技术、管理等要素下乡，促进重点村农业农村人才队伍建设。积极引进各类人才，鼓励人才向农村涌动，鼓励企业家、务工人员以及高校毕业生回乡创业或任职。</w:t>
      </w:r>
    </w:p>
    <w:p>
      <w:pPr>
        <w:pStyle w:val="2"/>
        <w:spacing w:before="0" w:after="0" w:line="360" w:lineRule="auto"/>
        <w:ind w:firstLine="602" w:firstLineChars="200"/>
        <w:jc w:val="center"/>
        <w:rPr>
          <w:rFonts w:ascii="黑体" w:hAnsi="黑体" w:eastAsia="黑体" w:cs="Times New Roman"/>
          <w:sz w:val="30"/>
          <w:szCs w:val="30"/>
        </w:rPr>
      </w:pPr>
      <w:bookmarkStart w:id="320" w:name="_Toc96329989"/>
      <w:bookmarkStart w:id="321" w:name="_Toc77925839"/>
      <w:bookmarkStart w:id="322" w:name="_Toc77520294"/>
      <w:r>
        <w:rPr>
          <w:rFonts w:hint="eastAsia" w:ascii="黑体" w:hAnsi="黑体" w:eastAsia="黑体" w:cs="黑体"/>
          <w:sz w:val="30"/>
          <w:szCs w:val="30"/>
        </w:rPr>
        <w:t>第四节</w:t>
      </w:r>
      <w:r>
        <w:rPr>
          <w:rFonts w:ascii="黑体" w:hAnsi="黑体" w:eastAsia="黑体" w:cs="黑体"/>
          <w:sz w:val="30"/>
          <w:szCs w:val="30"/>
        </w:rPr>
        <w:t xml:space="preserve"> </w:t>
      </w:r>
      <w:r>
        <w:rPr>
          <w:rFonts w:hint="eastAsia" w:ascii="黑体" w:hAnsi="黑体" w:eastAsia="黑体" w:cs="黑体"/>
          <w:sz w:val="30"/>
          <w:szCs w:val="30"/>
        </w:rPr>
        <w:t>高质量推进农民创新创业</w:t>
      </w:r>
      <w:bookmarkEnd w:id="320"/>
      <w:bookmarkEnd w:id="321"/>
      <w:bookmarkEnd w:id="322"/>
    </w:p>
    <w:p>
      <w:pPr>
        <w:spacing w:line="560" w:lineRule="exact"/>
        <w:ind w:firstLine="600" w:firstLineChars="200"/>
        <w:rPr>
          <w:rFonts w:ascii="仿宋" w:hAnsi="仿宋" w:eastAsia="仿宋" w:cs="Times New Roman"/>
          <w:sz w:val="30"/>
          <w:szCs w:val="30"/>
          <w:lang w:val="zh-CN"/>
        </w:rPr>
      </w:pPr>
      <w:r>
        <w:rPr>
          <w:rFonts w:hint="eastAsia" w:ascii="仿宋" w:hAnsi="仿宋" w:eastAsia="仿宋" w:cs="仿宋"/>
          <w:sz w:val="30"/>
          <w:szCs w:val="30"/>
        </w:rPr>
        <w:t>农民</w:t>
      </w:r>
      <w:r>
        <w:rPr>
          <w:rFonts w:hint="eastAsia" w:ascii="仿宋" w:hAnsi="仿宋" w:eastAsia="仿宋" w:cs="仿宋"/>
          <w:sz w:val="30"/>
          <w:szCs w:val="30"/>
          <w:lang w:val="zh-CN"/>
        </w:rPr>
        <w:t>创新创业是繁荣乡村产业的重要动能。强化政策扶持和指导服务，搭建农村创业创新平台，吸引各类人才返乡入乡创业创新，加快培育农村发展新动能，为推动农业农村现代化提供更有力支撑。</w:t>
      </w:r>
    </w:p>
    <w:p>
      <w:pPr>
        <w:pStyle w:val="4"/>
        <w:spacing w:before="0" w:after="0" w:line="560" w:lineRule="exact"/>
        <w:ind w:firstLine="602" w:firstLineChars="200"/>
        <w:rPr>
          <w:rFonts w:ascii="仿宋" w:hAnsi="仿宋" w:eastAsia="仿宋" w:cs="Times New Roman"/>
          <w:sz w:val="30"/>
          <w:szCs w:val="30"/>
          <w:lang w:val="zh-CN"/>
        </w:rPr>
      </w:pPr>
      <w:bookmarkStart w:id="323" w:name="_Toc96329990"/>
      <w:bookmarkStart w:id="324" w:name="_Toc77520295"/>
      <w:bookmarkStart w:id="325" w:name="_Toc77925840"/>
      <w:r>
        <w:rPr>
          <w:rFonts w:hint="eastAsia" w:ascii="仿宋" w:hAnsi="仿宋" w:eastAsia="仿宋" w:cs="仿宋"/>
          <w:sz w:val="30"/>
          <w:szCs w:val="30"/>
          <w:lang w:val="zh-CN"/>
        </w:rPr>
        <w:t>一、培育创业创新主体</w:t>
      </w:r>
      <w:bookmarkEnd w:id="323"/>
      <w:bookmarkEnd w:id="324"/>
      <w:bookmarkEnd w:id="325"/>
    </w:p>
    <w:p>
      <w:pPr>
        <w:pStyle w:val="6"/>
        <w:snapToGrid w:val="0"/>
        <w:spacing w:line="560" w:lineRule="exact"/>
        <w:ind w:left="0" w:firstLine="600" w:firstLineChars="200"/>
        <w:jc w:val="both"/>
        <w:rPr>
          <w:rFonts w:ascii="仿宋" w:hAnsi="仿宋" w:eastAsia="仿宋" w:cs="Times New Roman"/>
          <w:sz w:val="30"/>
          <w:szCs w:val="30"/>
        </w:rPr>
      </w:pPr>
      <w:r>
        <w:rPr>
          <w:rFonts w:hint="eastAsia" w:ascii="仿宋" w:hAnsi="仿宋" w:eastAsia="仿宋" w:cs="仿宋"/>
          <w:sz w:val="30"/>
          <w:szCs w:val="30"/>
        </w:rPr>
        <w:t>深入实施农村创新创业带头人培育行动，培育一批扎根乡村、服务农业、带动农民的创业创新主体。培育返乡创业主体。加大宣传推介，以政策推动、乡情感动、项目带动，引导有资金积累、技术专长和市场信息的返乡人才在农村创新创业，培育一批充满激情的农村创新创业优秀带头人，引领乡村新兴产业发展。培育入乡创业主体。优化乡村营商环境，完善项目用地、用电、金融、技能培训等方面支持政策，有序引导工商资本下乡，构建农业全产业链，建立有效的激励机制，增强乡村对人才的吸引力、向心力、凝聚力，促进各类人才到农村创新创业。大力培育以龙头企业为主体的农业产业技术创新联盟，有效带动各类农业新型经营主体依托产业链创业发展。培育在乡创业主体。加大乡村能人培训力度和农村专业人才队伍建设，实施农民教育培训提质三年行动和“一村一名大学生工程”，挖掘培养一批“田教授”“土专家”“乡创客”等乡土人才，以及乡村工匠、文化能人、手工艺人等能工巧匠，领办家庭农场、农民合作社等，创办家庭工场、手工作坊、乡村车间等。</w:t>
      </w:r>
    </w:p>
    <w:p>
      <w:pPr>
        <w:pStyle w:val="4"/>
        <w:spacing w:before="0" w:after="0" w:line="560" w:lineRule="exact"/>
        <w:ind w:firstLine="602" w:firstLineChars="200"/>
        <w:rPr>
          <w:rFonts w:ascii="仿宋" w:hAnsi="仿宋" w:eastAsia="仿宋" w:cs="Times New Roman"/>
          <w:sz w:val="30"/>
          <w:szCs w:val="30"/>
          <w:lang w:val="zh-CN"/>
        </w:rPr>
      </w:pPr>
      <w:bookmarkStart w:id="326" w:name="_Toc77925841"/>
      <w:bookmarkStart w:id="327" w:name="_Toc77520296"/>
      <w:bookmarkStart w:id="328" w:name="_Toc96329991"/>
      <w:r>
        <w:rPr>
          <w:rFonts w:hint="eastAsia" w:ascii="仿宋" w:hAnsi="仿宋" w:eastAsia="仿宋" w:cs="仿宋"/>
          <w:sz w:val="30"/>
          <w:szCs w:val="30"/>
          <w:lang w:val="zh-CN"/>
        </w:rPr>
        <w:t>二、搭建创业创新平台</w:t>
      </w:r>
      <w:bookmarkEnd w:id="326"/>
      <w:bookmarkEnd w:id="327"/>
      <w:bookmarkEnd w:id="328"/>
    </w:p>
    <w:p>
      <w:pPr>
        <w:pStyle w:val="6"/>
        <w:snapToGrid w:val="0"/>
        <w:spacing w:line="560" w:lineRule="exact"/>
        <w:ind w:left="0" w:firstLine="600" w:firstLineChars="200"/>
        <w:jc w:val="both"/>
        <w:rPr>
          <w:rFonts w:ascii="仿宋" w:hAnsi="仿宋" w:eastAsia="仿宋" w:cs="Times New Roman"/>
          <w:sz w:val="30"/>
          <w:szCs w:val="30"/>
        </w:rPr>
      </w:pPr>
      <w:r>
        <w:rPr>
          <w:rFonts w:hint="eastAsia" w:ascii="仿宋" w:hAnsi="仿宋" w:eastAsia="仿宋" w:cs="仿宋"/>
          <w:sz w:val="30"/>
          <w:szCs w:val="30"/>
        </w:rPr>
        <w:t>夯实基层公共创新创业服务基础，健全专业化服务体系，发展面向广大农村的众创、众包、众扶、众筹等大众创业万众创新支撑平台。以县市区为基础，搭建农村综合性信息化服务平台，提供电子商务、乡村旅游、农业物联网、价格信息、公共营销等服务。营造良好创新创业环境，鼓励各地建设一批资源要素集聚、基础设施齐全、服务功能完善、创新创业成长快的农村创新创业园区，依托现有开发区、现代农业示范园区等各类园区以及专业市场、农民专业合作社、农业规模种养基地等各类平台，整合、创建一批具有区域特色的农村创新创业园区、返乡入乡创业园。大力推进孵化实训基地建设，依托农村创新创业园区、大中专院校等平台和主体，建设一批集“生产</w:t>
      </w:r>
      <w:r>
        <w:rPr>
          <w:rFonts w:ascii="仿宋" w:hAnsi="仿宋" w:eastAsia="仿宋" w:cs="仿宋"/>
          <w:sz w:val="30"/>
          <w:szCs w:val="30"/>
        </w:rPr>
        <w:t>+</w:t>
      </w:r>
      <w:r>
        <w:rPr>
          <w:rFonts w:hint="eastAsia" w:ascii="仿宋" w:hAnsi="仿宋" w:eastAsia="仿宋" w:cs="仿宋"/>
          <w:sz w:val="30"/>
          <w:szCs w:val="30"/>
        </w:rPr>
        <w:t>加工</w:t>
      </w:r>
      <w:r>
        <w:rPr>
          <w:rFonts w:ascii="仿宋" w:hAnsi="仿宋" w:eastAsia="仿宋" w:cs="仿宋"/>
          <w:sz w:val="30"/>
          <w:szCs w:val="30"/>
        </w:rPr>
        <w:t>+</w:t>
      </w:r>
      <w:r>
        <w:rPr>
          <w:rFonts w:hint="eastAsia" w:ascii="仿宋" w:hAnsi="仿宋" w:eastAsia="仿宋" w:cs="仿宋"/>
          <w:sz w:val="30"/>
          <w:szCs w:val="30"/>
        </w:rPr>
        <w:t>科技</w:t>
      </w:r>
      <w:r>
        <w:rPr>
          <w:rFonts w:ascii="仿宋" w:hAnsi="仿宋" w:eastAsia="仿宋" w:cs="仿宋"/>
          <w:sz w:val="30"/>
          <w:szCs w:val="30"/>
        </w:rPr>
        <w:t>+</w:t>
      </w:r>
      <w:r>
        <w:rPr>
          <w:rFonts w:hint="eastAsia" w:ascii="仿宋" w:hAnsi="仿宋" w:eastAsia="仿宋" w:cs="仿宋"/>
          <w:sz w:val="30"/>
          <w:szCs w:val="30"/>
        </w:rPr>
        <w:t>营销</w:t>
      </w:r>
      <w:r>
        <w:rPr>
          <w:rFonts w:ascii="仿宋" w:hAnsi="仿宋" w:eastAsia="仿宋" w:cs="仿宋"/>
          <w:sz w:val="30"/>
          <w:szCs w:val="30"/>
        </w:rPr>
        <w:t>+</w:t>
      </w:r>
      <w:r>
        <w:rPr>
          <w:rFonts w:hint="eastAsia" w:ascii="仿宋" w:hAnsi="仿宋" w:eastAsia="仿宋" w:cs="仿宋"/>
          <w:sz w:val="30"/>
          <w:szCs w:val="30"/>
        </w:rPr>
        <w:t>品牌</w:t>
      </w:r>
      <w:r>
        <w:rPr>
          <w:rFonts w:ascii="仿宋" w:hAnsi="仿宋" w:eastAsia="仿宋" w:cs="仿宋"/>
          <w:sz w:val="30"/>
          <w:szCs w:val="30"/>
        </w:rPr>
        <w:t>+</w:t>
      </w:r>
      <w:r>
        <w:rPr>
          <w:rFonts w:hint="eastAsia" w:ascii="仿宋" w:hAnsi="仿宋" w:eastAsia="仿宋" w:cs="仿宋"/>
          <w:sz w:val="30"/>
          <w:szCs w:val="30"/>
        </w:rPr>
        <w:t>体验”于一体、“预孵化</w:t>
      </w:r>
      <w:r>
        <w:rPr>
          <w:rFonts w:ascii="仿宋" w:hAnsi="仿宋" w:eastAsia="仿宋" w:cs="仿宋"/>
          <w:sz w:val="30"/>
          <w:szCs w:val="30"/>
        </w:rPr>
        <w:t>+</w:t>
      </w:r>
      <w:r>
        <w:rPr>
          <w:rFonts w:hint="eastAsia" w:ascii="仿宋" w:hAnsi="仿宋" w:eastAsia="仿宋" w:cs="仿宋"/>
          <w:sz w:val="30"/>
          <w:szCs w:val="30"/>
        </w:rPr>
        <w:t>孵化器</w:t>
      </w:r>
      <w:r>
        <w:rPr>
          <w:rFonts w:ascii="仿宋" w:hAnsi="仿宋" w:eastAsia="仿宋" w:cs="仿宋"/>
          <w:sz w:val="30"/>
          <w:szCs w:val="30"/>
        </w:rPr>
        <w:t>+</w:t>
      </w:r>
      <w:r>
        <w:rPr>
          <w:rFonts w:hint="eastAsia" w:ascii="仿宋" w:hAnsi="仿宋" w:eastAsia="仿宋" w:cs="仿宋"/>
          <w:sz w:val="30"/>
          <w:szCs w:val="30"/>
        </w:rPr>
        <w:t>加速器</w:t>
      </w:r>
      <w:r>
        <w:rPr>
          <w:rFonts w:ascii="仿宋" w:hAnsi="仿宋" w:eastAsia="仿宋" w:cs="仿宋"/>
          <w:sz w:val="30"/>
          <w:szCs w:val="30"/>
        </w:rPr>
        <w:t>+</w:t>
      </w:r>
      <w:r>
        <w:rPr>
          <w:rFonts w:hint="eastAsia" w:ascii="仿宋" w:hAnsi="仿宋" w:eastAsia="仿宋" w:cs="仿宋"/>
          <w:sz w:val="30"/>
          <w:szCs w:val="30"/>
        </w:rPr>
        <w:t>稳定器”全产业链的农村创新创业孵化实训基地。</w:t>
      </w:r>
    </w:p>
    <w:p>
      <w:pPr>
        <w:pStyle w:val="4"/>
        <w:spacing w:before="0" w:after="0" w:line="360" w:lineRule="auto"/>
        <w:ind w:firstLine="602" w:firstLineChars="200"/>
        <w:rPr>
          <w:rFonts w:ascii="仿宋" w:hAnsi="仿宋" w:eastAsia="仿宋" w:cs="Times New Roman"/>
          <w:sz w:val="30"/>
          <w:szCs w:val="30"/>
          <w:lang w:val="zh-CN"/>
        </w:rPr>
      </w:pPr>
      <w:bookmarkStart w:id="329" w:name="_Toc77520297"/>
      <w:bookmarkStart w:id="330" w:name="_Toc77925842"/>
      <w:bookmarkStart w:id="331" w:name="_Toc96329992"/>
      <w:r>
        <w:rPr>
          <w:rFonts w:hint="eastAsia" w:ascii="仿宋" w:hAnsi="仿宋" w:eastAsia="仿宋" w:cs="仿宋"/>
          <w:sz w:val="30"/>
          <w:szCs w:val="30"/>
          <w:lang w:val="zh-CN"/>
        </w:rPr>
        <w:t>三、优化创新创业指导服务</w:t>
      </w:r>
      <w:bookmarkEnd w:id="329"/>
      <w:bookmarkEnd w:id="330"/>
      <w:bookmarkEnd w:id="331"/>
    </w:p>
    <w:p>
      <w:pPr>
        <w:spacing w:line="560" w:lineRule="exact"/>
        <w:ind w:firstLine="600" w:firstLineChars="200"/>
        <w:rPr>
          <w:rFonts w:cs="Times New Roman"/>
          <w:lang w:val="zh-CN"/>
        </w:rPr>
      </w:pPr>
      <w:r>
        <w:rPr>
          <w:rFonts w:hint="eastAsia" w:ascii="仿宋" w:hAnsi="仿宋" w:eastAsia="仿宋" w:cs="仿宋"/>
          <w:sz w:val="30"/>
          <w:szCs w:val="30"/>
          <w:lang w:val="zh-CN"/>
        </w:rPr>
        <w:t>强化创新创业指导服务，激发农村创</w:t>
      </w:r>
      <w:r>
        <w:rPr>
          <w:rFonts w:hint="eastAsia" w:ascii="仿宋" w:hAnsi="仿宋" w:eastAsia="仿宋" w:cs="仿宋"/>
          <w:sz w:val="30"/>
          <w:szCs w:val="30"/>
        </w:rPr>
        <w:t>新创业主体热情，形成以创新带创业、以创业带就业、</w:t>
      </w:r>
      <w:r>
        <w:rPr>
          <w:rFonts w:hint="eastAsia" w:ascii="仿宋" w:hAnsi="仿宋" w:eastAsia="仿宋" w:cs="仿宋"/>
          <w:sz w:val="30"/>
          <w:szCs w:val="30"/>
          <w:lang w:val="zh-CN"/>
        </w:rPr>
        <w:t>以就业促增收的格局。建设农村创业导师队伍。建立专家创业导师队伍和专家顾问团，聚集培训资源，重点从大专院校、科研院所等单位遴选一批理论造诣深厚、实践经验丰富的科研人才、政策专家、会计师、设计师、律师等，为返乡入乡创业人员提供创业项目、技术要点等指导服务。建立企业家创业导师队伍，重点从农业产业化龙头企业、新型农业经营主体中遴选一批懂经营、善管理的乡村企业家，为农村创业人员提供政策运用、市场拓展等指导服务。建立带头人创业导师队伍，重点从农村创新创业带头人中遴选一批经历丰富、成效显著的创业成功人士，为农村创业人员提供经验分享等指导服务。健全指导服务机制。建立指导服务平台，依托农村创新创业园区、孵化实训基地和网络平台等，通过集中授课、互动教学、案例教学、现场观摩教学等方式，创立“平台</w:t>
      </w:r>
      <w:r>
        <w:rPr>
          <w:rFonts w:ascii="仿宋" w:hAnsi="仿宋" w:eastAsia="仿宋" w:cs="仿宋"/>
          <w:sz w:val="30"/>
          <w:szCs w:val="30"/>
          <w:lang w:val="zh-CN"/>
        </w:rPr>
        <w:t>+</w:t>
      </w:r>
      <w:r>
        <w:rPr>
          <w:rFonts w:hint="eastAsia" w:ascii="仿宋" w:hAnsi="仿宋" w:eastAsia="仿宋" w:cs="仿宋"/>
          <w:sz w:val="30"/>
          <w:szCs w:val="30"/>
          <w:lang w:val="zh-CN"/>
        </w:rPr>
        <w:t>导师</w:t>
      </w:r>
      <w:r>
        <w:rPr>
          <w:rFonts w:ascii="仿宋" w:hAnsi="仿宋" w:eastAsia="仿宋" w:cs="仿宋"/>
          <w:sz w:val="30"/>
          <w:szCs w:val="30"/>
          <w:lang w:val="zh-CN"/>
        </w:rPr>
        <w:t>+</w:t>
      </w:r>
      <w:r>
        <w:rPr>
          <w:rFonts w:hint="eastAsia" w:ascii="仿宋" w:hAnsi="仿宋" w:eastAsia="仿宋" w:cs="仿宋"/>
          <w:sz w:val="30"/>
          <w:szCs w:val="30"/>
          <w:lang w:val="zh-CN"/>
        </w:rPr>
        <w:t>学员”服务模式。开展点对点指导服务，根据农村创业导师和农村创业人员实际，开展“一带一”“师带徒”“一带多”等精准服务。创新指导服务方式，提供灵活便捷的线上线下服务。强化农村创业人员决策自主、风险自担意识。</w:t>
      </w:r>
    </w:p>
    <w:p>
      <w:pPr>
        <w:pStyle w:val="2"/>
        <w:spacing w:before="0" w:after="0" w:line="360" w:lineRule="auto"/>
        <w:ind w:firstLine="602" w:firstLineChars="200"/>
        <w:jc w:val="center"/>
        <w:rPr>
          <w:rFonts w:ascii="黑体" w:hAnsi="黑体" w:eastAsia="黑体" w:cs="Times New Roman"/>
          <w:sz w:val="30"/>
          <w:szCs w:val="30"/>
        </w:rPr>
      </w:pPr>
      <w:bookmarkStart w:id="332" w:name="_Toc77925843"/>
      <w:bookmarkStart w:id="333" w:name="_Toc96329993"/>
      <w:bookmarkStart w:id="334" w:name="_Toc77520298"/>
      <w:r>
        <w:rPr>
          <w:rFonts w:hint="eastAsia" w:ascii="黑体" w:hAnsi="黑体" w:eastAsia="黑体" w:cs="黑体"/>
          <w:sz w:val="30"/>
          <w:szCs w:val="30"/>
        </w:rPr>
        <w:t>第五节</w:t>
      </w:r>
      <w:r>
        <w:rPr>
          <w:rFonts w:ascii="黑体" w:hAnsi="黑体" w:eastAsia="黑体" w:cs="黑体"/>
          <w:sz w:val="30"/>
          <w:szCs w:val="30"/>
        </w:rPr>
        <w:t xml:space="preserve"> </w:t>
      </w:r>
      <w:r>
        <w:rPr>
          <w:rFonts w:hint="eastAsia" w:ascii="黑体" w:hAnsi="黑体" w:eastAsia="黑体" w:cs="黑体"/>
          <w:sz w:val="30"/>
          <w:szCs w:val="30"/>
        </w:rPr>
        <w:t>提升农民科学文化素养</w:t>
      </w:r>
      <w:bookmarkEnd w:id="332"/>
      <w:bookmarkEnd w:id="333"/>
      <w:bookmarkEnd w:id="334"/>
    </w:p>
    <w:p>
      <w:pPr>
        <w:spacing w:line="590" w:lineRule="exact"/>
        <w:ind w:firstLine="420" w:firstLineChars="200"/>
        <w:rPr>
          <w:rFonts w:ascii="仿宋" w:hAnsi="仿宋" w:eastAsia="仿宋" w:cs="Times New Roman"/>
          <w:sz w:val="30"/>
          <w:szCs w:val="30"/>
        </w:rPr>
      </w:pPr>
      <w:r>
        <w:fldChar w:fldCharType="begin"/>
      </w:r>
      <w:r>
        <w:instrText xml:space="preserve"> HYPERLINK "https://baike.baidu.com/item/%E4%BA%BA%E6%89%8D/34170" \t "_blank" </w:instrText>
      </w:r>
      <w:r>
        <w:fldChar w:fldCharType="separate"/>
      </w:r>
      <w:r>
        <w:rPr>
          <w:rFonts w:hint="eastAsia" w:ascii="仿宋" w:hAnsi="仿宋" w:eastAsia="仿宋" w:cs="仿宋"/>
          <w:sz w:val="30"/>
          <w:szCs w:val="30"/>
        </w:rPr>
        <w:t>人才</w:t>
      </w:r>
      <w:r>
        <w:rPr>
          <w:rFonts w:hint="eastAsia" w:ascii="仿宋" w:hAnsi="仿宋" w:eastAsia="仿宋" w:cs="仿宋"/>
          <w:sz w:val="30"/>
          <w:szCs w:val="30"/>
        </w:rPr>
        <w:fldChar w:fldCharType="end"/>
      </w:r>
      <w:r>
        <w:fldChar w:fldCharType="begin"/>
      </w:r>
      <w:r>
        <w:instrText xml:space="preserve"> HYPERLINK "https://baike.baidu.com/item/%E6%8C%AF%E5%85%B4/7260852" \t "_blank" </w:instrText>
      </w:r>
      <w:r>
        <w:fldChar w:fldCharType="separate"/>
      </w:r>
      <w:r>
        <w:rPr>
          <w:rFonts w:hint="eastAsia" w:ascii="仿宋" w:hAnsi="仿宋" w:eastAsia="仿宋" w:cs="仿宋"/>
          <w:sz w:val="30"/>
          <w:szCs w:val="30"/>
        </w:rPr>
        <w:t>振兴</w:t>
      </w:r>
      <w:r>
        <w:rPr>
          <w:rFonts w:hint="eastAsia" w:ascii="仿宋" w:hAnsi="仿宋" w:eastAsia="仿宋" w:cs="仿宋"/>
          <w:sz w:val="30"/>
          <w:szCs w:val="30"/>
        </w:rPr>
        <w:fldChar w:fldCharType="end"/>
      </w:r>
      <w:r>
        <w:rPr>
          <w:rFonts w:hint="eastAsia" w:ascii="仿宋" w:hAnsi="仿宋" w:eastAsia="仿宋" w:cs="仿宋"/>
          <w:sz w:val="30"/>
          <w:szCs w:val="30"/>
        </w:rPr>
        <w:t>是乡村振兴的关键因素。如果没有人才的支撑，乡村振兴只能是一句空话。乡村人才振兴的关键，就是要让更多人才愿意来、留得住、干得好、能出彩，人才数量、结构和质量能够满足乡村振兴的需要。“十四五”时期，宜春市应当坚持实行更加积极、更加开放、更加有效的人才政策，激发人才要素活力，大力造就乡土人才，鼓励和引导各类人才投身乡村建设。</w:t>
      </w:r>
    </w:p>
    <w:p>
      <w:pPr>
        <w:pStyle w:val="4"/>
        <w:spacing w:before="0" w:after="0" w:line="360" w:lineRule="auto"/>
        <w:ind w:firstLine="602" w:firstLineChars="200"/>
        <w:rPr>
          <w:rFonts w:ascii="仿宋" w:hAnsi="仿宋" w:eastAsia="仿宋" w:cs="Times New Roman"/>
          <w:sz w:val="30"/>
          <w:szCs w:val="30"/>
        </w:rPr>
      </w:pPr>
      <w:bookmarkStart w:id="335" w:name="_Toc77925844"/>
      <w:bookmarkStart w:id="336" w:name="_Toc96329994"/>
      <w:bookmarkStart w:id="337" w:name="_Toc77520299"/>
      <w:r>
        <w:rPr>
          <w:rFonts w:hint="eastAsia" w:ascii="仿宋" w:hAnsi="仿宋" w:eastAsia="仿宋" w:cs="仿宋"/>
          <w:sz w:val="30"/>
          <w:szCs w:val="30"/>
        </w:rPr>
        <w:t>一、全面建立农民培训教育制度</w:t>
      </w:r>
      <w:bookmarkEnd w:id="335"/>
      <w:bookmarkEnd w:id="336"/>
      <w:bookmarkEnd w:id="337"/>
    </w:p>
    <w:p>
      <w:pPr>
        <w:spacing w:line="590" w:lineRule="exact"/>
        <w:ind w:firstLine="600" w:firstLineChars="200"/>
        <w:rPr>
          <w:rFonts w:ascii="仿宋" w:hAnsi="仿宋" w:eastAsia="仿宋" w:cs="Times New Roman"/>
          <w:sz w:val="30"/>
          <w:szCs w:val="30"/>
        </w:rPr>
      </w:pPr>
      <w:r>
        <w:rPr>
          <w:rFonts w:hint="eastAsia" w:ascii="仿宋" w:hAnsi="仿宋" w:eastAsia="仿宋" w:cs="仿宋"/>
          <w:sz w:val="30"/>
          <w:szCs w:val="30"/>
        </w:rPr>
        <w:t>培养新一代爱农业、懂技术、善经营的新型职业农民，优化农业从业者结构。大力实施农民教育培训工程，构建教育培训和政策扶持为一体的职业农民培训制度体系框架。建立健全“三位一体、三类协同、三级贯通”的农民教育培训制度，以公益性机构为主体，其它机构为补充，积极参与“现代青年农场主培育计划”“新型农业经营主体带头人轮训计划”“新型职业农民学历提升试点计划”。健全完善农民教育培训体系，加强师资队伍和新型职业农民创业基地建设，探索出一条符合宜春实际的新型职业农民培育新路子。</w:t>
      </w:r>
    </w:p>
    <w:p>
      <w:pPr>
        <w:pStyle w:val="4"/>
        <w:spacing w:before="0" w:after="0" w:line="360" w:lineRule="auto"/>
        <w:ind w:firstLine="602" w:firstLineChars="200"/>
        <w:rPr>
          <w:rFonts w:ascii="仿宋" w:hAnsi="仿宋" w:eastAsia="仿宋" w:cs="Times New Roman"/>
          <w:sz w:val="30"/>
          <w:szCs w:val="30"/>
        </w:rPr>
      </w:pPr>
      <w:bookmarkStart w:id="338" w:name="_Toc96329995"/>
      <w:bookmarkStart w:id="339" w:name="_Toc77520300"/>
      <w:bookmarkStart w:id="340" w:name="_Toc77925845"/>
      <w:r>
        <w:rPr>
          <w:rFonts w:hint="eastAsia" w:ascii="仿宋" w:hAnsi="仿宋" w:eastAsia="仿宋" w:cs="仿宋"/>
          <w:sz w:val="30"/>
          <w:szCs w:val="30"/>
        </w:rPr>
        <w:t>二、加强农村专业人才队伍建设</w:t>
      </w:r>
      <w:bookmarkEnd w:id="338"/>
      <w:bookmarkEnd w:id="339"/>
      <w:bookmarkEnd w:id="340"/>
    </w:p>
    <w:p>
      <w:pPr>
        <w:spacing w:line="590" w:lineRule="exact"/>
        <w:ind w:firstLine="600" w:firstLineChars="200"/>
        <w:rPr>
          <w:rFonts w:ascii="仿宋" w:hAnsi="仿宋" w:eastAsia="仿宋" w:cs="Times New Roman"/>
          <w:sz w:val="30"/>
          <w:szCs w:val="30"/>
        </w:rPr>
      </w:pPr>
      <w:r>
        <w:rPr>
          <w:rFonts w:hint="eastAsia" w:ascii="仿宋" w:hAnsi="仿宋" w:eastAsia="仿宋" w:cs="仿宋"/>
          <w:sz w:val="30"/>
          <w:szCs w:val="30"/>
        </w:rPr>
        <w:t>继续支持宜春学院、宜春科学院等单位专业技术人员到乡村和农业企业挂职、兼职或离岗创新创业。推进科技特派员制度。实施基层农技推广人员轮训计划和定向培养计划。完善提升基层农技推广体系改革成果，探索公益性和经营性农技推广融合发展机制，允许农技人员通过提供增值服务合理取酬。加强农村专业人才队伍建设，扶持培养一批农业职业经理人、经纪人、乡村工匠、文化能人、非遗传承人等。实现平均每个行政村有</w:t>
      </w:r>
      <w:r>
        <w:rPr>
          <w:rFonts w:ascii="仿宋" w:hAnsi="仿宋" w:eastAsia="仿宋" w:cs="仿宋"/>
          <w:sz w:val="30"/>
          <w:szCs w:val="30"/>
        </w:rPr>
        <w:t>4</w:t>
      </w:r>
      <w:r>
        <w:rPr>
          <w:rFonts w:hint="eastAsia" w:ascii="仿宋" w:hAnsi="仿宋" w:eastAsia="仿宋" w:cs="仿宋"/>
          <w:sz w:val="30"/>
          <w:szCs w:val="30"/>
        </w:rPr>
        <w:t>名左右“留得住、用得上、干得好、带得动”的农村实用人才。</w:t>
      </w:r>
    </w:p>
    <w:p>
      <w:pPr>
        <w:pStyle w:val="4"/>
        <w:spacing w:before="0" w:after="0" w:line="360" w:lineRule="auto"/>
        <w:ind w:firstLine="602" w:firstLineChars="200"/>
        <w:rPr>
          <w:rFonts w:ascii="仿宋" w:hAnsi="仿宋" w:eastAsia="仿宋" w:cs="Times New Roman"/>
          <w:sz w:val="30"/>
          <w:szCs w:val="30"/>
        </w:rPr>
      </w:pPr>
      <w:bookmarkStart w:id="341" w:name="_Toc77520301"/>
      <w:bookmarkStart w:id="342" w:name="_Toc77925846"/>
      <w:bookmarkStart w:id="343" w:name="_Toc96329996"/>
      <w:r>
        <w:rPr>
          <w:rFonts w:hint="eastAsia" w:ascii="仿宋" w:hAnsi="仿宋" w:eastAsia="仿宋" w:cs="仿宋"/>
          <w:sz w:val="30"/>
          <w:szCs w:val="30"/>
        </w:rPr>
        <w:t>三、鼓励社会人才投身乡村建设</w:t>
      </w:r>
      <w:bookmarkEnd w:id="341"/>
      <w:bookmarkEnd w:id="342"/>
      <w:bookmarkEnd w:id="343"/>
    </w:p>
    <w:p>
      <w:pPr>
        <w:spacing w:line="590" w:lineRule="exact"/>
        <w:ind w:firstLine="600" w:firstLineChars="200"/>
        <w:rPr>
          <w:rFonts w:ascii="仿宋" w:hAnsi="仿宋" w:eastAsia="仿宋" w:cs="Times New Roman"/>
          <w:sz w:val="30"/>
          <w:szCs w:val="30"/>
        </w:rPr>
      </w:pPr>
      <w:r>
        <w:rPr>
          <w:rFonts w:hint="eastAsia" w:ascii="仿宋" w:hAnsi="仿宋" w:eastAsia="仿宋" w:cs="仿宋"/>
          <w:sz w:val="30"/>
          <w:szCs w:val="30"/>
        </w:rPr>
        <w:t>吸引专业人才投身农村。拓宽引才渠道，通过公务员招录、事业单位招聘和专业人才引进等方式，集聚一批基层急需的“三农”人才。以乡情乡愁为纽带，引导企业家、党政干部、专家学者、医生教师、技能人才、城市市民等各类人才，通过投资兴业、包村包项目、行医办学、捐资捐物等方式投身乡村振兴事业。建立城乡、区域、校地之间人才培养合作与交流机制，建立城市医生教师、科技文化人员等城市专业人才定期服务乡村机制。允许符合要求的公职人员回乡任职。鼓励离退休党员干部、知识分子和工商界人士“告老还乡”，到乡村发挥余热。发展乡村振兴志愿者队伍。发挥工会、共青团、妇联、科协等组织和各民主党派、工商联、无党派人士在乡村振兴中的积极作用，开展乡村振兴志愿者行动、“巾帼行动”、“万企兴万村”行动。</w:t>
      </w:r>
    </w:p>
    <w:p>
      <w:pPr>
        <w:pStyle w:val="4"/>
        <w:spacing w:before="0" w:after="0" w:line="360" w:lineRule="auto"/>
        <w:ind w:firstLine="602" w:firstLineChars="200"/>
        <w:rPr>
          <w:rFonts w:ascii="仿宋" w:hAnsi="仿宋" w:eastAsia="仿宋" w:cs="Times New Roman"/>
          <w:sz w:val="30"/>
          <w:szCs w:val="30"/>
        </w:rPr>
      </w:pPr>
      <w:bookmarkStart w:id="344" w:name="_Toc96329997"/>
      <w:bookmarkStart w:id="345" w:name="_Toc77925847"/>
      <w:bookmarkStart w:id="346" w:name="_Toc77520302"/>
      <w:r>
        <w:rPr>
          <w:rFonts w:hint="eastAsia" w:ascii="仿宋" w:hAnsi="仿宋" w:eastAsia="仿宋" w:cs="仿宋"/>
          <w:sz w:val="30"/>
          <w:szCs w:val="30"/>
        </w:rPr>
        <w:t>四、加强农村人才高水平培育</w:t>
      </w:r>
      <w:bookmarkEnd w:id="344"/>
      <w:bookmarkEnd w:id="345"/>
      <w:bookmarkEnd w:id="346"/>
    </w:p>
    <w:p>
      <w:pPr>
        <w:spacing w:line="590" w:lineRule="exact"/>
        <w:ind w:firstLine="600" w:firstLineChars="200"/>
        <w:rPr>
          <w:rFonts w:ascii="仿宋" w:hAnsi="仿宋" w:eastAsia="仿宋" w:cs="Times New Roman"/>
          <w:sz w:val="30"/>
          <w:szCs w:val="30"/>
        </w:rPr>
      </w:pPr>
      <w:r>
        <w:rPr>
          <w:rFonts w:hint="eastAsia" w:ascii="仿宋" w:hAnsi="仿宋" w:eastAsia="仿宋" w:cs="仿宋"/>
          <w:sz w:val="30"/>
          <w:szCs w:val="30"/>
        </w:rPr>
        <w:t>进一步完善支持政策举措，通过创业信贷贴息、科研奖补、职级优先、高定工资档位等优惠性政策和奖励性措施，鼓励和吸引外来人才参与到乡村建设事业当中来，激发人才干事创业的激情和热情。重点培育急需、实用的本地人才，加大对当地“土专家”、“田秀才”的培育扶持力度，加大对有文化、懂技术、会经营、善管理的新型职业农民的培育扶持力度，使他们成为巩固脱贫成效、提升脱贫质量的参与者、建设者和受益者。进一步完善驻村帮扶管理机制，持续选派第一书记和工作队，鼓励允许部分地区探索创新试点第一书记和工作队员“留任晋升”制度，鼓励支持驻村帮扶参与乡村治理，提升基层组织治理水平。</w:t>
      </w:r>
    </w:p>
    <w:tbl>
      <w:tblPr>
        <w:tblStyle w:val="16"/>
        <w:tblW w:w="0" w:type="auto"/>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spacing w:line="360" w:lineRule="auto"/>
              <w:ind w:firstLine="562" w:firstLineChars="200"/>
              <w:jc w:val="center"/>
              <w:rPr>
                <w:rFonts w:ascii="黑体" w:hAnsi="黑体" w:eastAsia="黑体" w:cs="Times New Roman"/>
                <w:b/>
                <w:bCs/>
                <w:sz w:val="28"/>
                <w:szCs w:val="28"/>
                <w:shd w:val="clear" w:color="auto" w:fill="FFFFFF"/>
              </w:rPr>
            </w:pPr>
            <w:r>
              <w:rPr>
                <w:rFonts w:hint="eastAsia" w:ascii="黑体" w:hAnsi="黑体" w:eastAsia="黑体" w:cs="黑体"/>
                <w:b/>
                <w:bCs/>
                <w:sz w:val="28"/>
                <w:szCs w:val="28"/>
                <w:shd w:val="clear" w:color="auto" w:fill="FFFFFF"/>
              </w:rPr>
              <w:t>专栏</w:t>
            </w:r>
            <w:r>
              <w:rPr>
                <w:rFonts w:ascii="黑体" w:hAnsi="黑体" w:eastAsia="黑体" w:cs="黑体"/>
                <w:b/>
                <w:bCs/>
                <w:sz w:val="28"/>
                <w:szCs w:val="28"/>
                <w:shd w:val="clear" w:color="auto" w:fill="FFFFFF"/>
              </w:rPr>
              <w:t xml:space="preserve">12  </w:t>
            </w:r>
            <w:r>
              <w:rPr>
                <w:rFonts w:hint="eastAsia" w:ascii="黑体" w:hAnsi="黑体" w:eastAsia="黑体" w:cs="黑体"/>
                <w:b/>
                <w:bCs/>
                <w:sz w:val="28"/>
                <w:szCs w:val="28"/>
                <w:shd w:val="clear" w:color="auto" w:fill="FFFFFF"/>
              </w:rPr>
              <w:t>农村人才培育工程</w:t>
            </w:r>
          </w:p>
          <w:p>
            <w:pPr>
              <w:spacing w:line="560" w:lineRule="exact"/>
              <w:ind w:firstLine="562" w:firstLineChars="200"/>
              <w:rPr>
                <w:rFonts w:ascii="楷体" w:hAnsi="楷体" w:eastAsia="楷体" w:cs="Times New Roman"/>
                <w:b/>
                <w:bCs/>
                <w:sz w:val="28"/>
                <w:szCs w:val="28"/>
              </w:rPr>
            </w:pPr>
            <w:r>
              <w:rPr>
                <w:rFonts w:hint="eastAsia" w:ascii="楷体" w:hAnsi="楷体" w:eastAsia="楷体" w:cs="楷体"/>
                <w:b/>
                <w:bCs/>
                <w:sz w:val="28"/>
                <w:szCs w:val="28"/>
              </w:rPr>
              <w:t>（一）乡土人才培育工程</w:t>
            </w:r>
          </w:p>
          <w:p>
            <w:pPr>
              <w:spacing w:line="560" w:lineRule="exact"/>
              <w:ind w:firstLine="560" w:firstLineChars="200"/>
              <w:rPr>
                <w:rFonts w:ascii="楷体" w:hAnsi="楷体" w:eastAsia="楷体" w:cs="Times New Roman"/>
                <w:b/>
                <w:bCs/>
                <w:sz w:val="28"/>
                <w:szCs w:val="28"/>
              </w:rPr>
            </w:pPr>
            <w:r>
              <w:rPr>
                <w:rFonts w:hint="eastAsia" w:ascii="楷体" w:hAnsi="楷体" w:eastAsia="楷体" w:cs="楷体"/>
                <w:sz w:val="28"/>
                <w:szCs w:val="28"/>
              </w:rPr>
              <w:t>将具有相关专业理论知识和实践技能的“田秀才”“土专家”纳入农民培训和农业大讲堂的师资队伍，发挥乡土人才带动增收致富的影响力。</w:t>
            </w:r>
          </w:p>
          <w:p>
            <w:pPr>
              <w:spacing w:line="560" w:lineRule="exact"/>
              <w:ind w:firstLine="562" w:firstLineChars="200"/>
              <w:rPr>
                <w:rFonts w:ascii="楷体" w:hAnsi="楷体" w:eastAsia="楷体" w:cs="楷体"/>
                <w:b/>
                <w:bCs/>
                <w:sz w:val="28"/>
                <w:szCs w:val="28"/>
              </w:rPr>
            </w:pPr>
            <w:r>
              <w:rPr>
                <w:rFonts w:hint="eastAsia" w:ascii="楷体" w:hAnsi="楷体" w:eastAsia="楷体" w:cs="楷体"/>
                <w:b/>
                <w:bCs/>
                <w:sz w:val="28"/>
                <w:szCs w:val="28"/>
              </w:rPr>
              <w:t>（二）农民职业教育培训工程</w:t>
            </w:r>
            <w:r>
              <w:rPr>
                <w:rFonts w:ascii="楷体" w:hAnsi="楷体" w:eastAsia="楷体" w:cs="楷体"/>
                <w:b/>
                <w:bCs/>
                <w:sz w:val="28"/>
                <w:szCs w:val="28"/>
              </w:rPr>
              <w:t xml:space="preserve">  </w:t>
            </w:r>
          </w:p>
          <w:p>
            <w:pPr>
              <w:spacing w:line="560" w:lineRule="exact"/>
              <w:ind w:firstLine="560" w:firstLineChars="200"/>
              <w:rPr>
                <w:rFonts w:ascii="楷体" w:hAnsi="楷体" w:eastAsia="楷体" w:cs="Times New Roman"/>
                <w:sz w:val="28"/>
                <w:szCs w:val="28"/>
              </w:rPr>
            </w:pPr>
            <w:r>
              <w:rPr>
                <w:rFonts w:hint="eastAsia" w:ascii="楷体" w:hAnsi="楷体" w:eastAsia="楷体" w:cs="楷体"/>
                <w:sz w:val="28"/>
                <w:szCs w:val="28"/>
              </w:rPr>
              <w:t>聚焦产业发展需求，充分利用行业资源开展分类培训。</w:t>
            </w:r>
          </w:p>
          <w:p>
            <w:pPr>
              <w:spacing w:line="560" w:lineRule="exact"/>
              <w:ind w:firstLine="562" w:firstLineChars="200"/>
              <w:rPr>
                <w:rFonts w:ascii="楷体" w:hAnsi="楷体" w:eastAsia="楷体" w:cs="Times New Roman"/>
                <w:b/>
                <w:bCs/>
                <w:sz w:val="28"/>
                <w:szCs w:val="28"/>
              </w:rPr>
            </w:pPr>
            <w:r>
              <w:rPr>
                <w:rFonts w:hint="eastAsia" w:ascii="楷体" w:hAnsi="楷体" w:eastAsia="楷体" w:cs="楷体"/>
                <w:b/>
                <w:bCs/>
                <w:sz w:val="28"/>
                <w:szCs w:val="28"/>
              </w:rPr>
              <w:t>（三）乡村实用人才培育工程</w:t>
            </w:r>
          </w:p>
          <w:p>
            <w:pPr>
              <w:spacing w:line="560" w:lineRule="exact"/>
              <w:ind w:firstLine="640"/>
              <w:rPr>
                <w:rFonts w:ascii="楷体" w:hAnsi="楷体" w:eastAsia="楷体" w:cs="Times New Roman"/>
                <w:sz w:val="28"/>
                <w:szCs w:val="28"/>
              </w:rPr>
            </w:pPr>
            <w:r>
              <w:rPr>
                <w:rFonts w:hint="eastAsia" w:ascii="楷体" w:hAnsi="楷体" w:eastAsia="楷体" w:cs="楷体"/>
                <w:sz w:val="28"/>
                <w:szCs w:val="28"/>
              </w:rPr>
              <w:t>围绕农业农村生产服务、技术推广、乡村特色文化产业、农耕文化、农房建设、传统技艺等，发展农村职业教育培训，建设农村专业人才队伍，挖掘农民内在价值，扶持培养一批乡村工匠、传统艺人、手工艺者、非遗传承人等乡村实用人才。到</w:t>
            </w:r>
            <w:r>
              <w:rPr>
                <w:rFonts w:ascii="楷体" w:hAnsi="楷体" w:eastAsia="楷体" w:cs="楷体"/>
                <w:sz w:val="28"/>
                <w:szCs w:val="28"/>
              </w:rPr>
              <w:t>2025</w:t>
            </w:r>
            <w:r>
              <w:rPr>
                <w:rFonts w:hint="eastAsia" w:ascii="楷体" w:hAnsi="楷体" w:eastAsia="楷体" w:cs="楷体"/>
                <w:sz w:val="28"/>
                <w:szCs w:val="28"/>
              </w:rPr>
              <w:t>年，培养乡村实用人才</w:t>
            </w:r>
            <w:r>
              <w:rPr>
                <w:rFonts w:ascii="楷体" w:hAnsi="楷体" w:eastAsia="楷体" w:cs="楷体"/>
                <w:sz w:val="28"/>
                <w:szCs w:val="28"/>
              </w:rPr>
              <w:t>20</w:t>
            </w:r>
            <w:r>
              <w:rPr>
                <w:rFonts w:hint="eastAsia" w:ascii="楷体" w:hAnsi="楷体" w:eastAsia="楷体" w:cs="楷体"/>
                <w:sz w:val="28"/>
                <w:szCs w:val="28"/>
              </w:rPr>
              <w:t>万名左右。</w:t>
            </w:r>
          </w:p>
          <w:p>
            <w:pPr>
              <w:spacing w:line="560" w:lineRule="exact"/>
              <w:ind w:firstLine="562" w:firstLineChars="200"/>
              <w:rPr>
                <w:rFonts w:ascii="楷体" w:hAnsi="楷体" w:eastAsia="楷体" w:cs="Times New Roman"/>
                <w:b/>
                <w:bCs/>
                <w:sz w:val="28"/>
                <w:szCs w:val="28"/>
              </w:rPr>
            </w:pPr>
            <w:r>
              <w:rPr>
                <w:rFonts w:hint="eastAsia" w:ascii="楷体" w:hAnsi="楷体" w:eastAsia="楷体" w:cs="楷体"/>
                <w:b/>
                <w:bCs/>
                <w:sz w:val="28"/>
                <w:szCs w:val="28"/>
              </w:rPr>
              <w:t>（四）农村双创人才培养工程</w:t>
            </w:r>
          </w:p>
          <w:p>
            <w:pPr>
              <w:pStyle w:val="5"/>
              <w:ind w:firstLine="560" w:firstLineChars="200"/>
              <w:rPr>
                <w:rFonts w:ascii="楷体" w:hAnsi="楷体" w:eastAsia="楷体" w:cs="Times New Roman"/>
                <w:sz w:val="28"/>
                <w:szCs w:val="28"/>
              </w:rPr>
            </w:pPr>
            <w:r>
              <w:rPr>
                <w:rFonts w:hint="eastAsia" w:ascii="楷体" w:hAnsi="楷体" w:eastAsia="楷体" w:cs="楷体"/>
                <w:sz w:val="28"/>
                <w:szCs w:val="28"/>
              </w:rPr>
              <w:t>整合资源，建设一批农村创新创业孵化园（基地）、创业人员培训中心。到</w:t>
            </w:r>
            <w:r>
              <w:rPr>
                <w:rFonts w:ascii="楷体" w:hAnsi="楷体" w:eastAsia="楷体" w:cs="楷体"/>
                <w:sz w:val="28"/>
                <w:szCs w:val="28"/>
              </w:rPr>
              <w:t>2025</w:t>
            </w:r>
            <w:r>
              <w:rPr>
                <w:rFonts w:hint="eastAsia" w:ascii="楷体" w:hAnsi="楷体" w:eastAsia="楷体" w:cs="楷体"/>
                <w:sz w:val="28"/>
                <w:szCs w:val="28"/>
              </w:rPr>
              <w:t>年，培训农村创业创新人才</w:t>
            </w:r>
            <w:r>
              <w:rPr>
                <w:rFonts w:ascii="楷体" w:hAnsi="楷体" w:eastAsia="楷体" w:cs="楷体"/>
                <w:sz w:val="28"/>
                <w:szCs w:val="28"/>
              </w:rPr>
              <w:t>1000</w:t>
            </w:r>
            <w:r>
              <w:rPr>
                <w:rFonts w:hint="eastAsia" w:ascii="楷体" w:hAnsi="楷体" w:eastAsia="楷体" w:cs="楷体"/>
                <w:sz w:val="28"/>
                <w:szCs w:val="28"/>
              </w:rPr>
              <w:t>人次，农村创业创新带头人</w:t>
            </w:r>
            <w:r>
              <w:rPr>
                <w:rFonts w:ascii="楷体" w:hAnsi="楷体" w:eastAsia="楷体" w:cs="楷体"/>
                <w:sz w:val="28"/>
                <w:szCs w:val="28"/>
              </w:rPr>
              <w:t>1000</w:t>
            </w:r>
            <w:r>
              <w:rPr>
                <w:rFonts w:hint="eastAsia" w:ascii="楷体" w:hAnsi="楷体" w:eastAsia="楷体" w:cs="楷体"/>
                <w:sz w:val="28"/>
                <w:szCs w:val="28"/>
              </w:rPr>
              <w:t>名；力争创建国家农村创业创新孵化园（基地）</w:t>
            </w:r>
            <w:r>
              <w:rPr>
                <w:rFonts w:ascii="楷体" w:hAnsi="楷体" w:eastAsia="楷体" w:cs="楷体"/>
                <w:sz w:val="28"/>
                <w:szCs w:val="28"/>
              </w:rPr>
              <w:t>1</w:t>
            </w:r>
            <w:r>
              <w:rPr>
                <w:rFonts w:hint="eastAsia" w:ascii="楷体" w:hAnsi="楷体" w:eastAsia="楷体" w:cs="楷体"/>
                <w:sz w:val="28"/>
                <w:szCs w:val="28"/>
              </w:rPr>
              <w:t>个、全国农村创业创新人员培训中心</w:t>
            </w:r>
            <w:r>
              <w:rPr>
                <w:rFonts w:ascii="楷体" w:hAnsi="楷体" w:eastAsia="楷体" w:cs="楷体"/>
                <w:sz w:val="28"/>
                <w:szCs w:val="28"/>
              </w:rPr>
              <w:t>1-2</w:t>
            </w:r>
            <w:r>
              <w:rPr>
                <w:rFonts w:hint="eastAsia" w:ascii="楷体" w:hAnsi="楷体" w:eastAsia="楷体" w:cs="楷体"/>
                <w:sz w:val="28"/>
                <w:szCs w:val="28"/>
              </w:rPr>
              <w:t>个。</w:t>
            </w:r>
          </w:p>
          <w:p>
            <w:pPr>
              <w:spacing w:line="560" w:lineRule="exact"/>
              <w:ind w:firstLine="562" w:firstLineChars="200"/>
              <w:rPr>
                <w:rFonts w:ascii="楷体" w:hAnsi="楷体" w:eastAsia="楷体" w:cs="Times New Roman"/>
                <w:b/>
                <w:bCs/>
                <w:sz w:val="28"/>
                <w:szCs w:val="28"/>
              </w:rPr>
            </w:pPr>
            <w:r>
              <w:rPr>
                <w:rFonts w:hint="eastAsia" w:ascii="楷体" w:hAnsi="楷体" w:eastAsia="楷体" w:cs="楷体"/>
                <w:b/>
                <w:bCs/>
                <w:sz w:val="28"/>
                <w:szCs w:val="28"/>
              </w:rPr>
              <w:t>（五）“一村一名大学生工程”</w:t>
            </w:r>
          </w:p>
          <w:p>
            <w:pPr>
              <w:spacing w:line="560" w:lineRule="exact"/>
              <w:ind w:firstLine="560" w:firstLineChars="200"/>
              <w:rPr>
                <w:rFonts w:ascii="仿宋" w:hAnsi="仿宋" w:eastAsia="仿宋" w:cs="Times New Roman"/>
                <w:sz w:val="30"/>
                <w:szCs w:val="30"/>
              </w:rPr>
            </w:pPr>
            <w:r>
              <w:rPr>
                <w:rFonts w:hint="eastAsia" w:ascii="楷体" w:hAnsi="楷体" w:eastAsia="楷体" w:cs="楷体"/>
                <w:sz w:val="28"/>
                <w:szCs w:val="28"/>
              </w:rPr>
              <w:t>推广“一村一名大学生工程”，完善培养使用机制，选送符合条件的村“两委”干部、新型农业经营主体带头人、农村新产业新业态创业者和有志于农村创业的优秀青年等，进入工程培养体系，提升培养质量，到</w:t>
            </w:r>
            <w:r>
              <w:rPr>
                <w:rFonts w:ascii="楷体" w:hAnsi="楷体" w:eastAsia="楷体" w:cs="楷体"/>
                <w:sz w:val="28"/>
                <w:szCs w:val="28"/>
              </w:rPr>
              <w:t>2025</w:t>
            </w:r>
            <w:r>
              <w:rPr>
                <w:rFonts w:hint="eastAsia" w:ascii="楷体" w:hAnsi="楷体" w:eastAsia="楷体" w:cs="楷体"/>
                <w:sz w:val="28"/>
                <w:szCs w:val="28"/>
              </w:rPr>
              <w:t>年完成</w:t>
            </w:r>
            <w:r>
              <w:rPr>
                <w:rFonts w:ascii="楷体" w:hAnsi="楷体" w:eastAsia="楷体" w:cs="楷体"/>
                <w:sz w:val="28"/>
                <w:szCs w:val="28"/>
              </w:rPr>
              <w:t>0.2</w:t>
            </w:r>
            <w:r>
              <w:rPr>
                <w:rFonts w:hint="eastAsia" w:ascii="楷体" w:hAnsi="楷体" w:eastAsia="楷体" w:cs="楷体"/>
                <w:sz w:val="28"/>
                <w:szCs w:val="28"/>
              </w:rPr>
              <w:t>万名“一村一名大学生”培养任务。推进人才、项目、资金、平台一体化建设，为人才施展才华提供广阔舞台。</w:t>
            </w:r>
          </w:p>
        </w:tc>
      </w:tr>
    </w:tbl>
    <w:p>
      <w:pPr>
        <w:rPr>
          <w:rFonts w:cs="Times New Roman"/>
          <w:sz w:val="28"/>
          <w:szCs w:val="28"/>
        </w:rPr>
      </w:pPr>
    </w:p>
    <w:p>
      <w:pPr>
        <w:pStyle w:val="26"/>
        <w:jc w:val="left"/>
        <w:rPr>
          <w:rFonts w:ascii="楷体" w:hAnsi="楷体" w:eastAsia="楷体" w:cs="Times New Roman"/>
          <w:sz w:val="44"/>
          <w:szCs w:val="44"/>
        </w:rPr>
      </w:pPr>
    </w:p>
    <w:p>
      <w:pPr>
        <w:pStyle w:val="26"/>
        <w:jc w:val="left"/>
        <w:rPr>
          <w:rFonts w:ascii="楷体" w:hAnsi="楷体" w:eastAsia="楷体" w:cs="Times New Roman"/>
          <w:sz w:val="44"/>
          <w:szCs w:val="44"/>
        </w:rPr>
      </w:pPr>
    </w:p>
    <w:p>
      <w:pPr>
        <w:pStyle w:val="26"/>
        <w:jc w:val="left"/>
        <w:rPr>
          <w:rFonts w:ascii="楷体" w:hAnsi="楷体" w:eastAsia="楷体" w:cs="Times New Roman"/>
          <w:sz w:val="44"/>
          <w:szCs w:val="44"/>
        </w:rPr>
      </w:pPr>
    </w:p>
    <w:p>
      <w:pPr>
        <w:pStyle w:val="3"/>
        <w:keepNext w:val="0"/>
        <w:keepLines w:val="0"/>
        <w:pageBreakBefore/>
        <w:jc w:val="center"/>
        <w:rPr>
          <w:rFonts w:ascii="黑体" w:hAnsi="黑体" w:eastAsia="黑体" w:cs="Times New Roman"/>
          <w:sz w:val="30"/>
          <w:szCs w:val="30"/>
        </w:rPr>
      </w:pPr>
      <w:bookmarkStart w:id="347" w:name="_Toc57879313"/>
      <w:bookmarkStart w:id="348" w:name="_Toc96329998"/>
      <w:bookmarkStart w:id="349" w:name="_Toc65485973"/>
      <w:r>
        <w:rPr>
          <w:rFonts w:hint="eastAsia" w:ascii="黑体" w:hAnsi="黑体" w:eastAsia="黑体" w:cs="黑体"/>
          <w:sz w:val="30"/>
          <w:szCs w:val="30"/>
        </w:rPr>
        <w:t>第九章</w:t>
      </w:r>
      <w:r>
        <w:rPr>
          <w:rFonts w:ascii="黑体" w:hAnsi="黑体" w:eastAsia="黑体" w:cs="黑体"/>
          <w:sz w:val="30"/>
          <w:szCs w:val="30"/>
        </w:rPr>
        <w:t xml:space="preserve"> </w:t>
      </w:r>
      <w:r>
        <w:rPr>
          <w:rFonts w:hint="eastAsia" w:ascii="黑体" w:hAnsi="黑体" w:eastAsia="黑体" w:cs="黑体"/>
          <w:sz w:val="30"/>
          <w:szCs w:val="30"/>
        </w:rPr>
        <w:t>构建“制度完善</w:t>
      </w:r>
      <w:r>
        <w:rPr>
          <w:rFonts w:ascii="黑体" w:hAnsi="黑体" w:eastAsia="黑体" w:cs="黑体"/>
          <w:sz w:val="30"/>
          <w:szCs w:val="30"/>
        </w:rPr>
        <w:t xml:space="preserve"> </w:t>
      </w:r>
      <w:r>
        <w:rPr>
          <w:rFonts w:hint="eastAsia" w:ascii="黑体" w:hAnsi="黑体" w:eastAsia="黑体" w:cs="黑体"/>
          <w:sz w:val="30"/>
          <w:szCs w:val="30"/>
        </w:rPr>
        <w:t>充满活力”的城乡融合发展环境</w:t>
      </w:r>
      <w:bookmarkEnd w:id="347"/>
      <w:bookmarkEnd w:id="348"/>
      <w:bookmarkEnd w:id="349"/>
    </w:p>
    <w:p>
      <w:pPr>
        <w:ind w:firstLine="600" w:firstLineChars="200"/>
        <w:rPr>
          <w:rFonts w:ascii="仿宋" w:hAnsi="仿宋" w:eastAsia="仿宋" w:cs="Times New Roman"/>
          <w:sz w:val="30"/>
          <w:szCs w:val="30"/>
        </w:rPr>
      </w:pPr>
      <w:r>
        <w:rPr>
          <w:rFonts w:hint="eastAsia" w:ascii="仿宋" w:hAnsi="仿宋" w:eastAsia="仿宋" w:cs="仿宋"/>
          <w:sz w:val="30"/>
          <w:szCs w:val="30"/>
        </w:rPr>
        <w:t>推进农业农村现代化进程，必须大力推进体制机制创新，完善城乡融合发展机制，深化农村改革，进一步激活主体、激活要素、激活市场，破除制约农业农村发展的制度障碍，加快形成工农互促、城乡互补、全面融合、共同繁荣的新型工农城乡关系，调动全社会力量投身宜春市</w:t>
      </w:r>
      <w:r>
        <w:rPr>
          <w:rFonts w:hint="eastAsia" w:eastAsia="仿宋" w:cs="仿宋"/>
          <w:sz w:val="30"/>
          <w:szCs w:val="30"/>
        </w:rPr>
        <w:t>“十四五”期间农业农村现代化建设。</w:t>
      </w:r>
    </w:p>
    <w:p>
      <w:pPr>
        <w:pStyle w:val="2"/>
        <w:jc w:val="center"/>
        <w:rPr>
          <w:rFonts w:ascii="黑体" w:hAnsi="黑体" w:eastAsia="黑体" w:cs="Times New Roman"/>
          <w:sz w:val="30"/>
          <w:szCs w:val="30"/>
        </w:rPr>
      </w:pPr>
      <w:bookmarkStart w:id="350" w:name="_Toc57879314"/>
      <w:bookmarkStart w:id="351" w:name="_Toc65485974"/>
      <w:bookmarkStart w:id="352" w:name="_Toc96329999"/>
      <w:r>
        <w:rPr>
          <w:rFonts w:hint="eastAsia" w:ascii="黑体" w:hAnsi="黑体" w:eastAsia="黑体" w:cs="黑体"/>
          <w:sz w:val="30"/>
          <w:szCs w:val="30"/>
        </w:rPr>
        <w:t>第一节</w:t>
      </w:r>
      <w:r>
        <w:rPr>
          <w:rFonts w:ascii="黑体" w:hAnsi="黑体" w:eastAsia="黑体" w:cs="黑体"/>
          <w:sz w:val="30"/>
          <w:szCs w:val="30"/>
        </w:rPr>
        <w:t xml:space="preserve"> </w:t>
      </w:r>
      <w:bookmarkEnd w:id="350"/>
      <w:bookmarkEnd w:id="351"/>
      <w:r>
        <w:rPr>
          <w:rFonts w:hint="eastAsia" w:ascii="黑体" w:hAnsi="黑体" w:eastAsia="黑体" w:cs="黑体"/>
          <w:sz w:val="30"/>
          <w:szCs w:val="30"/>
        </w:rPr>
        <w:t>完善城乡融合发展机制</w:t>
      </w:r>
      <w:bookmarkEnd w:id="352"/>
    </w:p>
    <w:p>
      <w:pPr>
        <w:ind w:firstLine="600" w:firstLineChars="200"/>
        <w:rPr>
          <w:rFonts w:eastAsia="仿宋" w:cs="Times New Roman"/>
          <w:sz w:val="30"/>
          <w:szCs w:val="30"/>
        </w:rPr>
      </w:pPr>
      <w:r>
        <w:rPr>
          <w:rFonts w:hint="eastAsia" w:ascii="仿宋" w:hAnsi="仿宋" w:eastAsia="仿宋" w:cs="仿宋"/>
          <w:sz w:val="30"/>
          <w:szCs w:val="30"/>
        </w:rPr>
        <w:t>完善城乡融合发展体制机制，促进城乡要素合理配置，提升资源配置效率，持续推动城乡基础设施一体化建设、推进城乡基本公共服务均等化，创造良好发展条件和环境，促使人才、资本、技术双向流动，激发农业农村发展潜力和内生动力，推进农业农村现代化。</w:t>
      </w:r>
    </w:p>
    <w:p>
      <w:pPr>
        <w:pStyle w:val="4"/>
        <w:spacing w:before="0" w:after="0" w:line="360" w:lineRule="auto"/>
        <w:ind w:firstLine="602" w:firstLineChars="200"/>
        <w:rPr>
          <w:rFonts w:ascii="仿宋" w:hAnsi="仿宋" w:eastAsia="仿宋" w:cs="Times New Roman"/>
          <w:sz w:val="30"/>
          <w:szCs w:val="30"/>
        </w:rPr>
      </w:pPr>
      <w:bookmarkStart w:id="353" w:name="_Toc96330000"/>
      <w:bookmarkStart w:id="354" w:name="_Toc57879315"/>
      <w:bookmarkStart w:id="355" w:name="_Toc65485975"/>
      <w:r>
        <w:rPr>
          <w:rFonts w:hint="eastAsia" w:ascii="仿宋" w:hAnsi="仿宋" w:eastAsia="仿宋" w:cs="仿宋"/>
          <w:sz w:val="30"/>
          <w:szCs w:val="30"/>
        </w:rPr>
        <w:t>一、畅通城乡要素流通渠道</w:t>
      </w:r>
      <w:bookmarkEnd w:id="353"/>
    </w:p>
    <w:p>
      <w:pPr>
        <w:overflowPunct w:val="0"/>
        <w:spacing w:line="600" w:lineRule="exact"/>
        <w:ind w:firstLine="640"/>
        <w:rPr>
          <w:rFonts w:ascii="仿宋" w:hAnsi="仿宋" w:eastAsia="仿宋" w:cs="Times New Roman"/>
          <w:sz w:val="30"/>
          <w:szCs w:val="30"/>
        </w:rPr>
      </w:pPr>
      <w:r>
        <w:rPr>
          <w:rFonts w:hint="eastAsia" w:ascii="仿宋" w:hAnsi="仿宋" w:eastAsia="仿宋" w:cs="仿宋"/>
          <w:sz w:val="30"/>
          <w:szCs w:val="30"/>
        </w:rPr>
        <w:t>创新城乡人才双向流动、优化城乡土地资源配置、推动城市资金向农业农村流动，推动城乡要素平等交换、双向流动。加强土地市场监管，推动土地要素市场化，积极稳妥推进农村集体经营性建设用地入市，稳步提高土地出让收益用于农业农村比例。健全城乡人才合作交流机制，创新城市人才服务乡村机制，吸引各类人才返乡入乡，允许入乡就业创业人员在原籍地或就业创业地落户并享受相关权益。推行科技特派员制度，完善科技人员到乡村兼职和离岗创业制度。建立健全农业转移人口市民化机制。全面落实支持农业转移人口市民化的财政政策、城镇建设用地增加规模同吸纳农业转移人口落户数量挂钩政策，完善农业转移人口就业帮扶、公共服务、子女教育、社保、住房保障等配套政策，促进农业转移人口全面融入城市。创新投融资机制，持续改善乡村营商环境，鼓励社会资本有序投入农业农村发展。</w:t>
      </w:r>
    </w:p>
    <w:p>
      <w:pPr>
        <w:pStyle w:val="4"/>
        <w:spacing w:before="0" w:after="0" w:line="360" w:lineRule="auto"/>
        <w:ind w:firstLine="602" w:firstLineChars="200"/>
        <w:rPr>
          <w:rFonts w:ascii="仿宋" w:hAnsi="仿宋" w:eastAsia="仿宋" w:cs="Times New Roman"/>
          <w:sz w:val="30"/>
          <w:szCs w:val="30"/>
        </w:rPr>
      </w:pPr>
      <w:bookmarkStart w:id="356" w:name="_Toc96330001"/>
      <w:r>
        <w:rPr>
          <w:rFonts w:hint="eastAsia" w:ascii="仿宋" w:hAnsi="仿宋" w:eastAsia="仿宋" w:cs="仿宋"/>
          <w:sz w:val="30"/>
          <w:szCs w:val="30"/>
        </w:rPr>
        <w:t>二、统筹城乡基础设施一体化发展</w:t>
      </w:r>
      <w:bookmarkEnd w:id="356"/>
    </w:p>
    <w:p>
      <w:pPr>
        <w:spacing w:line="590" w:lineRule="exact"/>
        <w:ind w:firstLine="600" w:firstLineChars="200"/>
        <w:rPr>
          <w:rFonts w:ascii="仿宋" w:hAnsi="仿宋" w:eastAsia="仿宋" w:cs="Times New Roman"/>
          <w:sz w:val="30"/>
          <w:szCs w:val="30"/>
        </w:rPr>
      </w:pPr>
      <w:r>
        <w:rPr>
          <w:rFonts w:hint="eastAsia" w:ascii="仿宋" w:hAnsi="仿宋" w:eastAsia="仿宋" w:cs="仿宋"/>
          <w:sz w:val="30"/>
          <w:szCs w:val="30"/>
        </w:rPr>
        <w:t>强化城乡基础设施衔接、互补，实现城乡同向发展。健全城乡统筹规划制度。全面完成本市各县市区国土空间总体规划编制。开展村庄规划编制试点。统筹划定历史文化保护线，保护好农业遗迹、文物古迹、民族村寨、传统村落、传统建筑和灌溉工程遗产等文物遗产。建立城乡基础设施一体化规划机制。以市县域为整体，统筹设计路网和水、电、通讯、污水垃圾处理等基础设施，重点推动城乡路网的一体化规划设计，畅通城乡交通运输连接，实现县乡村</w:t>
      </w:r>
      <w:r>
        <w:rPr>
          <w:rFonts w:ascii="仿宋" w:hAnsi="仿宋" w:eastAsia="仿宋" w:cs="仿宋"/>
          <w:sz w:val="30"/>
          <w:szCs w:val="30"/>
        </w:rPr>
        <w:t>(</w:t>
      </w:r>
      <w:r>
        <w:rPr>
          <w:rFonts w:hint="eastAsia" w:ascii="仿宋" w:hAnsi="仿宋" w:eastAsia="仿宋" w:cs="仿宋"/>
          <w:sz w:val="30"/>
          <w:szCs w:val="30"/>
        </w:rPr>
        <w:t>户</w:t>
      </w:r>
      <w:r>
        <w:rPr>
          <w:rFonts w:ascii="仿宋" w:hAnsi="仿宋" w:eastAsia="仿宋" w:cs="仿宋"/>
          <w:sz w:val="30"/>
          <w:szCs w:val="30"/>
        </w:rPr>
        <w:t>)</w:t>
      </w:r>
      <w:r>
        <w:rPr>
          <w:rFonts w:hint="eastAsia" w:ascii="仿宋" w:hAnsi="仿宋" w:eastAsia="仿宋" w:cs="仿宋"/>
          <w:sz w:val="30"/>
          <w:szCs w:val="30"/>
        </w:rPr>
        <w:t>的道路内通外达与客运一体化。健全城乡基础设施分级分类投入机制，鼓励有条件的县级政府将城乡基础设施项目整体打包，实行一体化开发建设。建立城乡基础设施一体化管护机制，对城乡道路等公益性设施的管护和运营纳入一般公共财政预算。明确乡村基础设施产权归属，由产权所有者建立管护制度。以政府购买服务等方式引入专业化企业，提高管护市场化程度。</w:t>
      </w:r>
    </w:p>
    <w:p>
      <w:pPr>
        <w:pStyle w:val="4"/>
        <w:spacing w:before="0" w:after="0" w:line="360" w:lineRule="auto"/>
        <w:ind w:firstLine="602" w:firstLineChars="200"/>
        <w:rPr>
          <w:rFonts w:ascii="仿宋" w:hAnsi="仿宋" w:eastAsia="仿宋" w:cs="Times New Roman"/>
          <w:sz w:val="30"/>
          <w:szCs w:val="30"/>
        </w:rPr>
      </w:pPr>
      <w:bookmarkStart w:id="357" w:name="_Toc65485972"/>
      <w:bookmarkStart w:id="358" w:name="_Toc96330002"/>
      <w:r>
        <w:rPr>
          <w:rFonts w:hint="eastAsia" w:ascii="仿宋" w:hAnsi="仿宋" w:eastAsia="仿宋" w:cs="仿宋"/>
          <w:sz w:val="30"/>
          <w:szCs w:val="30"/>
        </w:rPr>
        <w:t>三、推进城乡基本公共服务普惠共享</w:t>
      </w:r>
      <w:bookmarkEnd w:id="357"/>
      <w:bookmarkEnd w:id="358"/>
    </w:p>
    <w:p>
      <w:pPr>
        <w:spacing w:line="590" w:lineRule="exact"/>
        <w:ind w:firstLine="600" w:firstLineChars="200"/>
        <w:rPr>
          <w:rFonts w:ascii="Arial" w:hAnsi="Arial" w:cs="Arial"/>
          <w:sz w:val="16"/>
          <w:szCs w:val="16"/>
          <w:shd w:val="clear" w:color="auto" w:fill="FFFFFF"/>
        </w:rPr>
      </w:pPr>
      <w:r>
        <w:rPr>
          <w:rFonts w:hint="eastAsia" w:ascii="仿宋" w:hAnsi="仿宋" w:eastAsia="仿宋" w:cs="仿宋"/>
          <w:sz w:val="30"/>
          <w:szCs w:val="30"/>
        </w:rPr>
        <w:t>推动公共服务向农村延伸、社会事业向农村覆盖，推进城乡基本公共服务标准统一、制度并轨。统筹配置城乡教育资源，加快推进城乡义务教育的均衡发展。完善乡村教师补充机制，实行义务教育学校教师“县管校聘”、县域内校长教师交流轮岗，积极推行“教育集团”“联合校”“协作校”等城乡教育联合体模式。统筹推进城乡医疗公共服务均等化，实施乡村全科医生特设岗位计划，增加面向村卫生室的订单定向医学生规模，鼓励县医院与乡镇卫生院建立县域医共体，对乡（镇）、村医生实行“县管乡用”“乡管村用”。健全城乡公共文化服务联动机制，整合城乡文化资源，积极发展具有地域特色的民间文化，实现城乡文化资源双向交流、共享，推动公共文化服务项目与居民需求有效对接，促进公共文化服务社会化发展。完善城乡居民基本医疗保险、大病保险制度和基本养老保险制度，健全城乡低保标准动态调整机制。健全完善城乡社会救助体系，不断提升全市社会救助工作的整体水平。加强宜春全市人文关怀建设，鼓励社会力量兴办农村公益事业，保障城乡居民生活底线。</w:t>
      </w:r>
    </w:p>
    <w:bookmarkEnd w:id="354"/>
    <w:bookmarkEnd w:id="355"/>
    <w:p>
      <w:pPr>
        <w:pStyle w:val="2"/>
        <w:jc w:val="center"/>
        <w:rPr>
          <w:rFonts w:ascii="黑体" w:hAnsi="黑体" w:eastAsia="黑体" w:cs="Times New Roman"/>
          <w:sz w:val="30"/>
          <w:szCs w:val="30"/>
        </w:rPr>
      </w:pPr>
      <w:bookmarkStart w:id="359" w:name="_Toc96330003"/>
      <w:bookmarkStart w:id="360" w:name="_Toc65485979"/>
      <w:bookmarkStart w:id="361" w:name="_Toc57879319"/>
      <w:r>
        <w:rPr>
          <w:rFonts w:hint="eastAsia" w:ascii="黑体" w:hAnsi="黑体" w:eastAsia="黑体" w:cs="黑体"/>
          <w:sz w:val="30"/>
          <w:szCs w:val="30"/>
        </w:rPr>
        <w:t>第二节</w:t>
      </w:r>
      <w:r>
        <w:rPr>
          <w:rFonts w:ascii="黑体" w:hAnsi="黑体" w:eastAsia="黑体" w:cs="黑体"/>
          <w:sz w:val="30"/>
          <w:szCs w:val="30"/>
        </w:rPr>
        <w:t xml:space="preserve"> </w:t>
      </w:r>
      <w:r>
        <w:rPr>
          <w:rFonts w:hint="eastAsia" w:ascii="黑体" w:hAnsi="黑体" w:eastAsia="黑体" w:cs="黑体"/>
          <w:sz w:val="30"/>
          <w:szCs w:val="30"/>
        </w:rPr>
        <w:t>全面深化农村各项改革</w:t>
      </w:r>
      <w:bookmarkEnd w:id="359"/>
      <w:bookmarkEnd w:id="360"/>
      <w:bookmarkEnd w:id="361"/>
    </w:p>
    <w:p>
      <w:pPr>
        <w:ind w:firstLine="600" w:firstLineChars="200"/>
        <w:rPr>
          <w:rFonts w:eastAsia="仿宋" w:cs="Times New Roman"/>
          <w:sz w:val="30"/>
          <w:szCs w:val="30"/>
        </w:rPr>
      </w:pPr>
      <w:r>
        <w:rPr>
          <w:rFonts w:hint="eastAsia" w:ascii="仿宋" w:hAnsi="仿宋" w:eastAsia="仿宋" w:cs="仿宋"/>
          <w:sz w:val="30"/>
          <w:szCs w:val="30"/>
        </w:rPr>
        <w:t>全面统筹推进农村各项改革，以市场化改革为方向，以土地制度改革为核心，以产权制度改革为重点，推动改革由试点走向全面推开，吸引各项资源投向农业和农村发展，释放农村改革红利。</w:t>
      </w:r>
    </w:p>
    <w:p>
      <w:pPr>
        <w:pStyle w:val="4"/>
        <w:spacing w:before="0" w:after="0" w:line="360" w:lineRule="auto"/>
        <w:ind w:firstLine="602" w:firstLineChars="200"/>
        <w:rPr>
          <w:rFonts w:ascii="仿宋" w:hAnsi="仿宋" w:eastAsia="仿宋" w:cs="Times New Roman"/>
          <w:sz w:val="30"/>
          <w:szCs w:val="30"/>
        </w:rPr>
      </w:pPr>
      <w:bookmarkStart w:id="362" w:name="_Toc96330004"/>
      <w:r>
        <w:rPr>
          <w:rFonts w:hint="eastAsia" w:ascii="仿宋" w:hAnsi="仿宋" w:eastAsia="仿宋" w:cs="仿宋"/>
          <w:sz w:val="30"/>
          <w:szCs w:val="30"/>
        </w:rPr>
        <w:t>一、深化农村土地制度改革</w:t>
      </w:r>
      <w:bookmarkEnd w:id="362"/>
    </w:p>
    <w:p>
      <w:pPr>
        <w:spacing w:line="590" w:lineRule="exact"/>
        <w:ind w:firstLine="600" w:firstLineChars="200"/>
        <w:rPr>
          <w:rFonts w:ascii="仿宋" w:hAnsi="仿宋" w:eastAsia="仿宋" w:cs="Times New Roman"/>
          <w:sz w:val="30"/>
          <w:szCs w:val="30"/>
        </w:rPr>
      </w:pPr>
      <w:r>
        <w:rPr>
          <w:rFonts w:hint="eastAsia" w:eastAsia="仿宋" w:cs="仿宋"/>
          <w:sz w:val="30"/>
          <w:szCs w:val="30"/>
        </w:rPr>
        <w:t>一是巩固和完善农村基本经营制度，保持农村土地承包关系稳定并长久不变政策，衔接落实第二轮土地承包到期后再延长</w:t>
      </w:r>
      <w:r>
        <w:rPr>
          <w:rFonts w:eastAsia="仿宋"/>
          <w:sz w:val="30"/>
          <w:szCs w:val="30"/>
        </w:rPr>
        <w:t>30</w:t>
      </w:r>
      <w:r>
        <w:rPr>
          <w:rFonts w:hint="eastAsia" w:eastAsia="仿宋" w:cs="仿宋"/>
          <w:sz w:val="30"/>
          <w:szCs w:val="30"/>
        </w:rPr>
        <w:t>年的政策。应用好土地承包经营权确权登记颁证成果，完善农村承包地“三权分置”制度，落实集体所有权，稳定农户承包权，放活土地经营权，推动土地承包经营权合法流转，积极发展土地流转、土地托管、土地入股等多种形式的土地适度规模经营，加强农用地用途管制。</w:t>
      </w:r>
      <w:r>
        <w:rPr>
          <w:rFonts w:hint="eastAsia" w:ascii="仿宋" w:hAnsi="仿宋" w:eastAsia="仿宋" w:cs="仿宋"/>
          <w:sz w:val="30"/>
          <w:szCs w:val="30"/>
        </w:rPr>
        <w:t>深化基层农技改革，完善提升推广体系，探索公益性和经营性农技推广融合发展机制，</w:t>
      </w:r>
      <w:r>
        <w:rPr>
          <w:rFonts w:hint="eastAsia" w:eastAsia="仿宋" w:cs="仿宋"/>
          <w:sz w:val="30"/>
          <w:szCs w:val="30"/>
        </w:rPr>
        <w:t>加快培育各类社会化服务组织。继续深化供销合作社综合改革，</w:t>
      </w:r>
      <w:r>
        <w:rPr>
          <w:rFonts w:hint="eastAsia" w:ascii="仿宋" w:hAnsi="仿宋" w:eastAsia="仿宋" w:cs="仿宋"/>
          <w:sz w:val="30"/>
          <w:szCs w:val="30"/>
        </w:rPr>
        <w:t>推进生产、供销、信用“三位一体”综合合作。</w:t>
      </w:r>
      <w:r>
        <w:rPr>
          <w:rFonts w:hint="eastAsia" w:eastAsia="仿宋" w:cs="仿宋"/>
          <w:sz w:val="30"/>
          <w:szCs w:val="30"/>
        </w:rPr>
        <w:t>二是稳慎推进农村宅基地制度改革，完善盘活利用农民闲置宅基地和闲置农房政策，积极稳妥探索宅基地所有权、资格权、使用权“三权分置”，落实宅基地集体所有权，保障宅基地农户资格权和农民房屋财产权，适度放活宅基地和农民房屋使用权，积极探索建立宅基地有偿使用和退出机制，以及农民住房财产权（含宅基地使用权）抵押融资功能。三是加快完善农村集体建设用地入市制度。在符合国土空间规划前提下，盘活存量建设用地，允许通过村庄整治、土地整理等方式节余的农村集体建设用地，可以通过入股、租用等方式直接用于发展乡村产业。深化农村集体经营性建设用地入市改革，引导集体经营性建设用地入市交易，对国土空间规划确定为工业、商业等经营性用途，并经依法登记的集体建设用地，允许土地所有权人通过出让、出租等方式交由单位或者个人使用。四是进一步深化农垦改革，在基本完成确权登记颁证工作的基础，加快推进资源整合、产业优化升级，增强农垦内生动力、发展活力、整体实力。到</w:t>
      </w:r>
      <w:r>
        <w:rPr>
          <w:rFonts w:eastAsia="仿宋"/>
          <w:sz w:val="30"/>
          <w:szCs w:val="30"/>
        </w:rPr>
        <w:t>2025</w:t>
      </w:r>
      <w:r>
        <w:rPr>
          <w:rFonts w:hint="eastAsia" w:ascii="仿宋" w:hAnsi="仿宋" w:eastAsia="仿宋" w:cs="仿宋"/>
          <w:sz w:val="30"/>
          <w:szCs w:val="30"/>
        </w:rPr>
        <w:t>年，打造</w:t>
      </w:r>
      <w:r>
        <w:rPr>
          <w:rFonts w:ascii="仿宋" w:hAnsi="仿宋" w:eastAsia="仿宋" w:cs="仿宋"/>
          <w:sz w:val="30"/>
          <w:szCs w:val="30"/>
        </w:rPr>
        <w:t>1-2</w:t>
      </w:r>
      <w:r>
        <w:rPr>
          <w:rFonts w:hint="eastAsia" w:ascii="仿宋" w:hAnsi="仿宋" w:eastAsia="仿宋" w:cs="仿宋"/>
          <w:sz w:val="30"/>
          <w:szCs w:val="30"/>
        </w:rPr>
        <w:t>个在省内、国内具有竞争力的农垦现代农业企业集团。</w:t>
      </w:r>
    </w:p>
    <w:p>
      <w:pPr>
        <w:pStyle w:val="4"/>
        <w:spacing w:before="0" w:after="0" w:line="360" w:lineRule="auto"/>
        <w:ind w:firstLine="602" w:firstLineChars="200"/>
        <w:rPr>
          <w:rFonts w:ascii="仿宋" w:hAnsi="仿宋" w:eastAsia="仿宋" w:cs="Times New Roman"/>
          <w:sz w:val="30"/>
          <w:szCs w:val="30"/>
        </w:rPr>
      </w:pPr>
      <w:bookmarkStart w:id="363" w:name="_Toc96330005"/>
      <w:bookmarkStart w:id="364" w:name="_Toc65485982"/>
      <w:bookmarkStart w:id="365" w:name="_Toc57879322"/>
      <w:r>
        <w:rPr>
          <w:rFonts w:hint="eastAsia" w:ascii="仿宋" w:hAnsi="仿宋" w:eastAsia="仿宋" w:cs="仿宋"/>
          <w:sz w:val="30"/>
          <w:szCs w:val="30"/>
        </w:rPr>
        <w:t>二、加快农村集体产权制度改革</w:t>
      </w:r>
      <w:bookmarkEnd w:id="363"/>
      <w:bookmarkEnd w:id="364"/>
      <w:bookmarkEnd w:id="365"/>
    </w:p>
    <w:p>
      <w:pPr>
        <w:spacing w:line="360" w:lineRule="auto"/>
        <w:ind w:firstLine="600" w:firstLineChars="200"/>
        <w:rPr>
          <w:rFonts w:eastAsia="仿宋" w:cs="Times New Roman"/>
          <w:sz w:val="30"/>
          <w:szCs w:val="30"/>
        </w:rPr>
      </w:pPr>
      <w:r>
        <w:rPr>
          <w:rFonts w:hint="eastAsia" w:ascii="仿宋" w:hAnsi="仿宋" w:eastAsia="仿宋" w:cs="仿宋"/>
          <w:sz w:val="30"/>
          <w:szCs w:val="30"/>
        </w:rPr>
        <w:t>积极深入推进农村集体产权制度改革，推动资源变资产、资金变股金、农民变股东，多渠道开辟农民增收致富新途径，统筹做好农村集体资产清产核资、成员身份界定、经营性资产股份合作制改革工作，逐步建立归属清晰、权能完整、流转顺畅、保护严格的农村集体产权制度。积极探索集体经济新的实现形式和运行机制，发展多种形式的股份合作，发展壮大村级集体经济，培育农业农村新业态、新动能，明确集体经济组织的市场主体地位，健全集体资产运营的管理、监督和收益分配机制。健全农民集体所有土地补偿分配制度。对用于公共服务的教育、科技、文化、卫生、体育等方面的非经营性资产，重点探索建立集体统一运行管护的有效机制，更好地为集体经济组织成员提供公益性服务。对于农村集体所有的土地、森林、山岭、荒地等资源性资产，全面完成确权登记颁证工作，推进多种形式适度规模经营。深入推进集体林权制度改革，探索建立林地、林木流转机制，加快推进林权抵押贷款。加强农村产权流转交易市场建设，“十四五”期间全面完成</w:t>
      </w:r>
      <w:r>
        <w:rPr>
          <w:rFonts w:hint="eastAsia" w:eastAsia="仿宋" w:cs="仿宋"/>
          <w:sz w:val="30"/>
          <w:szCs w:val="30"/>
        </w:rPr>
        <w:t>农村集体产权制度改革，激活农业农村发展内生动力。</w:t>
      </w:r>
    </w:p>
    <w:p>
      <w:pPr>
        <w:pStyle w:val="4"/>
        <w:spacing w:before="0" w:after="0" w:line="360" w:lineRule="auto"/>
        <w:ind w:firstLine="602" w:firstLineChars="200"/>
        <w:rPr>
          <w:rFonts w:ascii="仿宋" w:hAnsi="仿宋" w:eastAsia="仿宋" w:cs="Times New Roman"/>
          <w:sz w:val="30"/>
          <w:szCs w:val="30"/>
        </w:rPr>
      </w:pPr>
      <w:bookmarkStart w:id="366" w:name="_Toc96330006"/>
      <w:r>
        <w:rPr>
          <w:rFonts w:hint="eastAsia" w:ascii="仿宋" w:hAnsi="仿宋" w:eastAsia="仿宋" w:cs="仿宋"/>
          <w:sz w:val="30"/>
          <w:szCs w:val="30"/>
        </w:rPr>
        <w:t>三、完善农业支持保护机制</w:t>
      </w:r>
      <w:bookmarkEnd w:id="366"/>
    </w:p>
    <w:p>
      <w:pPr>
        <w:ind w:firstLine="600"/>
        <w:rPr>
          <w:rFonts w:ascii="仿宋" w:hAnsi="仿宋" w:eastAsia="仿宋" w:cs="Times New Roman"/>
          <w:sz w:val="30"/>
          <w:szCs w:val="30"/>
        </w:rPr>
      </w:pPr>
      <w:r>
        <w:rPr>
          <w:rFonts w:hint="eastAsia" w:ascii="仿宋" w:hAnsi="仿宋" w:eastAsia="仿宋" w:cs="仿宋"/>
          <w:sz w:val="30"/>
          <w:szCs w:val="30"/>
        </w:rPr>
        <w:t>以提升农业质量效益和竞争力为目标，强化绿色生态导向，创新完善政策工具和手段，加快建立新型农业支持保护政策体系。优化财政涉农资金使用结构，加大对农业基础设施等农业农村领域的投入，吸引社会资本更多投向农业。落实完善扶持粮食生产政策，巩固农业“三项补贴”改革成果，完善粮食主产区利益补偿机制，优化农业补贴体系，建立健全以绿色生态为导向的农业补贴制度，形成完善的农业补贴政策体系，进一步提高农业补贴政策效能。落实国家收购政策，推进主要品种粮食收储制度改革，深化国有粮食企业改革，探索建立优质优价粮食流通机制。</w:t>
      </w:r>
    </w:p>
    <w:p>
      <w:pPr>
        <w:pStyle w:val="2"/>
        <w:jc w:val="center"/>
        <w:rPr>
          <w:rFonts w:ascii="黑体" w:hAnsi="黑体" w:eastAsia="黑体" w:cs="Times New Roman"/>
          <w:sz w:val="30"/>
          <w:szCs w:val="30"/>
        </w:rPr>
      </w:pPr>
      <w:bookmarkStart w:id="367" w:name="_Toc57879324"/>
      <w:bookmarkStart w:id="368" w:name="_Toc65485984"/>
      <w:bookmarkStart w:id="369" w:name="_Toc96330007"/>
      <w:r>
        <w:rPr>
          <w:rFonts w:hint="eastAsia" w:ascii="黑体" w:hAnsi="黑体" w:eastAsia="黑体" w:cs="黑体"/>
          <w:sz w:val="30"/>
          <w:szCs w:val="30"/>
        </w:rPr>
        <w:t>第三节</w:t>
      </w:r>
      <w:r>
        <w:rPr>
          <w:rFonts w:ascii="黑体" w:hAnsi="黑体" w:eastAsia="黑体" w:cs="黑体"/>
          <w:sz w:val="30"/>
          <w:szCs w:val="30"/>
        </w:rPr>
        <w:t xml:space="preserve"> </w:t>
      </w:r>
      <w:r>
        <w:rPr>
          <w:rFonts w:hint="eastAsia" w:ascii="黑体" w:hAnsi="黑体" w:eastAsia="黑体" w:cs="黑体"/>
          <w:sz w:val="30"/>
          <w:szCs w:val="30"/>
        </w:rPr>
        <w:t>健全多元投入机制</w:t>
      </w:r>
      <w:bookmarkEnd w:id="367"/>
      <w:bookmarkEnd w:id="368"/>
      <w:bookmarkEnd w:id="369"/>
    </w:p>
    <w:p>
      <w:pPr>
        <w:ind w:firstLine="600" w:firstLineChars="200"/>
        <w:rPr>
          <w:rFonts w:ascii="仿宋" w:hAnsi="仿宋" w:eastAsia="仿宋" w:cs="Times New Roman"/>
          <w:sz w:val="30"/>
          <w:szCs w:val="30"/>
        </w:rPr>
      </w:pPr>
      <w:r>
        <w:rPr>
          <w:rFonts w:hint="eastAsia" w:ascii="仿宋" w:hAnsi="仿宋" w:eastAsia="仿宋" w:cs="仿宋"/>
          <w:sz w:val="30"/>
          <w:szCs w:val="30"/>
        </w:rPr>
        <w:t>建立财政投入稳定增长机制，发挥财政资金“四两拨千斤”的作用，引导和鼓励各类社会资本投入农业农村领域，推动形成财政优先保障、金融重点倾斜、社会积极参与的多元投入格局。</w:t>
      </w:r>
    </w:p>
    <w:p>
      <w:pPr>
        <w:pStyle w:val="4"/>
        <w:spacing w:before="0" w:after="0" w:line="360" w:lineRule="auto"/>
        <w:ind w:firstLine="602" w:firstLineChars="200"/>
        <w:rPr>
          <w:rFonts w:ascii="仿宋" w:hAnsi="仿宋" w:eastAsia="仿宋" w:cs="Times New Roman"/>
          <w:sz w:val="30"/>
          <w:szCs w:val="30"/>
        </w:rPr>
      </w:pPr>
      <w:bookmarkStart w:id="370" w:name="_Toc65485985"/>
      <w:bookmarkStart w:id="371" w:name="_Toc57879325"/>
      <w:bookmarkStart w:id="372" w:name="_Toc96330008"/>
      <w:r>
        <w:rPr>
          <w:rFonts w:hint="eastAsia" w:ascii="仿宋" w:hAnsi="仿宋" w:eastAsia="仿宋" w:cs="仿宋"/>
          <w:sz w:val="30"/>
          <w:szCs w:val="30"/>
        </w:rPr>
        <w:t>一、加大财政投入力度</w:t>
      </w:r>
      <w:bookmarkEnd w:id="370"/>
      <w:bookmarkEnd w:id="371"/>
      <w:bookmarkEnd w:id="372"/>
    </w:p>
    <w:p>
      <w:pPr>
        <w:spacing w:line="600" w:lineRule="exact"/>
        <w:ind w:firstLine="600" w:firstLineChars="200"/>
        <w:rPr>
          <w:rFonts w:ascii="仿宋" w:hAnsi="仿宋" w:eastAsia="仿宋" w:cs="Times New Roman"/>
          <w:sz w:val="30"/>
          <w:szCs w:val="30"/>
        </w:rPr>
      </w:pPr>
      <w:bookmarkStart w:id="373" w:name="_Toc65485986"/>
      <w:bookmarkStart w:id="374" w:name="_Toc57879326"/>
      <w:r>
        <w:rPr>
          <w:rFonts w:hint="eastAsia" w:ascii="仿宋" w:hAnsi="仿宋" w:eastAsia="仿宋" w:cs="仿宋"/>
          <w:sz w:val="30"/>
          <w:szCs w:val="30"/>
        </w:rPr>
        <w:t>完善财政支农投入稳定增长机制，坚持把农业农村作为财政支出的优先保障领域，确保支农投入力度不断增强、总量持续增加。优化资金支出结构，突出绿色生态导向，增量资金主要向资源节约型、环境友好型农业倾斜，确保财政资金主要集中支持农业农村的公益性和基础性领域。调整完善土地出让收入使用范围优先支持乡村振兴，稳步提高土地出让收入用于农业农村比例，到“十四五”期末土地出让收益用于农业农村比例达到</w:t>
      </w:r>
      <w:r>
        <w:rPr>
          <w:rFonts w:ascii="仿宋" w:hAnsi="仿宋" w:eastAsia="仿宋" w:cs="仿宋"/>
          <w:sz w:val="30"/>
          <w:szCs w:val="30"/>
        </w:rPr>
        <w:t>50%</w:t>
      </w:r>
      <w:r>
        <w:rPr>
          <w:rFonts w:hint="eastAsia" w:ascii="仿宋" w:hAnsi="仿宋" w:eastAsia="仿宋" w:cs="仿宋"/>
          <w:sz w:val="30"/>
          <w:szCs w:val="30"/>
        </w:rPr>
        <w:t>以上，集中支持乡村振兴重点任务，加快补上“三农”发展短板，推动农业农村优先发展。推进涉农资金整合，规范支农项目审批，细化资金使用权限和适用范围。探索建立覆盖各类涉农资金的“任务清单”管理模式，着力构建权责匹配、相互协调、上下联动、步调一致的涉农资金统筹整合长效机制。创新政府投资支持方式，发挥财政资金的引导和杠杆作用，鼓励各级政府通过财政拨款、特许或委托经营等渠道筹措资金。创新投入方式，通过政府与社会资本合作、财政购买服务、担保贴息、以奖代补、先建后补、风险补偿等措施，撬动更多金融资本和社会资本投向农村基础设施建设和产业融合发展，巩固脱贫攻坚成果，实现与乡村振兴的有效衔接。</w:t>
      </w:r>
    </w:p>
    <w:p>
      <w:pPr>
        <w:pStyle w:val="4"/>
        <w:spacing w:before="0" w:after="0" w:line="360" w:lineRule="auto"/>
        <w:ind w:firstLine="602" w:firstLineChars="200"/>
        <w:rPr>
          <w:rFonts w:ascii="仿宋" w:hAnsi="仿宋" w:eastAsia="仿宋" w:cs="Times New Roman"/>
          <w:sz w:val="30"/>
          <w:szCs w:val="30"/>
        </w:rPr>
      </w:pPr>
      <w:bookmarkStart w:id="375" w:name="_Toc96330009"/>
      <w:r>
        <w:rPr>
          <w:rFonts w:hint="eastAsia" w:ascii="仿宋" w:hAnsi="仿宋" w:eastAsia="仿宋" w:cs="仿宋"/>
          <w:sz w:val="30"/>
          <w:szCs w:val="30"/>
        </w:rPr>
        <w:t>二、健全农村金融服务</w:t>
      </w:r>
      <w:bookmarkEnd w:id="373"/>
      <w:bookmarkEnd w:id="374"/>
      <w:bookmarkEnd w:id="375"/>
    </w:p>
    <w:p>
      <w:pPr>
        <w:ind w:firstLine="600" w:firstLineChars="200"/>
        <w:rPr>
          <w:rFonts w:ascii="仿宋" w:hAnsi="仿宋" w:eastAsia="仿宋" w:cs="Times New Roman"/>
          <w:sz w:val="30"/>
          <w:szCs w:val="30"/>
        </w:rPr>
      </w:pPr>
      <w:r>
        <w:rPr>
          <w:rFonts w:hint="eastAsia" w:ascii="仿宋" w:hAnsi="仿宋" w:eastAsia="仿宋" w:cs="仿宋"/>
          <w:sz w:val="30"/>
          <w:szCs w:val="30"/>
        </w:rPr>
        <w:t>加强农村金融创新，健全多层次信贷供给体系，创新农村信贷产品，不断增强金融服务农业农村的能力和水平。支持发展农业供给链金融。鼓励银行业金融机构设立普惠金融专营机构，增强在服务“三农”重点领域的中长期信贷支持力度。支持民营银行、小额贷款公司、民间融资机构发展，加快完善农商行法人治理结构，规范发展新型农村合作金融，稳步扩大农民合作社内部信用互助业务试点。推动农村产权交易中心丰富交易品种，拓宽交易范围。稳步扩大新型农村合作金融试点规模，稳妥开展农村各类产权抵押贷款试点。有序推进农村承包土地经营权、农民住房财产权抵押贷款试点，推广林权、大型农机具、畜禽活体、保险保单等抵（质）押贷款业务。完善农村地方征信数据库，优化农村信用环境。鼓励和扶持有条件的农业企业在江西省联合股权交易所挂牌，提升直接融资能力。完善多元化保险保障体系，加大政策性农业保险支持力度，扩大政策性农业保险险种，巩固发展主要种植业保险，大力发展高效设施农业保险，提高保险业服务现代农业的能力。深化农业大灾保险试点，推动地方特色农产品保险、特色农业价格</w:t>
      </w:r>
      <w:r>
        <w:rPr>
          <w:rFonts w:ascii="仿宋" w:hAnsi="仿宋" w:eastAsia="仿宋" w:cs="仿宋"/>
          <w:sz w:val="30"/>
          <w:szCs w:val="30"/>
        </w:rPr>
        <w:t>(</w:t>
      </w:r>
      <w:r>
        <w:rPr>
          <w:rFonts w:hint="eastAsia" w:ascii="仿宋" w:hAnsi="仿宋" w:eastAsia="仿宋" w:cs="仿宋"/>
          <w:sz w:val="30"/>
          <w:szCs w:val="30"/>
        </w:rPr>
        <w:t>收入</w:t>
      </w:r>
      <w:r>
        <w:rPr>
          <w:rFonts w:ascii="仿宋" w:hAnsi="仿宋" w:eastAsia="仿宋" w:cs="仿宋"/>
          <w:sz w:val="30"/>
          <w:szCs w:val="30"/>
        </w:rPr>
        <w:t>)</w:t>
      </w:r>
      <w:r>
        <w:rPr>
          <w:rFonts w:hint="eastAsia" w:ascii="仿宋" w:hAnsi="仿宋" w:eastAsia="仿宋" w:cs="仿宋"/>
          <w:sz w:val="30"/>
          <w:szCs w:val="30"/>
        </w:rPr>
        <w:t>保险、天气指数保险试点。</w:t>
      </w:r>
    </w:p>
    <w:p>
      <w:pPr>
        <w:pStyle w:val="4"/>
        <w:spacing w:before="0" w:after="0" w:line="360" w:lineRule="auto"/>
        <w:ind w:firstLine="602" w:firstLineChars="200"/>
        <w:rPr>
          <w:rFonts w:ascii="仿宋" w:hAnsi="仿宋" w:eastAsia="仿宋" w:cs="Times New Roman"/>
          <w:sz w:val="30"/>
          <w:szCs w:val="30"/>
        </w:rPr>
      </w:pPr>
      <w:bookmarkStart w:id="376" w:name="_Toc65485987"/>
      <w:bookmarkStart w:id="377" w:name="_Toc57879327"/>
      <w:bookmarkStart w:id="378" w:name="_Toc96330010"/>
      <w:r>
        <w:rPr>
          <w:rFonts w:hint="eastAsia" w:ascii="仿宋" w:hAnsi="仿宋" w:eastAsia="仿宋" w:cs="仿宋"/>
          <w:sz w:val="30"/>
          <w:szCs w:val="30"/>
        </w:rPr>
        <w:t>三、引进社会工商资本</w:t>
      </w:r>
      <w:bookmarkEnd w:id="376"/>
      <w:bookmarkEnd w:id="377"/>
      <w:bookmarkEnd w:id="378"/>
    </w:p>
    <w:p>
      <w:pPr>
        <w:spacing w:line="590" w:lineRule="exact"/>
        <w:ind w:firstLine="600" w:firstLineChars="200"/>
        <w:rPr>
          <w:rFonts w:eastAsia="仿宋" w:cs="Times New Roman"/>
          <w:sz w:val="30"/>
          <w:szCs w:val="30"/>
        </w:rPr>
      </w:pPr>
      <w:r>
        <w:rPr>
          <w:rFonts w:hint="eastAsia" w:ascii="仿宋" w:hAnsi="仿宋" w:eastAsia="仿宋" w:cs="仿宋"/>
          <w:sz w:val="30"/>
          <w:szCs w:val="30"/>
        </w:rPr>
        <w:t>深化“放管服”改革，建立健全监管和风险防范机制，营造公平竞争的市场环境，建立健全工商资本入乡促进机制。发挥财政资金的引导和杠杆作用，落实和完善融资贷款、配套设施建设补助、税费减免等扶持政策，鼓励社会资本通过独资、合资、合作、联营、租赁等途径，采取特许经营、公建民营、先建后补等方式，投入到农业产业化、规模化经营的农业项目中，与农民形成互惠共赢的产业共同体。创新社会资本参与农业农村现代化建设的准入机制，加大农村基础设施和公共事业领域开放力度，引导社会资本投入到现代种养业、农业服务业、加工业、休闲农业等领域，引导农业供给侧结构性改革和转型升级。创新社会资本与农民的利益联结机制，通过资源变资产、资金变股金、农民变股东的“三变”改革，以入股、联营等方式与农民和农村集体经济组织形成长期、稳定的收益分享机制</w:t>
      </w:r>
      <w:r>
        <w:rPr>
          <w:rFonts w:hint="eastAsia" w:eastAsia="仿宋" w:cs="仿宋"/>
          <w:sz w:val="30"/>
          <w:szCs w:val="30"/>
        </w:rPr>
        <w:t>。</w:t>
      </w:r>
    </w:p>
    <w:tbl>
      <w:tblPr>
        <w:tblStyle w:val="16"/>
        <w:tblW w:w="0" w:type="auto"/>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46" w:type="dxa"/>
          </w:tcPr>
          <w:p>
            <w:pPr>
              <w:spacing w:line="360" w:lineRule="auto"/>
              <w:ind w:firstLine="562" w:firstLineChars="200"/>
              <w:jc w:val="center"/>
              <w:rPr>
                <w:rFonts w:ascii="黑体" w:hAnsi="黑体" w:eastAsia="黑体" w:cs="Times New Roman"/>
                <w:b/>
                <w:bCs/>
                <w:sz w:val="28"/>
                <w:szCs w:val="28"/>
                <w:shd w:val="clear" w:color="auto" w:fill="FFFFFF"/>
              </w:rPr>
            </w:pPr>
            <w:r>
              <w:rPr>
                <w:rFonts w:hint="eastAsia" w:ascii="黑体" w:hAnsi="黑体" w:eastAsia="黑体" w:cs="黑体"/>
                <w:b/>
                <w:bCs/>
                <w:sz w:val="28"/>
                <w:szCs w:val="28"/>
                <w:shd w:val="clear" w:color="auto" w:fill="FFFFFF"/>
              </w:rPr>
              <w:t>专栏</w:t>
            </w:r>
            <w:r>
              <w:rPr>
                <w:rFonts w:ascii="黑体" w:hAnsi="黑体" w:eastAsia="黑体" w:cs="黑体"/>
                <w:b/>
                <w:bCs/>
                <w:sz w:val="28"/>
                <w:szCs w:val="28"/>
                <w:shd w:val="clear" w:color="auto" w:fill="FFFFFF"/>
              </w:rPr>
              <w:t xml:space="preserve">13  </w:t>
            </w:r>
            <w:r>
              <w:rPr>
                <w:rFonts w:hint="eastAsia" w:ascii="黑体" w:hAnsi="黑体" w:eastAsia="黑体" w:cs="黑体"/>
                <w:b/>
                <w:bCs/>
                <w:sz w:val="28"/>
                <w:szCs w:val="28"/>
                <w:shd w:val="clear" w:color="auto" w:fill="FFFFFF"/>
                <w:lang w:val="zh-CN"/>
              </w:rPr>
              <w:t>新一轮农村改革推进重大工程</w:t>
            </w:r>
          </w:p>
          <w:p>
            <w:pPr>
              <w:spacing w:line="560" w:lineRule="exact"/>
              <w:ind w:firstLine="562" w:firstLineChars="200"/>
              <w:rPr>
                <w:rFonts w:ascii="楷体" w:hAnsi="楷体" w:eastAsia="楷体" w:cs="Times New Roman"/>
                <w:b/>
                <w:bCs/>
                <w:sz w:val="28"/>
                <w:szCs w:val="28"/>
              </w:rPr>
            </w:pPr>
            <w:r>
              <w:rPr>
                <w:rFonts w:hint="eastAsia" w:ascii="楷体" w:hAnsi="楷体" w:eastAsia="楷体" w:cs="楷体"/>
                <w:b/>
                <w:bCs/>
                <w:sz w:val="28"/>
                <w:szCs w:val="28"/>
              </w:rPr>
              <w:t>（一）</w:t>
            </w:r>
            <w:r>
              <w:rPr>
                <w:rFonts w:hint="eastAsia" w:ascii="楷体" w:hAnsi="楷体" w:eastAsia="楷体" w:cs="楷体"/>
                <w:b/>
                <w:bCs/>
                <w:sz w:val="28"/>
                <w:szCs w:val="28"/>
                <w:lang w:val="zh-CN"/>
              </w:rPr>
              <w:t>集体经济强村建设工程</w:t>
            </w:r>
          </w:p>
          <w:p>
            <w:pPr>
              <w:spacing w:line="560" w:lineRule="exact"/>
              <w:ind w:firstLine="560" w:firstLineChars="200"/>
              <w:rPr>
                <w:rFonts w:ascii="楷体" w:hAnsi="楷体" w:eastAsia="楷体" w:cs="Times New Roman"/>
                <w:sz w:val="28"/>
                <w:szCs w:val="28"/>
              </w:rPr>
            </w:pPr>
            <w:r>
              <w:rPr>
                <w:rFonts w:hint="eastAsia" w:ascii="楷体" w:hAnsi="楷体" w:eastAsia="楷体" w:cs="楷体"/>
                <w:sz w:val="28"/>
                <w:szCs w:val="28"/>
              </w:rPr>
              <w:t>巩固拓展农村集体产权制度改革成果，建立健全农村产权交易平台，因地制宜发展土地合作型、资源开发型、物业经营型、乡村服务型等多种集体经济形式，增强农村集体经济组织服务成员能力。积极争取中央和省级财政扶持壮大村级集体经济项目计划。力争到</w:t>
            </w:r>
            <w:r>
              <w:rPr>
                <w:rFonts w:ascii="楷体" w:hAnsi="楷体" w:eastAsia="楷体" w:cs="楷体"/>
                <w:sz w:val="28"/>
                <w:szCs w:val="28"/>
              </w:rPr>
              <w:t>2025</w:t>
            </w:r>
            <w:r>
              <w:rPr>
                <w:rFonts w:hint="eastAsia" w:ascii="楷体" w:hAnsi="楷体" w:eastAsia="楷体" w:cs="楷体"/>
                <w:sz w:val="28"/>
                <w:szCs w:val="28"/>
              </w:rPr>
              <w:t>年，基本消除村级集体经济年经营收入</w:t>
            </w:r>
            <w:r>
              <w:rPr>
                <w:rFonts w:ascii="楷体" w:hAnsi="楷体" w:eastAsia="楷体" w:cs="楷体"/>
                <w:sz w:val="28"/>
                <w:szCs w:val="28"/>
              </w:rPr>
              <w:t>15</w:t>
            </w:r>
            <w:r>
              <w:rPr>
                <w:rFonts w:hint="eastAsia" w:ascii="楷体" w:hAnsi="楷体" w:eastAsia="楷体" w:cs="楷体"/>
                <w:sz w:val="28"/>
                <w:szCs w:val="28"/>
              </w:rPr>
              <w:t>万元以下的行政村，并培育一批集体经济强村。</w:t>
            </w:r>
          </w:p>
          <w:p>
            <w:pPr>
              <w:spacing w:line="560" w:lineRule="exact"/>
              <w:ind w:firstLine="562" w:firstLineChars="200"/>
              <w:rPr>
                <w:rFonts w:ascii="楷体" w:hAnsi="楷体" w:eastAsia="楷体" w:cs="Times New Roman"/>
                <w:b/>
                <w:bCs/>
                <w:sz w:val="28"/>
                <w:szCs w:val="28"/>
              </w:rPr>
            </w:pPr>
            <w:r>
              <w:rPr>
                <w:rFonts w:hint="eastAsia" w:ascii="楷体" w:hAnsi="楷体" w:eastAsia="楷体" w:cs="楷体"/>
                <w:b/>
                <w:bCs/>
                <w:sz w:val="28"/>
                <w:szCs w:val="28"/>
              </w:rPr>
              <w:t>（二）</w:t>
            </w:r>
            <w:r>
              <w:rPr>
                <w:rFonts w:hint="eastAsia" w:ascii="楷体" w:hAnsi="楷体" w:eastAsia="楷体" w:cs="楷体"/>
                <w:b/>
                <w:bCs/>
                <w:sz w:val="28"/>
                <w:szCs w:val="28"/>
                <w:lang w:val="zh-CN"/>
              </w:rPr>
              <w:t>乡村振兴金融服务</w:t>
            </w:r>
            <w:r>
              <w:rPr>
                <w:rFonts w:hint="eastAsia" w:ascii="楷体" w:hAnsi="楷体" w:eastAsia="楷体" w:cs="楷体"/>
                <w:b/>
                <w:bCs/>
                <w:sz w:val="28"/>
                <w:szCs w:val="28"/>
              </w:rPr>
              <w:t>提升工程</w:t>
            </w:r>
          </w:p>
          <w:p>
            <w:pPr>
              <w:spacing w:line="560" w:lineRule="exact"/>
              <w:ind w:firstLine="560" w:firstLineChars="200"/>
              <w:rPr>
                <w:rFonts w:ascii="楷体" w:hAnsi="楷体" w:eastAsia="楷体" w:cs="Times New Roman"/>
                <w:sz w:val="28"/>
                <w:szCs w:val="28"/>
              </w:rPr>
            </w:pPr>
            <w:r>
              <w:rPr>
                <w:rFonts w:hint="eastAsia" w:ascii="楷体" w:hAnsi="楷体" w:eastAsia="楷体" w:cs="楷体"/>
                <w:sz w:val="28"/>
                <w:szCs w:val="28"/>
                <w:lang w:val="zh-CN"/>
              </w:rPr>
              <w:t>聚焦全</w:t>
            </w:r>
            <w:r>
              <w:rPr>
                <w:rFonts w:hint="eastAsia" w:ascii="楷体" w:hAnsi="楷体" w:eastAsia="楷体" w:cs="楷体"/>
                <w:sz w:val="28"/>
                <w:szCs w:val="28"/>
              </w:rPr>
              <w:t>市</w:t>
            </w:r>
            <w:r>
              <w:rPr>
                <w:rFonts w:hint="eastAsia" w:ascii="楷体" w:hAnsi="楷体" w:eastAsia="楷体" w:cs="楷体"/>
                <w:sz w:val="28"/>
                <w:szCs w:val="28"/>
                <w:lang w:val="zh-CN"/>
              </w:rPr>
              <w:t>“三农”发展的融资瓶颈，充分发挥货币信贷政策的宏观引导作用，强化金融、财政和产业政策的深度融合，推动各金融机构不断下沉金融服务重心，持续扩大普惠金融政策覆盖面，为乡村振兴战略深入实施提供有力的金融支持。</w:t>
            </w:r>
          </w:p>
        </w:tc>
      </w:tr>
    </w:tbl>
    <w:p>
      <w:pPr>
        <w:ind w:firstLine="600"/>
        <w:rPr>
          <w:rFonts w:ascii="仿宋" w:hAnsi="仿宋" w:eastAsia="仿宋" w:cs="Times New Roman"/>
          <w:sz w:val="30"/>
          <w:szCs w:val="30"/>
        </w:rPr>
      </w:pPr>
    </w:p>
    <w:p>
      <w:pPr>
        <w:rPr>
          <w:rFonts w:cs="Times New Roman"/>
          <w:sz w:val="28"/>
          <w:szCs w:val="28"/>
        </w:rPr>
      </w:pPr>
    </w:p>
    <w:p>
      <w:pPr>
        <w:pStyle w:val="3"/>
        <w:keepNext w:val="0"/>
        <w:keepLines w:val="0"/>
        <w:pageBreakBefore/>
        <w:jc w:val="center"/>
        <w:rPr>
          <w:rFonts w:ascii="黑体" w:hAnsi="黑体" w:eastAsia="黑体" w:cs="Times New Roman"/>
          <w:sz w:val="30"/>
          <w:szCs w:val="30"/>
        </w:rPr>
      </w:pPr>
      <w:bookmarkStart w:id="379" w:name="_Toc57879328"/>
      <w:bookmarkStart w:id="380" w:name="_Toc65485988"/>
      <w:bookmarkStart w:id="381" w:name="_Toc96330011"/>
      <w:r>
        <w:rPr>
          <w:rFonts w:hint="eastAsia" w:ascii="黑体" w:hAnsi="黑体" w:eastAsia="黑体" w:cs="黑体"/>
          <w:sz w:val="30"/>
          <w:szCs w:val="30"/>
        </w:rPr>
        <w:t>第十章</w:t>
      </w:r>
      <w:r>
        <w:rPr>
          <w:rFonts w:ascii="黑体" w:hAnsi="黑体" w:eastAsia="黑体" w:cs="黑体"/>
          <w:sz w:val="30"/>
          <w:szCs w:val="30"/>
        </w:rPr>
        <w:t xml:space="preserve">  </w:t>
      </w:r>
      <w:r>
        <w:rPr>
          <w:rFonts w:hint="eastAsia" w:ascii="黑体" w:hAnsi="黑体" w:eastAsia="黑体" w:cs="黑体"/>
          <w:sz w:val="30"/>
          <w:szCs w:val="30"/>
        </w:rPr>
        <w:t>落实责任</w:t>
      </w:r>
      <w:r>
        <w:rPr>
          <w:rFonts w:ascii="黑体" w:hAnsi="黑体" w:eastAsia="黑体" w:cs="黑体"/>
          <w:sz w:val="30"/>
          <w:szCs w:val="30"/>
        </w:rPr>
        <w:t xml:space="preserve"> </w:t>
      </w:r>
      <w:r>
        <w:rPr>
          <w:rFonts w:hint="eastAsia" w:ascii="黑体" w:hAnsi="黑体" w:eastAsia="黑体" w:cs="黑体"/>
          <w:sz w:val="30"/>
          <w:szCs w:val="30"/>
        </w:rPr>
        <w:t>保障规划有序顺利实现</w:t>
      </w:r>
      <w:bookmarkEnd w:id="379"/>
      <w:bookmarkEnd w:id="380"/>
      <w:bookmarkEnd w:id="381"/>
    </w:p>
    <w:p>
      <w:pPr>
        <w:ind w:firstLine="585"/>
        <w:rPr>
          <w:rFonts w:eastAsia="仿宋" w:cs="Times New Roman"/>
          <w:sz w:val="30"/>
          <w:szCs w:val="30"/>
        </w:rPr>
      </w:pPr>
      <w:r>
        <w:rPr>
          <w:rFonts w:hint="eastAsia" w:eastAsia="仿宋" w:cs="仿宋"/>
          <w:sz w:val="30"/>
          <w:szCs w:val="30"/>
        </w:rPr>
        <w:t>“十四五”时期是中国重要的发展转型阶段，是启动实现农业农村现代化目标的第一个五年规划期。要从根本上破解人民日益增长的美好生活需要和不平衡不充分的发展之间的矛盾，必须坚持农业农村优先发展，加快农业农村现代化进程。为推动全市“十四五”农业农村现代化发展规划顺利实施，必须采取强有力的措施，确保各项工作落到实处。</w:t>
      </w:r>
    </w:p>
    <w:p>
      <w:pPr>
        <w:pStyle w:val="2"/>
        <w:jc w:val="center"/>
        <w:rPr>
          <w:rFonts w:ascii="黑体" w:hAnsi="黑体" w:eastAsia="黑体" w:cs="Times New Roman"/>
          <w:sz w:val="30"/>
          <w:szCs w:val="30"/>
        </w:rPr>
      </w:pPr>
      <w:bookmarkStart w:id="382" w:name="_Toc57879329"/>
      <w:bookmarkStart w:id="383" w:name="_Toc65485989"/>
      <w:bookmarkStart w:id="384" w:name="_Toc96330012"/>
      <w:r>
        <w:rPr>
          <w:rFonts w:hint="eastAsia" w:ascii="黑体" w:hAnsi="黑体" w:eastAsia="黑体" w:cs="黑体"/>
          <w:sz w:val="30"/>
          <w:szCs w:val="30"/>
        </w:rPr>
        <w:t>第一节</w:t>
      </w:r>
      <w:r>
        <w:rPr>
          <w:rFonts w:ascii="黑体" w:hAnsi="黑体" w:eastAsia="黑体" w:cs="黑体"/>
          <w:sz w:val="30"/>
          <w:szCs w:val="30"/>
        </w:rPr>
        <w:t xml:space="preserve"> </w:t>
      </w:r>
      <w:r>
        <w:rPr>
          <w:rFonts w:hint="eastAsia" w:ascii="黑体" w:hAnsi="黑体" w:eastAsia="黑体" w:cs="黑体"/>
          <w:sz w:val="30"/>
          <w:szCs w:val="30"/>
        </w:rPr>
        <w:t>组织领导</w:t>
      </w:r>
      <w:bookmarkEnd w:id="382"/>
      <w:bookmarkEnd w:id="383"/>
      <w:bookmarkEnd w:id="384"/>
    </w:p>
    <w:p>
      <w:pPr>
        <w:ind w:firstLine="600" w:firstLineChars="200"/>
        <w:rPr>
          <w:rFonts w:eastAsia="仿宋" w:cs="Times New Roman"/>
          <w:sz w:val="30"/>
          <w:szCs w:val="30"/>
        </w:rPr>
      </w:pPr>
      <w:r>
        <w:rPr>
          <w:rFonts w:hint="eastAsia" w:ascii="仿宋" w:hAnsi="仿宋" w:eastAsia="仿宋" w:cs="仿宋"/>
          <w:sz w:val="30"/>
          <w:szCs w:val="30"/>
        </w:rPr>
        <w:t>全面贯彻落实《中国共产党农村工作条例》，实行五级书记责任制，加强党对“三农”工作的全面领导，推动党管农村工作的各项要求落到实处。充分发挥各级党委总揽全局、协调各方的作用，把推进农业农村现代化作为农业农村工作的首要任务，切实加强领导，统筹各项工作，明确各部门、各县市区责任分工，确保规划的各项任务的组织、跟踪和落实，及时研究和解决农业农村发展改革工作中的重大问题。各地和各单位要密切配合、协同推进，建立高效顺畅的工作协调机制，形成推进农业农村现代化重要领域和关键环节改革攻坚的强大合力。充分发挥基层党组织的战斗堡垒作用和党员先锋模范作用，加快建设农业农村现代化。</w:t>
      </w:r>
    </w:p>
    <w:p>
      <w:pPr>
        <w:pStyle w:val="2"/>
        <w:jc w:val="center"/>
        <w:rPr>
          <w:rFonts w:ascii="黑体" w:hAnsi="黑体" w:eastAsia="黑体" w:cs="Times New Roman"/>
          <w:sz w:val="30"/>
          <w:szCs w:val="30"/>
        </w:rPr>
      </w:pPr>
      <w:bookmarkStart w:id="385" w:name="_Toc65485990"/>
      <w:bookmarkStart w:id="386" w:name="_Toc96330013"/>
      <w:bookmarkStart w:id="387" w:name="_Toc57879330"/>
      <w:r>
        <w:rPr>
          <w:rFonts w:hint="eastAsia" w:ascii="黑体" w:hAnsi="黑体" w:eastAsia="黑体" w:cs="黑体"/>
          <w:sz w:val="30"/>
          <w:szCs w:val="30"/>
        </w:rPr>
        <w:t>第二节</w:t>
      </w:r>
      <w:r>
        <w:rPr>
          <w:rFonts w:ascii="黑体" w:hAnsi="黑体" w:eastAsia="黑体" w:cs="黑体"/>
          <w:sz w:val="30"/>
          <w:szCs w:val="30"/>
        </w:rPr>
        <w:t xml:space="preserve"> </w:t>
      </w:r>
      <w:r>
        <w:rPr>
          <w:rFonts w:hint="eastAsia" w:ascii="黑体" w:hAnsi="黑体" w:eastAsia="黑体" w:cs="黑体"/>
          <w:sz w:val="30"/>
          <w:szCs w:val="30"/>
        </w:rPr>
        <w:t>责任落实</w:t>
      </w:r>
      <w:bookmarkEnd w:id="385"/>
      <w:bookmarkEnd w:id="386"/>
      <w:bookmarkEnd w:id="387"/>
    </w:p>
    <w:p>
      <w:pPr>
        <w:ind w:firstLine="585"/>
        <w:rPr>
          <w:rFonts w:eastAsia="仿宋" w:cs="Times New Roman"/>
          <w:sz w:val="30"/>
          <w:szCs w:val="30"/>
        </w:rPr>
      </w:pPr>
      <w:r>
        <w:rPr>
          <w:rFonts w:hint="eastAsia" w:ascii="仿宋" w:hAnsi="仿宋" w:eastAsia="仿宋" w:cs="仿宋"/>
          <w:sz w:val="30"/>
          <w:szCs w:val="30"/>
        </w:rPr>
        <w:t>加强组织领导，明确责任主体，形成上下联动、各负其责、高效统一的现代农业农村建设体系。建立领导责任制，全市各级党政一把手是第一责任人，强化各级党委和政府在推进农业农村现代化中的主体责任，推动各级干部主动担当作为。各县市区要分解细化本地区农业农村发展的目标任务，明确责任分工，逐级落实目标责任。加强专项资金监督管理，强化财政、审计、纪检监察部门的监督检查责任。定期和不定期组织开展专项督察，对规划实施情况进行跟踪评估，强化规划的落实和执行，全力推进农业农村现代化建设进程。</w:t>
      </w:r>
    </w:p>
    <w:p>
      <w:pPr>
        <w:pStyle w:val="2"/>
        <w:jc w:val="center"/>
        <w:rPr>
          <w:rFonts w:ascii="黑体" w:hAnsi="黑体" w:eastAsia="黑体" w:cs="Times New Roman"/>
          <w:sz w:val="30"/>
          <w:szCs w:val="30"/>
        </w:rPr>
      </w:pPr>
      <w:bookmarkStart w:id="388" w:name="_Toc57879331"/>
      <w:bookmarkStart w:id="389" w:name="_Toc96330014"/>
      <w:bookmarkStart w:id="390" w:name="_Toc65485991"/>
      <w:r>
        <w:rPr>
          <w:rFonts w:hint="eastAsia" w:ascii="黑体" w:hAnsi="黑体" w:eastAsia="黑体" w:cs="黑体"/>
          <w:sz w:val="30"/>
          <w:szCs w:val="30"/>
        </w:rPr>
        <w:t>第三节</w:t>
      </w:r>
      <w:r>
        <w:rPr>
          <w:rFonts w:ascii="黑体" w:hAnsi="黑体" w:eastAsia="黑体" w:cs="黑体"/>
          <w:sz w:val="30"/>
          <w:szCs w:val="30"/>
        </w:rPr>
        <w:t xml:space="preserve"> </w:t>
      </w:r>
      <w:r>
        <w:rPr>
          <w:rFonts w:hint="eastAsia" w:ascii="黑体" w:hAnsi="黑体" w:eastAsia="黑体" w:cs="黑体"/>
          <w:sz w:val="30"/>
          <w:szCs w:val="30"/>
        </w:rPr>
        <w:t>科学规划</w:t>
      </w:r>
      <w:bookmarkEnd w:id="388"/>
      <w:bookmarkEnd w:id="389"/>
      <w:bookmarkEnd w:id="390"/>
    </w:p>
    <w:p>
      <w:pPr>
        <w:ind w:firstLine="600" w:firstLineChars="200"/>
        <w:rPr>
          <w:rFonts w:eastAsia="仿宋" w:cs="Times New Roman"/>
          <w:sz w:val="30"/>
          <w:szCs w:val="30"/>
        </w:rPr>
      </w:pPr>
      <w:r>
        <w:rPr>
          <w:rFonts w:hint="eastAsia" w:ascii="仿宋" w:hAnsi="仿宋" w:eastAsia="仿宋" w:cs="仿宋"/>
          <w:sz w:val="30"/>
          <w:szCs w:val="30"/>
        </w:rPr>
        <w:t>坚持规划引领，因地制宜，按照</w:t>
      </w:r>
      <w:r>
        <w:rPr>
          <w:rFonts w:hint="eastAsia" w:eastAsia="仿宋" w:cs="仿宋"/>
          <w:sz w:val="30"/>
          <w:szCs w:val="30"/>
        </w:rPr>
        <w:t>“城乡融合、多规合一”的原则，明确规划体系框架，谋划“十四五”农业农村发展思路、区域布局、目标和任务，细化实化政策措施，积极对接国家、省“十四五”农业农村发展规划，充分与各县市区发展衔接。</w:t>
      </w:r>
      <w:r>
        <w:rPr>
          <w:rFonts w:hint="eastAsia" w:ascii="仿宋" w:hAnsi="仿宋" w:eastAsia="仿宋" w:cs="仿宋"/>
          <w:sz w:val="30"/>
          <w:szCs w:val="30"/>
        </w:rPr>
        <w:t>各县市区按照本规划设定阶段性的目标任务和工作重点，分解落实到年度实施方案当中。发挥规划引领作用，整合资源，加大力度，落实规划提出的目标任务、重大工程、重大计划和保障措施，分步实施，增强可操作性。各部门、各县市区各司其职、密切配合，抓紧制定实施方案、行动计划，扎实推动现代农业农村发展。</w:t>
      </w:r>
    </w:p>
    <w:p>
      <w:pPr>
        <w:pStyle w:val="2"/>
        <w:jc w:val="center"/>
        <w:rPr>
          <w:rFonts w:ascii="黑体" w:hAnsi="黑体" w:eastAsia="黑体" w:cs="Times New Roman"/>
          <w:sz w:val="30"/>
          <w:szCs w:val="30"/>
        </w:rPr>
      </w:pPr>
      <w:bookmarkStart w:id="391" w:name="_Toc57879332"/>
      <w:bookmarkStart w:id="392" w:name="_Toc65485992"/>
      <w:bookmarkStart w:id="393" w:name="_Toc96330015"/>
      <w:r>
        <w:rPr>
          <w:rFonts w:hint="eastAsia" w:ascii="黑体" w:hAnsi="黑体" w:eastAsia="黑体" w:cs="黑体"/>
          <w:sz w:val="30"/>
          <w:szCs w:val="30"/>
        </w:rPr>
        <w:t>第四节</w:t>
      </w:r>
      <w:r>
        <w:rPr>
          <w:rFonts w:ascii="黑体" w:hAnsi="黑体" w:eastAsia="黑体" w:cs="黑体"/>
          <w:sz w:val="30"/>
          <w:szCs w:val="30"/>
        </w:rPr>
        <w:t xml:space="preserve"> </w:t>
      </w:r>
      <w:r>
        <w:rPr>
          <w:rFonts w:hint="eastAsia" w:ascii="黑体" w:hAnsi="黑体" w:eastAsia="黑体" w:cs="黑体"/>
          <w:sz w:val="30"/>
          <w:szCs w:val="30"/>
        </w:rPr>
        <w:t>资源支持</w:t>
      </w:r>
      <w:bookmarkEnd w:id="391"/>
      <w:bookmarkEnd w:id="392"/>
      <w:bookmarkEnd w:id="393"/>
    </w:p>
    <w:p>
      <w:pPr>
        <w:ind w:firstLine="600" w:firstLineChars="200"/>
        <w:rPr>
          <w:rFonts w:eastAsia="仿宋" w:cs="Times New Roman"/>
          <w:sz w:val="30"/>
          <w:szCs w:val="30"/>
        </w:rPr>
      </w:pPr>
      <w:r>
        <w:rPr>
          <w:rFonts w:hint="eastAsia" w:eastAsia="仿宋" w:cs="仿宋"/>
          <w:sz w:val="30"/>
          <w:szCs w:val="30"/>
        </w:rPr>
        <w:t>“优先发展农业农村”，需要在公共财政投入上优先保障，在公共服务上优先安排，在要素配置上优先满足，在干部配备上优先考虑，切实推进农业农村现代化进程。建立长效、稳定、多元的投入增长机制，积极推进一批全局性、基础性、战略性重大项目建设，发挥典型带动作用，深化改革、优化政策环境，整合建设资源，激发各类主体活力，激活农业农村发展的内在动力，构建政府、市场、社会协同参与机制，形成全社会合力共建农业农村现代化的生动局面。</w:t>
      </w:r>
    </w:p>
    <w:p>
      <w:pPr>
        <w:pStyle w:val="2"/>
        <w:jc w:val="center"/>
        <w:rPr>
          <w:rFonts w:ascii="黑体" w:hAnsi="黑体" w:eastAsia="黑体" w:cs="Times New Roman"/>
          <w:sz w:val="30"/>
          <w:szCs w:val="30"/>
        </w:rPr>
      </w:pPr>
      <w:bookmarkStart w:id="394" w:name="_Toc65485993"/>
      <w:bookmarkStart w:id="395" w:name="_Toc57879333"/>
      <w:bookmarkStart w:id="396" w:name="_Toc96330016"/>
      <w:r>
        <w:rPr>
          <w:rFonts w:hint="eastAsia" w:ascii="黑体" w:hAnsi="黑体" w:eastAsia="黑体" w:cs="黑体"/>
          <w:sz w:val="30"/>
          <w:szCs w:val="30"/>
        </w:rPr>
        <w:t>第五节</w:t>
      </w:r>
      <w:r>
        <w:rPr>
          <w:rFonts w:ascii="黑体" w:hAnsi="黑体" w:eastAsia="黑体" w:cs="黑体"/>
          <w:sz w:val="30"/>
          <w:szCs w:val="30"/>
        </w:rPr>
        <w:t xml:space="preserve"> </w:t>
      </w:r>
      <w:r>
        <w:rPr>
          <w:rFonts w:hint="eastAsia" w:ascii="黑体" w:hAnsi="黑体" w:eastAsia="黑体" w:cs="黑体"/>
          <w:sz w:val="30"/>
          <w:szCs w:val="30"/>
        </w:rPr>
        <w:t>评估考核</w:t>
      </w:r>
      <w:bookmarkEnd w:id="394"/>
      <w:bookmarkEnd w:id="395"/>
      <w:bookmarkEnd w:id="396"/>
    </w:p>
    <w:p>
      <w:pPr>
        <w:ind w:firstLine="600" w:firstLineChars="200"/>
        <w:rPr>
          <w:rFonts w:eastAsia="仿宋" w:cs="Times New Roman"/>
          <w:sz w:val="30"/>
          <w:szCs w:val="30"/>
        </w:rPr>
      </w:pPr>
      <w:r>
        <w:rPr>
          <w:rFonts w:hint="eastAsia" w:ascii="仿宋" w:hAnsi="仿宋" w:eastAsia="仿宋" w:cs="仿宋"/>
          <w:sz w:val="30"/>
          <w:szCs w:val="30"/>
        </w:rPr>
        <w:t>加强农业农村现代化发展规划实施考核监督和激励约束。建立农业农村现代化监测评价体系，落实分级评价考核机制，督促检查农业农村现代化规划任务落实情况。加强落实粮食安全生产责任制和</w:t>
      </w:r>
      <w:r>
        <w:rPr>
          <w:rFonts w:hint="eastAsia" w:eastAsia="仿宋" w:cs="仿宋"/>
          <w:sz w:val="30"/>
          <w:szCs w:val="30"/>
        </w:rPr>
        <w:t>“菜篮子”负责制。把农业农村发展纳入政府任期目标责任考核，将规划实施成效纳入地方各级党委和政府及有关部门的年度绩效考评内容，考核结果作为有关领导干部年度考核、选拔任用的重要依据，确保完成各项目标任务。本规划确定的约束性指标以及重大工程、重大项目、重大政策和重要改革任务，要明确责任主体和进度要求并分解落实，确保质量和效果。综合运用稽查、督查、审计等方式，加强规划实施情况的监督检查。加强规划实施的年度测评，适时开展规划中期评估和总结评估。</w:t>
      </w:r>
    </w:p>
    <w:p>
      <w:pPr>
        <w:pStyle w:val="2"/>
        <w:jc w:val="center"/>
        <w:rPr>
          <w:rFonts w:ascii="黑体" w:hAnsi="黑体" w:eastAsia="黑体" w:cs="Times New Roman"/>
          <w:sz w:val="30"/>
          <w:szCs w:val="30"/>
        </w:rPr>
      </w:pPr>
      <w:bookmarkStart w:id="397" w:name="_Toc65485994"/>
      <w:bookmarkStart w:id="398" w:name="_Toc96330017"/>
      <w:r>
        <w:rPr>
          <w:rFonts w:hint="eastAsia" w:ascii="黑体" w:hAnsi="黑体" w:eastAsia="黑体" w:cs="黑体"/>
          <w:sz w:val="30"/>
          <w:szCs w:val="30"/>
        </w:rPr>
        <w:t>第六节</w:t>
      </w:r>
      <w:r>
        <w:rPr>
          <w:rFonts w:ascii="黑体" w:hAnsi="黑体" w:eastAsia="黑体" w:cs="黑体"/>
          <w:sz w:val="30"/>
          <w:szCs w:val="30"/>
        </w:rPr>
        <w:t xml:space="preserve"> </w:t>
      </w:r>
      <w:r>
        <w:rPr>
          <w:rFonts w:hint="eastAsia" w:ascii="黑体" w:hAnsi="黑体" w:eastAsia="黑体" w:cs="黑体"/>
          <w:sz w:val="30"/>
          <w:szCs w:val="30"/>
        </w:rPr>
        <w:t>营造氛围</w:t>
      </w:r>
      <w:bookmarkEnd w:id="397"/>
      <w:bookmarkEnd w:id="398"/>
    </w:p>
    <w:p>
      <w:pPr>
        <w:ind w:firstLine="585"/>
        <w:rPr>
          <w:rFonts w:ascii="仿宋" w:hAnsi="仿宋" w:eastAsia="仿宋" w:cs="Times New Roman"/>
          <w:sz w:val="30"/>
          <w:szCs w:val="30"/>
        </w:rPr>
      </w:pPr>
      <w:r>
        <w:rPr>
          <w:rFonts w:hint="eastAsia" w:ascii="仿宋" w:hAnsi="仿宋" w:eastAsia="仿宋" w:cs="仿宋"/>
          <w:sz w:val="30"/>
          <w:szCs w:val="30"/>
        </w:rPr>
        <w:t>加强规划成果宣传引导，充分发挥传统媒体和新媒体作用，让社会各界了解规划内容。宣传农业农村现代化建设经验和典型模式，挖掘农业农村重大工程投资与建设的地方经验，总结一批发展模式与典型案例，通过在各类媒体设置专栏等方式定期解读、宣传与推广。开展经验交流活动，引导全社会共同关注、协力支持，营造良好发展氛围。</w:t>
      </w:r>
    </w:p>
    <w:p>
      <w:pPr>
        <w:pStyle w:val="26"/>
        <w:rPr>
          <w:rFonts w:cs="Times New Roman"/>
        </w:rPr>
      </w:pPr>
    </w:p>
    <w:p>
      <w:pPr>
        <w:pStyle w:val="26"/>
        <w:rPr>
          <w:rFonts w:cs="Times New Roman"/>
        </w:rPr>
      </w:pPr>
    </w:p>
    <w:p>
      <w:pPr>
        <w:rPr>
          <w:rFonts w:cs="Times New Roman"/>
        </w:rPr>
      </w:pPr>
    </w:p>
    <w:p>
      <w:pPr>
        <w:pStyle w:val="26"/>
        <w:jc w:val="left"/>
        <w:rPr>
          <w:rFonts w:ascii="楷体" w:hAnsi="楷体" w:eastAsia="楷体" w:cs="Times New Roman"/>
          <w:sz w:val="44"/>
          <w:szCs w:val="44"/>
        </w:rPr>
      </w:pPr>
    </w:p>
    <w:p>
      <w:pPr>
        <w:pStyle w:val="26"/>
        <w:jc w:val="left"/>
        <w:rPr>
          <w:rFonts w:ascii="楷体" w:hAnsi="楷体" w:eastAsia="楷体" w:cs="Times New Roman"/>
          <w:sz w:val="44"/>
          <w:szCs w:val="44"/>
        </w:rPr>
      </w:pPr>
    </w:p>
    <w:p>
      <w:pPr>
        <w:rPr>
          <w:rFonts w:cs="Times New Roman"/>
        </w:rPr>
      </w:pPr>
    </w:p>
    <w:p>
      <w:pPr>
        <w:spacing w:line="600" w:lineRule="exact"/>
        <w:rPr>
          <w:rFonts w:ascii="Times New Roman" w:hAnsi="Times New Roman" w:eastAsia="仿宋_GB2312" w:cs="Times New Roman"/>
          <w:sz w:val="32"/>
          <w:szCs w:val="32"/>
        </w:rPr>
      </w:pPr>
    </w:p>
    <w:p>
      <w:pPr>
        <w:spacing w:line="600" w:lineRule="exact"/>
        <w:rPr>
          <w:rFonts w:ascii="Times New Roman" w:hAnsi="Times New Roman" w:eastAsia="仿宋_GB2312" w:cs="Times New Roman"/>
          <w:sz w:val="32"/>
          <w:szCs w:val="32"/>
        </w:rPr>
      </w:pPr>
    </w:p>
    <w:p>
      <w:pPr>
        <w:spacing w:line="600" w:lineRule="exact"/>
        <w:rPr>
          <w:rFonts w:ascii="Times New Roman" w:hAnsi="Times New Roman" w:eastAsia="仿宋_GB2312" w:cs="Times New Roman"/>
          <w:sz w:val="32"/>
          <w:szCs w:val="32"/>
        </w:rPr>
      </w:pPr>
    </w:p>
    <w:p>
      <w:pPr>
        <w:spacing w:line="600" w:lineRule="exact"/>
        <w:rPr>
          <w:rFonts w:ascii="Times New Roman" w:hAnsi="Times New Roman" w:eastAsia="仿宋_GB2312" w:cs="Times New Roman"/>
          <w:sz w:val="32"/>
          <w:szCs w:val="32"/>
        </w:rPr>
      </w:pPr>
      <w:bookmarkStart w:id="399" w:name="_GoBack"/>
      <w:bookmarkEnd w:id="399"/>
    </w:p>
    <w:p>
      <w:pPr>
        <w:spacing w:line="600" w:lineRule="exact"/>
        <w:rPr>
          <w:rFonts w:ascii="Times New Roman" w:hAnsi="Times New Roman" w:eastAsia="仿宋_GB2312" w:cs="Times New Roman"/>
          <w:sz w:val="32"/>
          <w:szCs w:val="32"/>
        </w:rPr>
      </w:pPr>
    </w:p>
    <w:p>
      <w:pPr>
        <w:spacing w:line="580" w:lineRule="exact"/>
        <w:rPr>
          <w:rFonts w:ascii="Times New Roman" w:hAnsi="Times New Roman" w:eastAsia="仿宋_GB2312" w:cs="Times New Roman"/>
          <w:sz w:val="32"/>
          <w:szCs w:val="32"/>
        </w:rPr>
      </w:pPr>
    </w:p>
    <w:p>
      <w:pPr>
        <w:spacing w:line="580" w:lineRule="exact"/>
        <w:rPr>
          <w:rFonts w:ascii="Times New Roman" w:hAnsi="Times New Roman" w:eastAsia="仿宋_GB2312"/>
          <w:sz w:val="32"/>
          <w:szCs w:val="32"/>
        </w:rPr>
      </w:pPr>
    </w:p>
    <w:p>
      <w:pPr>
        <w:pStyle w:val="14"/>
        <w:spacing w:line="580" w:lineRule="exact"/>
        <w:ind w:firstLine="220"/>
        <w:rPr>
          <w:rFonts w:ascii="Times New Roman" w:hAnsi="Times New Roman" w:cs="Times New Roman"/>
        </w:rPr>
      </w:pPr>
    </w:p>
    <w:p>
      <w:pPr>
        <w:pStyle w:val="14"/>
        <w:spacing w:line="580" w:lineRule="exact"/>
        <w:ind w:firstLine="0" w:firstLineChars="0"/>
        <w:rPr>
          <w:rFonts w:hint="eastAsia" w:ascii="Times New Roman" w:hAnsi="Times New Roman" w:cs="Times New Roman"/>
        </w:rPr>
      </w:pPr>
    </w:p>
    <w:tbl>
      <w:tblPr>
        <w:tblStyle w:val="16"/>
        <w:tblW w:w="876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7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trPr>
        <w:tc>
          <w:tcPr>
            <w:tcW w:w="8761" w:type="dxa"/>
            <w:tcBorders>
              <w:top w:val="single" w:color="auto" w:sz="4" w:space="0"/>
              <w:left w:val="nil"/>
              <w:bottom w:val="single" w:color="auto" w:sz="4" w:space="0"/>
              <w:right w:val="nil"/>
            </w:tcBorders>
          </w:tcPr>
          <w:p>
            <w:pPr>
              <w:spacing w:line="440" w:lineRule="exact"/>
              <w:rPr>
                <w:rFonts w:ascii="仿宋" w:hAnsi="仿宋" w:eastAsia="仿宋" w:cs="Tahoma"/>
                <w:spacing w:val="-8"/>
                <w:sz w:val="30"/>
                <w:szCs w:val="30"/>
              </w:rPr>
            </w:pPr>
            <w:r>
              <w:rPr>
                <w:rFonts w:hint="eastAsia" w:ascii="仿宋" w:hAnsi="仿宋" w:eastAsia="仿宋"/>
                <w:spacing w:val="-8"/>
                <w:sz w:val="30"/>
                <w:szCs w:val="30"/>
              </w:rPr>
              <w:t xml:space="preserve">宜春市农业农村局秘书科           </w:t>
            </w:r>
            <w:r>
              <w:rPr>
                <w:rFonts w:ascii="仿宋" w:hAnsi="仿宋" w:eastAsia="仿宋"/>
                <w:spacing w:val="-8"/>
                <w:sz w:val="30"/>
                <w:szCs w:val="30"/>
              </w:rPr>
              <w:t xml:space="preserve">  </w:t>
            </w:r>
            <w:r>
              <w:rPr>
                <w:rFonts w:hint="eastAsia" w:ascii="仿宋" w:hAnsi="仿宋" w:eastAsia="仿宋"/>
                <w:spacing w:val="-8"/>
                <w:sz w:val="30"/>
                <w:szCs w:val="30"/>
              </w:rPr>
              <w:t xml:space="preserve"> </w:t>
            </w:r>
            <w:r>
              <w:rPr>
                <w:rFonts w:ascii="仿宋" w:hAnsi="仿宋" w:eastAsia="仿宋"/>
                <w:spacing w:val="-8"/>
                <w:sz w:val="30"/>
                <w:szCs w:val="30"/>
              </w:rPr>
              <w:t xml:space="preserve">  </w:t>
            </w:r>
            <w:r>
              <w:rPr>
                <w:rFonts w:hint="eastAsia" w:ascii="仿宋" w:hAnsi="仿宋" w:eastAsia="仿宋"/>
                <w:spacing w:val="-8"/>
                <w:sz w:val="30"/>
                <w:szCs w:val="30"/>
              </w:rPr>
              <w:t xml:space="preserve">    2022年3月</w:t>
            </w:r>
            <w:r>
              <w:rPr>
                <w:rFonts w:ascii="仿宋" w:hAnsi="仿宋" w:eastAsia="仿宋"/>
                <w:spacing w:val="-8"/>
                <w:sz w:val="30"/>
                <w:szCs w:val="30"/>
              </w:rPr>
              <w:t>9</w:t>
            </w:r>
            <w:r>
              <w:rPr>
                <w:rFonts w:hint="eastAsia" w:ascii="仿宋" w:hAnsi="仿宋" w:eastAsia="仿宋"/>
                <w:spacing w:val="-8"/>
                <w:sz w:val="30"/>
                <w:szCs w:val="30"/>
              </w:rPr>
              <w:t>日印发</w:t>
            </w:r>
          </w:p>
        </w:tc>
      </w:tr>
    </w:tbl>
    <w:p>
      <w:pPr>
        <w:pStyle w:val="14"/>
        <w:spacing w:after="0" w:line="20" w:lineRule="exact"/>
        <w:ind w:firstLine="0" w:firstLineChars="0"/>
        <w:rPr>
          <w:rFonts w:ascii="Times New Roman" w:hAnsi="Times New Roman" w:cs="Times New Roman"/>
        </w:rPr>
      </w:pPr>
    </w:p>
    <w:p>
      <w:pPr>
        <w:spacing w:line="20" w:lineRule="exact"/>
        <w:rPr>
          <w:rFonts w:ascii="Times New Roman" w:hAnsi="Times New Roman" w:eastAsia="仿宋_GB2312" w:cs="Times New Roman"/>
          <w:sz w:val="32"/>
          <w:szCs w:val="32"/>
        </w:rPr>
      </w:pPr>
    </w:p>
    <w:sectPr>
      <w:pgSz w:w="11906" w:h="16838"/>
      <w:pgMar w:top="1440" w:right="1588" w:bottom="1440"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黑体"/>
    <w:panose1 w:val="03000509000000000000"/>
    <w:charset w:val="86"/>
    <w:family w:val="auto"/>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0C06EDA"/>
    <w:multiLevelType w:val="singleLevel"/>
    <w:tmpl w:val="90C06EDA"/>
    <w:lvl w:ilvl="0" w:tentative="0">
      <w:start w:val="1"/>
      <w:numFmt w:val="chineseCounting"/>
      <w:suff w:val="nothing"/>
      <w:lvlText w:val="%1、"/>
      <w:lvlJc w:val="left"/>
      <w:rPr>
        <w:rFonts w:hint="eastAsia"/>
      </w:rPr>
    </w:lvl>
  </w:abstractNum>
  <w:abstractNum w:abstractNumId="1">
    <w:nsid w:val="63EF9B18"/>
    <w:multiLevelType w:val="singleLevel"/>
    <w:tmpl w:val="63EF9B18"/>
    <w:lvl w:ilvl="0" w:tentative="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DM1NzBlMGU1Y2E0Y2MzOTlkODgwZjViZTE5NmM3ODEifQ=="/>
  </w:docVars>
  <w:rsids>
    <w:rsidRoot w:val="00A3296D"/>
    <w:rsid w:val="00001870"/>
    <w:rsid w:val="000533A1"/>
    <w:rsid w:val="0020172D"/>
    <w:rsid w:val="00356507"/>
    <w:rsid w:val="0037337D"/>
    <w:rsid w:val="003D0232"/>
    <w:rsid w:val="00452ED7"/>
    <w:rsid w:val="004E258D"/>
    <w:rsid w:val="006378A8"/>
    <w:rsid w:val="006F5C70"/>
    <w:rsid w:val="008659DB"/>
    <w:rsid w:val="00885AD4"/>
    <w:rsid w:val="00A17600"/>
    <w:rsid w:val="00A3296D"/>
    <w:rsid w:val="00A80836"/>
    <w:rsid w:val="00DC1033"/>
    <w:rsid w:val="00E423EB"/>
    <w:rsid w:val="3BA478A8"/>
    <w:rsid w:val="3C12405F"/>
    <w:rsid w:val="3F276F21"/>
    <w:rsid w:val="65242442"/>
    <w:rsid w:val="6FF670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qFormat="1" w:uiPriority="99" w:name="Body Text First Indent"/>
    <w:lsdException w:qFormat="1" w:unhideWhenUsed="0" w:uiPriority="99" w:semiHidden="0" w:name="Body Text First Indent 2"/>
    <w:lsdException w:uiPriority="99" w:name="Note Heading"/>
    <w:lsdException w:uiPriority="99" w:name="Body Text 2"/>
    <w:lsdException w:uiPriority="99" w:name="Body Text 3"/>
    <w:lsdException w:qFormat="1" w:unhideWhenUsed="0" w:uiPriority="99" w:semiHidden="0"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qFormat/>
    <w:uiPriority w:val="99"/>
    <w:pPr>
      <w:keepNext/>
      <w:keepLines/>
      <w:spacing w:before="340" w:after="330" w:line="578" w:lineRule="auto"/>
      <w:outlineLvl w:val="0"/>
    </w:pPr>
    <w:rPr>
      <w:b/>
      <w:bCs/>
      <w:kern w:val="44"/>
      <w:sz w:val="44"/>
      <w:szCs w:val="44"/>
    </w:rPr>
  </w:style>
  <w:style w:type="paragraph" w:styleId="2">
    <w:name w:val="heading 2"/>
    <w:basedOn w:val="1"/>
    <w:next w:val="1"/>
    <w:qFormat/>
    <w:uiPriority w:val="99"/>
    <w:pPr>
      <w:keepNext/>
      <w:keepLines/>
      <w:spacing w:before="260" w:after="260" w:line="416" w:lineRule="auto"/>
      <w:outlineLvl w:val="1"/>
    </w:pPr>
    <w:rPr>
      <w:rFonts w:ascii="Cambria" w:hAnsi="Cambria" w:cs="Cambria"/>
      <w:b/>
      <w:bCs/>
      <w:sz w:val="32"/>
      <w:szCs w:val="32"/>
    </w:rPr>
  </w:style>
  <w:style w:type="paragraph" w:styleId="4">
    <w:name w:val="heading 3"/>
    <w:basedOn w:val="1"/>
    <w:next w:val="1"/>
    <w:qFormat/>
    <w:uiPriority w:val="99"/>
    <w:pPr>
      <w:keepNext/>
      <w:keepLines/>
      <w:spacing w:before="260" w:after="260" w:line="416" w:lineRule="auto"/>
      <w:outlineLvl w:val="2"/>
    </w:pPr>
    <w:rPr>
      <w:b/>
      <w:bCs/>
      <w:sz w:val="32"/>
      <w:szCs w:val="32"/>
    </w:rPr>
  </w:style>
  <w:style w:type="character" w:default="1" w:styleId="17">
    <w:name w:val="Default Paragraph Font"/>
    <w:semiHidden/>
    <w:unhideWhenUsed/>
    <w:uiPriority w:val="1"/>
  </w:style>
  <w:style w:type="table" w:default="1" w:styleId="16">
    <w:name w:val="Normal Table"/>
    <w:semiHidden/>
    <w:unhideWhenUsed/>
    <w:uiPriority w:val="99"/>
    <w:tblPr>
      <w:tblCellMar>
        <w:top w:w="0" w:type="dxa"/>
        <w:left w:w="108" w:type="dxa"/>
        <w:bottom w:w="0" w:type="dxa"/>
        <w:right w:w="108" w:type="dxa"/>
      </w:tblCellMar>
    </w:tblPr>
  </w:style>
  <w:style w:type="paragraph" w:styleId="5">
    <w:name w:val="annotation text"/>
    <w:basedOn w:val="1"/>
    <w:semiHidden/>
    <w:qFormat/>
    <w:uiPriority w:val="99"/>
    <w:pPr>
      <w:jc w:val="left"/>
    </w:pPr>
  </w:style>
  <w:style w:type="paragraph" w:styleId="6">
    <w:name w:val="Body Text"/>
    <w:basedOn w:val="1"/>
    <w:next w:val="1"/>
    <w:link w:val="20"/>
    <w:semiHidden/>
    <w:unhideWhenUsed/>
    <w:uiPriority w:val="99"/>
    <w:pPr>
      <w:spacing w:after="120"/>
    </w:pPr>
  </w:style>
  <w:style w:type="paragraph" w:styleId="7">
    <w:name w:val="Body Text Indent"/>
    <w:basedOn w:val="1"/>
    <w:qFormat/>
    <w:uiPriority w:val="99"/>
    <w:pPr>
      <w:spacing w:after="120"/>
      <w:ind w:left="420" w:leftChars="200"/>
    </w:pPr>
  </w:style>
  <w:style w:type="paragraph" w:styleId="8">
    <w:name w:val="Date"/>
    <w:basedOn w:val="1"/>
    <w:next w:val="1"/>
    <w:link w:val="22"/>
    <w:semiHidden/>
    <w:unhideWhenUsed/>
    <w:qFormat/>
    <w:uiPriority w:val="99"/>
    <w:pPr>
      <w:ind w:left="100" w:leftChars="2500"/>
    </w:pPr>
  </w:style>
  <w:style w:type="paragraph" w:styleId="9">
    <w:name w:val="Body Text Indent 2"/>
    <w:basedOn w:val="1"/>
    <w:qFormat/>
    <w:uiPriority w:val="99"/>
    <w:pPr>
      <w:spacing w:after="120" w:line="480" w:lineRule="auto"/>
      <w:ind w:left="420" w:leftChars="200"/>
    </w:pPr>
    <w:rPr>
      <w:rFonts w:eastAsia="仿宋"/>
      <w:sz w:val="30"/>
      <w:szCs w:val="30"/>
    </w:rPr>
  </w:style>
  <w:style w:type="paragraph" w:styleId="10">
    <w:name w:val="Balloon Text"/>
    <w:basedOn w:val="1"/>
    <w:link w:val="23"/>
    <w:semiHidden/>
    <w:unhideWhenUsed/>
    <w:qFormat/>
    <w:uiPriority w:val="99"/>
    <w:rPr>
      <w:sz w:val="18"/>
      <w:szCs w:val="18"/>
    </w:rPr>
  </w:style>
  <w:style w:type="paragraph" w:styleId="11">
    <w:name w:val="footer"/>
    <w:basedOn w:val="1"/>
    <w:link w:val="25"/>
    <w:unhideWhenUsed/>
    <w:qFormat/>
    <w:uiPriority w:val="99"/>
    <w:pPr>
      <w:tabs>
        <w:tab w:val="center" w:pos="4153"/>
        <w:tab w:val="right" w:pos="8306"/>
      </w:tabs>
      <w:snapToGrid w:val="0"/>
      <w:jc w:val="left"/>
    </w:pPr>
    <w:rPr>
      <w:sz w:val="18"/>
      <w:szCs w:val="18"/>
    </w:rPr>
  </w:style>
  <w:style w:type="paragraph" w:styleId="12">
    <w:name w:val="header"/>
    <w:basedOn w:val="1"/>
    <w:link w:val="24"/>
    <w:unhideWhenUsed/>
    <w:qFormat/>
    <w:uiPriority w:val="99"/>
    <w:pPr>
      <w:pBdr>
        <w:bottom w:val="single" w:color="auto" w:sz="6" w:space="1"/>
      </w:pBdr>
      <w:tabs>
        <w:tab w:val="center" w:pos="4153"/>
        <w:tab w:val="right" w:pos="8306"/>
      </w:tabs>
      <w:snapToGrid w:val="0"/>
      <w:jc w:val="center"/>
    </w:pPr>
    <w:rPr>
      <w:sz w:val="18"/>
      <w:szCs w:val="18"/>
    </w:rPr>
  </w:style>
  <w:style w:type="paragraph" w:styleId="13">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14">
    <w:name w:val="Body Text First Indent"/>
    <w:basedOn w:val="6"/>
    <w:link w:val="21"/>
    <w:semiHidden/>
    <w:unhideWhenUsed/>
    <w:qFormat/>
    <w:uiPriority w:val="99"/>
    <w:pPr>
      <w:widowControl/>
      <w:adjustRightInd w:val="0"/>
      <w:snapToGrid w:val="0"/>
      <w:ind w:firstLine="420" w:firstLineChars="100"/>
      <w:jc w:val="left"/>
    </w:pPr>
    <w:rPr>
      <w:rFonts w:ascii="Tahoma" w:hAnsi="Tahoma" w:eastAsia="微软雅黑" w:cs="Tahoma"/>
      <w:kern w:val="0"/>
      <w:sz w:val="22"/>
    </w:rPr>
  </w:style>
  <w:style w:type="paragraph" w:styleId="15">
    <w:name w:val="Body Text First Indent 2"/>
    <w:basedOn w:val="7"/>
    <w:qFormat/>
    <w:uiPriority w:val="99"/>
    <w:pPr>
      <w:ind w:firstLine="420" w:firstLineChars="200"/>
    </w:pPr>
  </w:style>
  <w:style w:type="character" w:styleId="18">
    <w:name w:val="Hyperlink"/>
    <w:basedOn w:val="17"/>
    <w:qFormat/>
    <w:uiPriority w:val="99"/>
    <w:rPr>
      <w:color w:val="0000FF"/>
      <w:u w:val="single"/>
    </w:rPr>
  </w:style>
  <w:style w:type="character" w:styleId="19">
    <w:name w:val="annotation reference"/>
    <w:basedOn w:val="17"/>
    <w:semiHidden/>
    <w:qFormat/>
    <w:uiPriority w:val="99"/>
    <w:rPr>
      <w:sz w:val="21"/>
      <w:szCs w:val="21"/>
    </w:rPr>
  </w:style>
  <w:style w:type="character" w:customStyle="1" w:styleId="20">
    <w:name w:val="正文文本 字符"/>
    <w:basedOn w:val="17"/>
    <w:link w:val="6"/>
    <w:semiHidden/>
    <w:uiPriority w:val="99"/>
  </w:style>
  <w:style w:type="character" w:customStyle="1" w:styleId="21">
    <w:name w:val="正文首行缩进 字符"/>
    <w:basedOn w:val="20"/>
    <w:link w:val="14"/>
    <w:semiHidden/>
    <w:qFormat/>
    <w:uiPriority w:val="99"/>
    <w:rPr>
      <w:rFonts w:ascii="Tahoma" w:hAnsi="Tahoma" w:eastAsia="微软雅黑" w:cs="Tahoma"/>
      <w:kern w:val="0"/>
      <w:sz w:val="22"/>
    </w:rPr>
  </w:style>
  <w:style w:type="character" w:customStyle="1" w:styleId="22">
    <w:name w:val="日期 字符"/>
    <w:basedOn w:val="17"/>
    <w:link w:val="8"/>
    <w:semiHidden/>
    <w:qFormat/>
    <w:uiPriority w:val="99"/>
  </w:style>
  <w:style w:type="character" w:customStyle="1" w:styleId="23">
    <w:name w:val="批注框文本 字符"/>
    <w:basedOn w:val="17"/>
    <w:link w:val="10"/>
    <w:semiHidden/>
    <w:qFormat/>
    <w:uiPriority w:val="99"/>
    <w:rPr>
      <w:sz w:val="18"/>
      <w:szCs w:val="18"/>
    </w:rPr>
  </w:style>
  <w:style w:type="character" w:customStyle="1" w:styleId="24">
    <w:name w:val="页眉 字符"/>
    <w:basedOn w:val="17"/>
    <w:link w:val="12"/>
    <w:qFormat/>
    <w:uiPriority w:val="99"/>
    <w:rPr>
      <w:sz w:val="18"/>
      <w:szCs w:val="18"/>
    </w:rPr>
  </w:style>
  <w:style w:type="character" w:customStyle="1" w:styleId="25">
    <w:name w:val="页脚 字符"/>
    <w:basedOn w:val="17"/>
    <w:link w:val="11"/>
    <w:qFormat/>
    <w:uiPriority w:val="99"/>
    <w:rPr>
      <w:sz w:val="18"/>
      <w:szCs w:val="18"/>
    </w:rPr>
  </w:style>
  <w:style w:type="paragraph" w:customStyle="1" w:styleId="26">
    <w:name w:val="Plain Text1"/>
    <w:basedOn w:val="1"/>
    <w:qFormat/>
    <w:uiPriority w:val="99"/>
    <w:rPr>
      <w:rFonts w:ascii="仿宋_GB2312" w:hAnsi="Courier New" w:eastAsia="仿宋_GB2312" w:cs="仿宋_GB2312"/>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98</Pages>
  <Words>53477</Words>
  <Characters>54352</Characters>
  <Lines>1</Lines>
  <Paragraphs>1</Paragraphs>
  <TotalTime>11</TotalTime>
  <ScaleCrop>false</ScaleCrop>
  <LinksUpToDate>false</LinksUpToDate>
  <CharactersWithSpaces>54495</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2022-03-24T02:47:00Z</dcterms:created>
  <dc:creator>lenovo</dc:creator>
  <cp:lastModifiedBy>%E4%BC%9A%E9%A3%9E%E7%9A%84%F0%9F%8D%8A</cp:lastModifiedBy>
  <cp:lastPrinted>2022-03-24T02:47:00Z</cp:lastPrinted>
  <dcterms:modified xsi:type="dcterms:W3CDTF">2022-11-08T03:30:43Z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226EA51346DE4834A818D0A4B47A841A</vt:lpwstr>
  </property>
</Properties>
</file>