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0"/>
          <w:szCs w:val="48"/>
          <w:lang w:val="en-US" w:eastAsia="zh-CN"/>
        </w:rPr>
      </w:pPr>
      <w:r>
        <w:rPr>
          <w:rFonts w:hint="eastAsia" w:ascii="方正小标宋简体" w:hAnsi="方正小标宋简体" w:eastAsia="方正小标宋简体" w:cs="方正小标宋简体"/>
          <w:spacing w:val="0"/>
          <w:sz w:val="40"/>
          <w:szCs w:val="48"/>
          <w:lang w:val="en-US" w:eastAsia="zh-CN"/>
        </w:rPr>
        <w:t>关于公开征求《宜春市富硒产业发展规划（2023-2030年）（征求意见稿）》意见的公告</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0"/>
          <w:szCs w:val="4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color w:val="auto"/>
          <w:sz w:val="32"/>
          <w:szCs w:val="40"/>
          <w:u w:val="none"/>
          <w:lang w:val="en-US" w:eastAsia="zh-CN"/>
        </w:rPr>
      </w:pPr>
      <w:r>
        <w:rPr>
          <w:rFonts w:hint="eastAsia" w:ascii="仿宋_GB2312" w:hAnsi="仿宋_GB2312" w:eastAsia="仿宋_GB2312" w:cs="仿宋_GB2312"/>
          <w:color w:val="auto"/>
          <w:sz w:val="32"/>
          <w:szCs w:val="40"/>
          <w:u w:val="none"/>
          <w:lang w:val="en-US" w:eastAsia="zh-CN"/>
        </w:rPr>
        <w:t>社会各界人士：</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color w:val="auto"/>
          <w:sz w:val="32"/>
          <w:szCs w:val="40"/>
          <w:u w:val="none"/>
          <w:lang w:val="en-US" w:eastAsia="zh-CN"/>
        </w:rPr>
        <w:fldChar w:fldCharType="begin"/>
      </w:r>
      <w:r>
        <w:rPr>
          <w:rFonts w:hint="eastAsia" w:ascii="仿宋_GB2312" w:hAnsi="仿宋_GB2312" w:eastAsia="仿宋_GB2312" w:cs="仿宋_GB2312"/>
          <w:color w:val="auto"/>
          <w:sz w:val="32"/>
          <w:szCs w:val="40"/>
          <w:u w:val="none"/>
          <w:lang w:val="en-US" w:eastAsia="zh-CN"/>
        </w:rPr>
        <w:instrText xml:space="preserve"> HYPERLINK "mailto:为深入贯彻习近平总书记视察江西重要讲话精神，落实省委、省政府和市委、市政度关于推动富硒产业发展的指示要求，做好规划引领，切实提升富硒产业\“首位度\”，市农业农村局草拟了《宜春市富硒产业发展规划（2023-2030年）（征求意见稿）》，现征求贵单位意见，请于11月30日下午下班前，将反馈意见PDF版（加盖单位公章）和word版发送至邮箱ycfxcy@126.com，逾期" </w:instrText>
      </w:r>
      <w:r>
        <w:rPr>
          <w:rFonts w:hint="eastAsia" w:ascii="仿宋_GB2312" w:hAnsi="仿宋_GB2312" w:eastAsia="仿宋_GB2312" w:cs="仿宋_GB2312"/>
          <w:color w:val="auto"/>
          <w:sz w:val="32"/>
          <w:szCs w:val="40"/>
          <w:u w:val="none"/>
          <w:lang w:val="en-US" w:eastAsia="zh-CN"/>
        </w:rPr>
        <w:fldChar w:fldCharType="separate"/>
      </w:r>
      <w:r>
        <w:rPr>
          <w:rStyle w:val="6"/>
          <w:rFonts w:hint="eastAsia" w:ascii="仿宋_GB2312" w:hAnsi="仿宋_GB2312" w:eastAsia="仿宋_GB2312" w:cs="仿宋_GB2312"/>
          <w:color w:val="auto"/>
          <w:sz w:val="32"/>
          <w:szCs w:val="40"/>
          <w:u w:val="none"/>
          <w:lang w:val="en-US" w:eastAsia="zh-CN"/>
        </w:rPr>
        <w:t>为深入贯彻习近平总书记考察江西重要讲话精神，落实省、市关于推动富硒产业发展的指示要求，做好规划引领，切实提升富硒产业“首位度”，做实富硒“土特产”文章，我局牵头草拟了《宜春市富硒产业发展规划（2023-2030年）（征求意见稿）》，现面向社会公众公开征求意见建议。请于12月26日前将相关修改意见发送至市农业农村局富硒产业发展科邮箱ycfxcy@126.com</w:t>
      </w:r>
      <w:r>
        <w:rPr>
          <w:rFonts w:hint="eastAsia" w:ascii="仿宋_GB2312" w:hAnsi="仿宋_GB2312" w:eastAsia="仿宋_GB2312" w:cs="仿宋_GB2312"/>
          <w:color w:val="auto"/>
          <w:sz w:val="32"/>
          <w:szCs w:val="40"/>
          <w:u w:val="none"/>
          <w:lang w:val="en-US" w:eastAsia="zh-CN"/>
        </w:rPr>
        <w:fldChar w:fldCharType="end"/>
      </w:r>
      <w:r>
        <w:rPr>
          <w:rFonts w:hint="eastAsia" w:ascii="仿宋_GB2312" w:hAnsi="仿宋_GB2312" w:eastAsia="仿宋_GB2312" w:cs="仿宋_GB2312"/>
          <w:color w:val="auto"/>
          <w:sz w:val="32"/>
          <w:szCs w:val="40"/>
          <w:u w:val="none"/>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热忱期待您积极参与，提出宝贵意见建议！</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联系电话：0795-3263295</w:t>
      </w:r>
    </w:p>
    <w:p>
      <w:pPr>
        <w:keepNext w:val="0"/>
        <w:keepLines w:val="0"/>
        <w:pageBreakBefore w:val="0"/>
        <w:widowControl w:val="0"/>
        <w:kinsoku/>
        <w:wordWrap/>
        <w:overflowPunct/>
        <w:topLinePunct w:val="0"/>
        <w:autoSpaceDE/>
        <w:autoSpaceDN/>
        <w:bidi w:val="0"/>
        <w:adjustRightInd/>
        <w:snapToGrid/>
        <w:spacing w:line="640" w:lineRule="exact"/>
        <w:ind w:left="1598" w:leftChars="304" w:hanging="960" w:hangingChars="3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598" w:leftChars="304" w:hanging="960" w:hangingChars="3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附件：《宜春市富硒产业发展规划（2023-2030年）（征求意见稿）》</w:t>
      </w: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916" w:leftChars="760" w:right="1680" w:rightChars="800" w:hanging="320" w:hangingChars="100"/>
        <w:jc w:val="right"/>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2023年11月27日</w:t>
      </w: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left="1916" w:leftChars="760" w:hanging="320" w:hangingChars="100"/>
        <w:jc w:val="left"/>
        <w:textAlignment w:val="auto"/>
        <w:rPr>
          <w:rFonts w:hint="eastAsia" w:ascii="仿宋_GB2312" w:hAnsi="仿宋_GB2312" w:eastAsia="仿宋_GB2312" w:cs="仿宋_GB2312"/>
          <w:sz w:val="32"/>
          <w:szCs w:val="40"/>
          <w:lang w:val="en-US" w:eastAsia="zh-CN"/>
        </w:rPr>
      </w:pPr>
    </w:p>
    <w:p>
      <w:pPr>
        <w:widowControl/>
        <w:adjustRightInd w:val="0"/>
        <w:snapToGrid w:val="0"/>
        <w:spacing w:after="200" w:line="220" w:lineRule="atLeast"/>
        <w:jc w:val="center"/>
        <w:rPr>
          <w:rFonts w:ascii="仿宋" w:hAnsi="仿宋" w:eastAsia="仿宋" w:cs="Times New Roman"/>
          <w:b/>
          <w:color w:val="auto"/>
          <w:kern w:val="0"/>
          <w:sz w:val="36"/>
          <w:szCs w:val="36"/>
          <w:shd w:val="clear" w:color="auto" w:fill="FFFFFF"/>
        </w:rPr>
      </w:pPr>
    </w:p>
    <w:p>
      <w:pPr>
        <w:widowControl/>
        <w:adjustRightInd w:val="0"/>
        <w:snapToGrid w:val="0"/>
        <w:spacing w:after="200" w:line="220" w:lineRule="atLeast"/>
        <w:jc w:val="center"/>
        <w:rPr>
          <w:rFonts w:ascii="仿宋" w:hAnsi="仿宋" w:eastAsia="仿宋" w:cs="Times New Roman"/>
          <w:b/>
          <w:color w:val="auto"/>
          <w:kern w:val="0"/>
          <w:sz w:val="44"/>
          <w:szCs w:val="44"/>
          <w:shd w:val="clear" w:color="auto" w:fill="FFFFFF"/>
        </w:rPr>
      </w:pPr>
      <w:r>
        <w:rPr>
          <w:rFonts w:hint="eastAsia" w:ascii="仿宋" w:hAnsi="仿宋" w:eastAsia="仿宋" w:cs="Times New Roman"/>
          <w:b/>
          <w:color w:val="auto"/>
          <w:kern w:val="0"/>
          <w:sz w:val="44"/>
          <w:szCs w:val="44"/>
          <w:shd w:val="clear" w:color="auto" w:fill="FFFFFF"/>
        </w:rPr>
        <w:t>宜春市富硒产业发展规划</w:t>
      </w:r>
      <w:bookmarkStart w:id="0" w:name="_Toc19692236"/>
      <w:bookmarkStart w:id="1" w:name="_Toc25705009"/>
      <w:r>
        <w:rPr>
          <w:rFonts w:hint="eastAsia" w:ascii="仿宋" w:hAnsi="仿宋" w:eastAsia="仿宋" w:cs="Times New Roman"/>
          <w:b/>
          <w:color w:val="auto"/>
          <w:kern w:val="0"/>
          <w:sz w:val="44"/>
          <w:szCs w:val="44"/>
          <w:shd w:val="clear" w:color="auto" w:fill="FFFFFF"/>
        </w:rPr>
        <w:t>（202</w:t>
      </w:r>
      <w:r>
        <w:rPr>
          <w:rFonts w:ascii="仿宋" w:hAnsi="仿宋" w:eastAsia="仿宋" w:cs="Times New Roman"/>
          <w:b/>
          <w:color w:val="auto"/>
          <w:kern w:val="0"/>
          <w:sz w:val="44"/>
          <w:szCs w:val="44"/>
          <w:shd w:val="clear" w:color="auto" w:fill="FFFFFF"/>
        </w:rPr>
        <w:t>3</w:t>
      </w:r>
      <w:r>
        <w:rPr>
          <w:rFonts w:hint="eastAsia" w:ascii="仿宋" w:hAnsi="仿宋" w:eastAsia="仿宋" w:cs="Times New Roman"/>
          <w:b/>
          <w:color w:val="auto"/>
          <w:kern w:val="0"/>
          <w:sz w:val="44"/>
          <w:szCs w:val="44"/>
          <w:shd w:val="clear" w:color="auto" w:fill="FFFFFF"/>
        </w:rPr>
        <w:t>-20</w:t>
      </w:r>
      <w:r>
        <w:rPr>
          <w:rFonts w:ascii="仿宋" w:hAnsi="仿宋" w:eastAsia="仿宋" w:cs="Times New Roman"/>
          <w:b/>
          <w:color w:val="auto"/>
          <w:kern w:val="0"/>
          <w:sz w:val="44"/>
          <w:szCs w:val="44"/>
          <w:shd w:val="clear" w:color="auto" w:fill="FFFFFF"/>
        </w:rPr>
        <w:t>30</w:t>
      </w:r>
      <w:r>
        <w:rPr>
          <w:rFonts w:hint="eastAsia" w:ascii="仿宋" w:hAnsi="仿宋" w:eastAsia="仿宋" w:cs="Times New Roman"/>
          <w:b/>
          <w:color w:val="auto"/>
          <w:kern w:val="0"/>
          <w:sz w:val="44"/>
          <w:szCs w:val="44"/>
          <w:shd w:val="clear" w:color="auto" w:fill="FFFFFF"/>
        </w:rPr>
        <w:t>年）</w:t>
      </w:r>
      <w:bookmarkEnd w:id="0"/>
      <w:bookmarkEnd w:id="1"/>
    </w:p>
    <w:p>
      <w:pPr>
        <w:widowControl/>
        <w:adjustRightInd w:val="0"/>
        <w:snapToGrid w:val="0"/>
        <w:spacing w:after="200"/>
        <w:jc w:val="center"/>
        <w:rPr>
          <w:rFonts w:ascii="仿宋" w:hAnsi="仿宋" w:eastAsia="仿宋" w:cs="Times New Roman"/>
          <w:b/>
          <w:color w:val="auto"/>
          <w:kern w:val="0"/>
          <w:sz w:val="44"/>
          <w:szCs w:val="44"/>
          <w:shd w:val="clear" w:color="auto" w:fill="FFFFFF"/>
        </w:rPr>
      </w:pPr>
      <w:r>
        <w:rPr>
          <w:rFonts w:ascii="仿宋" w:hAnsi="仿宋" w:eastAsia="仿宋" w:cs="Times New Roman"/>
          <w:b/>
          <w:color w:val="auto"/>
          <w:kern w:val="0"/>
          <w:sz w:val="44"/>
          <w:szCs w:val="44"/>
          <w:shd w:val="clear" w:color="auto" w:fill="FFFFFF"/>
        </w:rPr>
        <w:t>（</w:t>
      </w:r>
      <w:r>
        <w:rPr>
          <w:rFonts w:hint="eastAsia" w:ascii="仿宋" w:hAnsi="仿宋" w:eastAsia="仿宋" w:cs="Times New Roman"/>
          <w:b/>
          <w:color w:val="auto"/>
          <w:kern w:val="0"/>
          <w:sz w:val="44"/>
          <w:szCs w:val="44"/>
          <w:shd w:val="clear" w:color="auto" w:fill="FFFFFF"/>
        </w:rPr>
        <w:t>征求意见稿</w:t>
      </w:r>
      <w:r>
        <w:rPr>
          <w:rFonts w:ascii="仿宋" w:hAnsi="仿宋" w:eastAsia="仿宋" w:cs="Times New Roman"/>
          <w:b/>
          <w:color w:val="auto"/>
          <w:kern w:val="0"/>
          <w:sz w:val="44"/>
          <w:szCs w:val="44"/>
          <w:shd w:val="clear" w:color="auto" w:fill="FFFFFF"/>
        </w:rPr>
        <w:t>）</w:t>
      </w:r>
    </w:p>
    <w:p>
      <w:pPr>
        <w:widowControl/>
        <w:adjustRightInd w:val="0"/>
        <w:snapToGrid w:val="0"/>
        <w:spacing w:after="200"/>
        <w:jc w:val="center"/>
        <w:rPr>
          <w:rFonts w:ascii="仿宋" w:hAnsi="仿宋" w:eastAsia="仿宋" w:cs="Times New Roman"/>
          <w:kern w:val="0"/>
          <w:sz w:val="36"/>
          <w:szCs w:val="36"/>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kern w:val="0"/>
          <w:sz w:val="24"/>
          <w:szCs w:val="22"/>
          <w:shd w:val="clear" w:color="auto" w:fill="FFFFFF"/>
        </w:rPr>
      </w:pPr>
    </w:p>
    <w:p>
      <w:pPr>
        <w:widowControl/>
        <w:adjustRightInd w:val="0"/>
        <w:snapToGrid w:val="0"/>
        <w:spacing w:after="200"/>
        <w:jc w:val="center"/>
        <w:rPr>
          <w:rFonts w:ascii="仿宋" w:hAnsi="仿宋" w:eastAsia="仿宋" w:cs="Times New Roman"/>
          <w:b/>
          <w:kern w:val="0"/>
          <w:sz w:val="32"/>
          <w:szCs w:val="32"/>
          <w:shd w:val="clear" w:color="auto" w:fill="FFFFFF"/>
        </w:rPr>
      </w:pPr>
      <w:r>
        <w:rPr>
          <w:rFonts w:hint="eastAsia" w:ascii="仿宋" w:hAnsi="仿宋" w:eastAsia="仿宋" w:cs="Times New Roman"/>
          <w:b/>
          <w:kern w:val="0"/>
          <w:sz w:val="32"/>
          <w:szCs w:val="32"/>
          <w:shd w:val="clear" w:color="auto" w:fill="FFFFFF"/>
        </w:rPr>
        <w:t>宜春市农业农村局</w:t>
      </w:r>
    </w:p>
    <w:p>
      <w:pPr>
        <w:widowControl/>
        <w:adjustRightInd w:val="0"/>
        <w:snapToGrid w:val="0"/>
        <w:spacing w:after="200"/>
        <w:jc w:val="center"/>
        <w:rPr>
          <w:rFonts w:ascii="仿宋" w:hAnsi="仿宋" w:eastAsia="仿宋" w:cs="Times New Roman"/>
          <w:b/>
          <w:kern w:val="0"/>
          <w:sz w:val="32"/>
          <w:szCs w:val="32"/>
          <w:shd w:val="clear" w:color="auto" w:fill="FFFFFF"/>
        </w:rPr>
      </w:pPr>
      <w:bookmarkStart w:id="2" w:name="_Toc4995"/>
      <w:r>
        <w:rPr>
          <w:rFonts w:hint="eastAsia" w:ascii="仿宋" w:hAnsi="仿宋" w:eastAsia="仿宋" w:cs="Times New Roman"/>
          <w:b/>
          <w:kern w:val="0"/>
          <w:sz w:val="32"/>
          <w:szCs w:val="32"/>
          <w:shd w:val="clear" w:color="auto" w:fill="FFFFFF"/>
        </w:rPr>
        <w:t>江西农业大学富硒农业产业发展研究中心</w:t>
      </w:r>
      <w:bookmarkEnd w:id="2"/>
    </w:p>
    <w:p>
      <w:pPr>
        <w:widowControl/>
        <w:adjustRightInd w:val="0"/>
        <w:snapToGrid w:val="0"/>
        <w:spacing w:after="0" w:line="288" w:lineRule="auto"/>
        <w:jc w:val="center"/>
        <w:rPr>
          <w:rFonts w:hint="default" w:ascii="仿宋" w:hAnsi="仿宋" w:eastAsia="仿宋" w:cs="Times New Roman"/>
          <w:b/>
          <w:kern w:val="0"/>
          <w:sz w:val="36"/>
          <w:szCs w:val="36"/>
          <w:lang w:val="en-US" w:eastAsia="zh-CN"/>
        </w:rPr>
      </w:pPr>
      <w:r>
        <w:rPr>
          <w:rFonts w:hint="eastAsia" w:ascii="仿宋" w:hAnsi="仿宋" w:eastAsia="仿宋" w:cs="Times New Roman"/>
          <w:b/>
          <w:kern w:val="0"/>
          <w:sz w:val="36"/>
          <w:szCs w:val="36"/>
          <w:lang w:val="en-US" w:eastAsia="zh-CN"/>
        </w:rPr>
        <w:t>二零二三年十一月</w:t>
      </w:r>
      <w:bookmarkStart w:id="985" w:name="_GoBack"/>
      <w:bookmarkEnd w:id="985"/>
    </w:p>
    <w:p>
      <w:pPr>
        <w:widowControl/>
        <w:adjustRightInd w:val="0"/>
        <w:snapToGrid w:val="0"/>
        <w:spacing w:after="0" w:line="288" w:lineRule="auto"/>
        <w:jc w:val="center"/>
        <w:rPr>
          <w:rFonts w:ascii="仿宋" w:hAnsi="仿宋" w:eastAsia="仿宋" w:cs="Times New Roman"/>
          <w:b/>
          <w:kern w:val="0"/>
          <w:sz w:val="36"/>
          <w:szCs w:val="36"/>
        </w:rPr>
      </w:pPr>
    </w:p>
    <w:p>
      <w:pPr>
        <w:widowControl/>
        <w:adjustRightInd/>
        <w:snapToGrid/>
        <w:spacing w:after="0"/>
        <w:jc w:val="left"/>
        <w:rPr>
          <w:rFonts w:hint="eastAsia" w:ascii="仿宋" w:hAnsi="仿宋" w:eastAsia="仿宋" w:cs="Times New Roman"/>
          <w:kern w:val="0"/>
          <w:sz w:val="28"/>
          <w:szCs w:val="28"/>
        </w:rPr>
      </w:pPr>
      <w:bookmarkStart w:id="3" w:name="_Toc147314215"/>
      <w:bookmarkStart w:id="4" w:name="_Toc146745791"/>
      <w:bookmarkStart w:id="5" w:name="_Toc151219447"/>
      <w:bookmarkStart w:id="6" w:name="_Toc146742859"/>
      <w:bookmarkStart w:id="7" w:name="_Toc146743201"/>
      <w:bookmarkStart w:id="8" w:name="_Toc147677208"/>
      <w:bookmarkStart w:id="9" w:name="_Toc147505229"/>
      <w:bookmarkStart w:id="10" w:name="_Toc19851"/>
      <w:bookmarkStart w:id="11" w:name="_Toc151751502"/>
      <w:bookmarkStart w:id="12" w:name="_Toc146743007"/>
      <w:bookmarkStart w:id="13" w:name="_Toc149730048"/>
    </w:p>
    <w:p>
      <w:pPr>
        <w:widowControl/>
        <w:adjustRightInd w:val="0"/>
        <w:snapToGrid w:val="0"/>
        <w:spacing w:after="0" w:line="288" w:lineRule="auto"/>
        <w:jc w:val="center"/>
        <w:outlineLvl w:val="0"/>
        <w:rPr>
          <w:rFonts w:ascii="仿宋" w:hAnsi="仿宋" w:eastAsia="仿宋" w:cs="Times New Roman"/>
          <w:b/>
          <w:kern w:val="0"/>
          <w:sz w:val="36"/>
          <w:szCs w:val="36"/>
        </w:rPr>
      </w:pPr>
      <w:r>
        <w:rPr>
          <w:rFonts w:hint="eastAsia" w:ascii="仿宋" w:hAnsi="仿宋" w:eastAsia="仿宋" w:cs="Times New Roman"/>
          <w:b/>
          <w:kern w:val="0"/>
          <w:sz w:val="36"/>
          <w:szCs w:val="36"/>
        </w:rPr>
        <w:t>宜春市富硒产业发展规划（2023-2030年）</w:t>
      </w:r>
      <w:bookmarkEnd w:id="3"/>
      <w:bookmarkEnd w:id="4"/>
      <w:bookmarkEnd w:id="5"/>
      <w:bookmarkEnd w:id="6"/>
      <w:bookmarkEnd w:id="7"/>
      <w:bookmarkEnd w:id="8"/>
      <w:bookmarkEnd w:id="9"/>
      <w:bookmarkEnd w:id="10"/>
      <w:bookmarkEnd w:id="11"/>
      <w:bookmarkEnd w:id="12"/>
      <w:bookmarkEnd w:id="13"/>
    </w:p>
    <w:p>
      <w:pPr>
        <w:widowControl/>
        <w:adjustRightInd w:val="0"/>
        <w:snapToGrid w:val="0"/>
        <w:spacing w:after="0"/>
        <w:jc w:val="center"/>
        <w:rPr>
          <w:rFonts w:ascii="仿宋" w:hAnsi="仿宋" w:eastAsia="仿宋" w:cs="Times New Roman"/>
          <w:b/>
          <w:kern w:val="0"/>
          <w:sz w:val="28"/>
          <w:szCs w:val="28"/>
        </w:rPr>
      </w:pPr>
    </w:p>
    <w:p>
      <w:pPr>
        <w:widowControl/>
        <w:adjustRightInd w:val="0"/>
        <w:snapToGrid w:val="0"/>
        <w:spacing w:after="0"/>
        <w:jc w:val="center"/>
        <w:outlineLvl w:val="0"/>
        <w:rPr>
          <w:rFonts w:ascii="仿宋" w:hAnsi="仿宋" w:eastAsia="仿宋" w:cs="Times New Roman"/>
          <w:b/>
          <w:kern w:val="0"/>
          <w:sz w:val="44"/>
          <w:szCs w:val="44"/>
        </w:rPr>
      </w:pPr>
      <w:bookmarkStart w:id="14" w:name="_Toc23023"/>
      <w:bookmarkStart w:id="15" w:name="_Toc147677209"/>
      <w:bookmarkStart w:id="16" w:name="_Toc151751503"/>
      <w:r>
        <w:rPr>
          <w:rFonts w:hint="eastAsia" w:ascii="仿宋" w:hAnsi="仿宋" w:eastAsia="仿宋" w:cs="Times New Roman"/>
          <w:b/>
          <w:kern w:val="0"/>
          <w:sz w:val="44"/>
          <w:szCs w:val="44"/>
        </w:rPr>
        <w:t>前  言</w:t>
      </w:r>
      <w:bookmarkEnd w:id="14"/>
      <w:bookmarkEnd w:id="15"/>
      <w:bookmarkEnd w:id="16"/>
    </w:p>
    <w:p>
      <w:pPr>
        <w:widowControl/>
        <w:adjustRightInd w:val="0"/>
        <w:snapToGrid w:val="0"/>
        <w:spacing w:after="0"/>
        <w:jc w:val="left"/>
        <w:rPr>
          <w:rFonts w:ascii="仿宋" w:hAnsi="仿宋" w:eastAsia="仿宋" w:cs="Times New Roman"/>
          <w:b/>
          <w:kern w:val="0"/>
          <w:sz w:val="28"/>
          <w:szCs w:val="28"/>
        </w:rPr>
      </w:pPr>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color w:val="000000"/>
          <w:kern w:val="0"/>
          <w:sz w:val="28"/>
          <w:szCs w:val="28"/>
        </w:rPr>
        <w:t>为贯彻落实党的二十大精神和习近平总书记</w:t>
      </w:r>
      <w:r>
        <w:rPr>
          <w:rFonts w:hint="eastAsia" w:ascii="仿宋" w:hAnsi="仿宋" w:eastAsia="仿宋" w:cs="Times New Roman"/>
          <w:color w:val="000000"/>
          <w:kern w:val="0"/>
          <w:sz w:val="28"/>
          <w:szCs w:val="28"/>
          <w:lang w:val="en-US" w:eastAsia="zh-CN"/>
        </w:rPr>
        <w:t>考</w:t>
      </w:r>
      <w:r>
        <w:rPr>
          <w:rFonts w:hint="eastAsia" w:ascii="仿宋" w:hAnsi="仿宋" w:eastAsia="仿宋" w:cs="Times New Roman"/>
          <w:color w:val="000000"/>
          <w:kern w:val="0"/>
          <w:sz w:val="28"/>
          <w:szCs w:val="28"/>
        </w:rPr>
        <w:t>察江西重要指示精神，按照市委市政府有关决策部署要求，加快推进我市富硒产业高质量发展，依据</w:t>
      </w:r>
      <w:r>
        <w:rPr>
          <w:rFonts w:hint="eastAsia" w:ascii="仿宋" w:hAnsi="仿宋" w:eastAsia="仿宋" w:cs="Times New Roman"/>
          <w:kern w:val="0"/>
          <w:sz w:val="28"/>
          <w:szCs w:val="28"/>
        </w:rPr>
        <w:t>《中共中央、国务院关于做好2023年全面推进乡村振兴重点工作的意见》《全国乡村产业发展规划（2020-2025年）》《健康中国行动（2019-2030年）》《江西省现代农业强省建设规划（2015-2025）》《江西省国民经济和社会发展第十四个五年规划和二〇三五年远景目标纲要》《江西省富硒功能农业发展规划（2023-2025 年）》《2023年宜春市富硒产业发展工作要点》《宜春市以富硒产业为引领实施“产业兴市、品牌强市”三年行动方案（2023-2025）年》等文件的部署要求，特编制本规划。</w:t>
      </w:r>
    </w:p>
    <w:p>
      <w:pPr>
        <w:widowControl/>
        <w:adjustRightInd/>
        <w:snapToGrid/>
        <w:spacing w:after="0"/>
        <w:jc w:val="left"/>
        <w:rPr>
          <w:rFonts w:ascii="仿宋" w:hAnsi="仿宋" w:eastAsia="仿宋" w:cs="Times New Roman"/>
          <w:kern w:val="0"/>
          <w:sz w:val="28"/>
          <w:szCs w:val="28"/>
        </w:rPr>
      </w:pPr>
    </w:p>
    <w:p>
      <w:pPr>
        <w:widowControl/>
        <w:adjustRightInd/>
        <w:snapToGrid/>
        <w:spacing w:after="0"/>
        <w:jc w:val="left"/>
        <w:rPr>
          <w:rFonts w:ascii="仿宋" w:hAnsi="仿宋" w:eastAsia="仿宋" w:cs="Times New Roman"/>
          <w:kern w:val="0"/>
          <w:sz w:val="28"/>
          <w:szCs w:val="28"/>
        </w:rPr>
      </w:pPr>
      <w:r>
        <w:rPr>
          <w:rFonts w:ascii="仿宋" w:hAnsi="仿宋" w:eastAsia="仿宋" w:cs="Times New Roman"/>
          <w:kern w:val="0"/>
          <w:sz w:val="28"/>
          <w:szCs w:val="28"/>
        </w:rPr>
        <w:br w:type="page"/>
      </w:r>
    </w:p>
    <w:p>
      <w:pPr>
        <w:widowControl/>
        <w:adjustRightInd/>
        <w:snapToGrid/>
        <w:spacing w:after="0"/>
        <w:jc w:val="left"/>
        <w:rPr>
          <w:rFonts w:ascii="仿宋" w:hAnsi="仿宋" w:eastAsia="仿宋" w:cs="Times New Roman"/>
          <w:kern w:val="0"/>
          <w:sz w:val="28"/>
          <w:szCs w:val="28"/>
        </w:rPr>
      </w:pPr>
    </w:p>
    <w:p>
      <w:pPr>
        <w:widowControl/>
        <w:adjustRightInd w:val="0"/>
        <w:snapToGrid w:val="0"/>
        <w:spacing w:after="312" w:afterLines="100"/>
        <w:jc w:val="center"/>
        <w:outlineLvl w:val="0"/>
        <w:rPr>
          <w:rFonts w:ascii="仿宋" w:hAnsi="仿宋" w:eastAsia="仿宋" w:cs="Times New Roman"/>
          <w:b/>
          <w:bCs/>
          <w:kern w:val="0"/>
          <w:sz w:val="36"/>
          <w:szCs w:val="36"/>
        </w:rPr>
      </w:pPr>
      <w:bookmarkStart w:id="17" w:name="_Toc151751504"/>
      <w:bookmarkStart w:id="18" w:name="_Toc25768"/>
      <w:bookmarkStart w:id="19" w:name="_Toc147677210"/>
      <w:r>
        <w:rPr>
          <w:rFonts w:hint="eastAsia" w:ascii="仿宋" w:hAnsi="仿宋" w:eastAsia="仿宋" w:cs="Times New Roman"/>
          <w:b/>
          <w:bCs/>
          <w:kern w:val="0"/>
          <w:sz w:val="36"/>
          <w:szCs w:val="36"/>
        </w:rPr>
        <w:t>第一章 规划背景</w:t>
      </w:r>
      <w:bookmarkEnd w:id="17"/>
    </w:p>
    <w:bookmarkEnd w:id="18"/>
    <w:bookmarkEnd w:id="19"/>
    <w:p>
      <w:pPr>
        <w:widowControl/>
        <w:adjustRightInd w:val="0"/>
        <w:snapToGrid w:val="0"/>
        <w:spacing w:after="0" w:line="560" w:lineRule="exact"/>
        <w:ind w:firstLine="560" w:firstLineChars="200"/>
        <w:contextualSpacing/>
        <w:jc w:val="both"/>
        <w:rPr>
          <w:rFonts w:ascii="仿宋" w:hAnsi="仿宋" w:eastAsia="仿宋" w:cs="Times New Roman"/>
          <w:kern w:val="0"/>
          <w:sz w:val="28"/>
          <w:szCs w:val="28"/>
        </w:rPr>
      </w:pPr>
      <w:r>
        <w:rPr>
          <w:rFonts w:hint="eastAsia" w:ascii="仿宋" w:hAnsi="仿宋" w:eastAsia="仿宋" w:cs="Times New Roman"/>
          <w:color w:val="000000"/>
          <w:kern w:val="0"/>
          <w:sz w:val="28"/>
          <w:szCs w:val="28"/>
        </w:rPr>
        <w:t>上轮规划的实施让宜春富硒产业从探索、培育的起步阶段，进入到快速发展的新时期，呈现出朝气蓬勃、欣欣向荣的新局面。</w:t>
      </w:r>
      <w:r>
        <w:rPr>
          <w:rFonts w:hint="eastAsia" w:ascii="仿宋" w:hAnsi="仿宋" w:eastAsia="仿宋" w:cs="Times New Roman"/>
          <w:kern w:val="0"/>
          <w:sz w:val="28"/>
          <w:szCs w:val="28"/>
        </w:rPr>
        <w:t>随着国家、省、市政策红利的释放，发展富硒产业正当其时、正逢其势，宜春市应抢抓机遇、乘势而上，抢占富硒产业发展新赛道，加快推动富硒产业再上新台阶。宜春市“三农”工作应紧紧把握新发展阶段、贯彻新发展理念，构建新发展格局，围绕“示范走在前、全国勇争先”目标、全面落实</w:t>
      </w:r>
      <w:r>
        <w:rPr>
          <w:rFonts w:ascii="仿宋" w:hAnsi="仿宋" w:eastAsia="仿宋" w:cs="Times New Roman"/>
          <w:kern w:val="0"/>
          <w:sz w:val="28"/>
          <w:szCs w:val="28"/>
        </w:rPr>
        <w:t>富硒产业</w:t>
      </w:r>
      <w:r>
        <w:rPr>
          <w:rFonts w:hint="eastAsia" w:ascii="仿宋" w:hAnsi="仿宋" w:eastAsia="仿宋" w:cs="Times New Roman"/>
          <w:kern w:val="0"/>
          <w:sz w:val="28"/>
          <w:szCs w:val="28"/>
        </w:rPr>
        <w:t>发展</w:t>
      </w:r>
      <w:r>
        <w:rPr>
          <w:rFonts w:ascii="仿宋" w:hAnsi="仿宋" w:eastAsia="仿宋" w:cs="Times New Roman"/>
          <w:kern w:val="0"/>
          <w:sz w:val="28"/>
          <w:szCs w:val="28"/>
        </w:rPr>
        <w:t>定位</w:t>
      </w:r>
      <w:r>
        <w:rPr>
          <w:rFonts w:hint="eastAsia" w:ascii="仿宋" w:hAnsi="仿宋" w:eastAsia="仿宋" w:cs="Times New Roman"/>
          <w:kern w:val="0"/>
          <w:sz w:val="28"/>
          <w:szCs w:val="28"/>
        </w:rPr>
        <w:t>、全面实施乡村振兴战略和健康中国战略，以发展富硒产业为抓手，创新引领、改革攻坚、稳中求进、依托富硒土壤资源禀赋和区位</w:t>
      </w:r>
      <w:r>
        <w:rPr>
          <w:rFonts w:ascii="仿宋" w:hAnsi="仿宋" w:eastAsia="仿宋" w:cs="Times New Roman"/>
          <w:kern w:val="0"/>
          <w:sz w:val="28"/>
          <w:szCs w:val="28"/>
        </w:rPr>
        <w:t>优势，</w:t>
      </w:r>
      <w:r>
        <w:rPr>
          <w:rFonts w:hint="eastAsia" w:ascii="仿宋" w:hAnsi="仿宋" w:eastAsia="仿宋" w:cs="Times New Roman"/>
          <w:kern w:val="0"/>
          <w:sz w:val="28"/>
          <w:szCs w:val="28"/>
        </w:rPr>
        <w:t>努力形成“谋发展、比实干、走在前、勇争先”的良好氛围，</w:t>
      </w:r>
      <w:r>
        <w:rPr>
          <w:rFonts w:ascii="仿宋" w:hAnsi="仿宋" w:eastAsia="仿宋" w:cs="Times New Roman"/>
          <w:kern w:val="0"/>
          <w:sz w:val="28"/>
          <w:szCs w:val="28"/>
        </w:rPr>
        <w:t>在</w:t>
      </w:r>
      <w:r>
        <w:rPr>
          <w:rFonts w:hint="eastAsia" w:ascii="仿宋" w:hAnsi="仿宋" w:eastAsia="仿宋" w:cs="Times New Roman"/>
          <w:kern w:val="0"/>
          <w:sz w:val="28"/>
          <w:szCs w:val="28"/>
        </w:rPr>
        <w:t>新时代区域</w:t>
      </w:r>
      <w:r>
        <w:rPr>
          <w:rFonts w:ascii="仿宋" w:hAnsi="仿宋" w:eastAsia="仿宋" w:cs="Times New Roman"/>
          <w:kern w:val="0"/>
          <w:sz w:val="28"/>
          <w:szCs w:val="28"/>
        </w:rPr>
        <w:t>经济竞争和战略布局中抢占先机</w:t>
      </w:r>
      <w:r>
        <w:rPr>
          <w:rFonts w:hint="eastAsia" w:ascii="仿宋" w:hAnsi="仿宋" w:eastAsia="仿宋" w:cs="Times New Roman"/>
          <w:kern w:val="0"/>
          <w:sz w:val="28"/>
          <w:szCs w:val="28"/>
        </w:rPr>
        <w:t>。</w:t>
      </w: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20" w:name="_Toc151751505"/>
      <w:bookmarkStart w:id="21" w:name="_Toc147677228"/>
      <w:bookmarkStart w:id="22" w:name="_Toc13999"/>
      <w:r>
        <w:rPr>
          <w:rFonts w:hint="eastAsia" w:ascii="仿宋" w:hAnsi="仿宋" w:eastAsia="仿宋" w:cs="Times New Roman"/>
          <w:b/>
          <w:bCs/>
          <w:kern w:val="0"/>
          <w:sz w:val="32"/>
          <w:szCs w:val="32"/>
        </w:rPr>
        <w:t>第一节  发展形势</w:t>
      </w:r>
      <w:bookmarkEnd w:id="20"/>
    </w:p>
    <w:p>
      <w:pPr>
        <w:keepNext/>
        <w:keepLines/>
        <w:adjustRightInd w:val="0"/>
        <w:snapToGrid w:val="0"/>
        <w:spacing w:before="0" w:after="0" w:line="560" w:lineRule="exact"/>
        <w:ind w:firstLine="562" w:firstLineChars="200"/>
        <w:outlineLvl w:val="2"/>
        <w:rPr>
          <w:rFonts w:ascii="仿宋" w:hAnsi="仿宋" w:eastAsia="仿宋" w:cs="Times New Roman"/>
          <w:b/>
          <w:bCs/>
          <w:color w:val="000000"/>
          <w:sz w:val="28"/>
          <w:szCs w:val="28"/>
          <w:lang w:val="en-US" w:eastAsia="zh-CN" w:bidi="ar-SA"/>
        </w:rPr>
      </w:pPr>
      <w:bookmarkStart w:id="23" w:name="_Toc151751506"/>
      <w:r>
        <w:rPr>
          <w:rFonts w:hint="eastAsia" w:ascii="仿宋" w:hAnsi="仿宋" w:eastAsia="仿宋" w:cs="Times New Roman"/>
          <w:b/>
          <w:bCs/>
          <w:color w:val="000000"/>
          <w:sz w:val="28"/>
          <w:szCs w:val="28"/>
          <w:lang w:val="en-US" w:eastAsia="zh-CN" w:bidi="ar-SA"/>
        </w:rPr>
        <w:t>一、发展优势</w:t>
      </w:r>
      <w:bookmarkEnd w:id="23"/>
    </w:p>
    <w:bookmarkEnd w:id="21"/>
    <w:bookmarkEnd w:id="22"/>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24" w:name="_Toc19692316"/>
      <w:bookmarkStart w:id="25" w:name="_Toc145858113"/>
      <w:bookmarkStart w:id="26" w:name="_Toc25705090"/>
      <w:bookmarkStart w:id="27" w:name="_Toc80624743"/>
      <w:bookmarkStart w:id="28" w:name="_Toc703"/>
      <w:bookmarkStart w:id="29" w:name="_Toc17150459"/>
      <w:bookmarkStart w:id="30" w:name="_Toc144921079"/>
      <w:bookmarkStart w:id="31" w:name="_Toc19567287"/>
      <w:bookmarkStart w:id="32" w:name="_Toc98793909"/>
      <w:bookmarkStart w:id="33" w:name="_Toc19566997"/>
      <w:bookmarkStart w:id="34" w:name="_Toc151219470"/>
      <w:bookmarkStart w:id="35" w:name="_Toc147677231"/>
      <w:bookmarkStart w:id="36" w:name="_Toc147505252"/>
      <w:bookmarkStart w:id="37" w:name="_Toc146743030"/>
      <w:bookmarkStart w:id="38" w:name="_Toc147314238"/>
      <w:bookmarkStart w:id="39" w:name="_Toc146745814"/>
      <w:bookmarkStart w:id="40" w:name="_Toc146742882"/>
      <w:bookmarkStart w:id="41" w:name="_Toc146743224"/>
      <w:bookmarkStart w:id="42" w:name="_Toc149730071"/>
      <w:bookmarkStart w:id="43" w:name="_Toc459633904"/>
      <w:r>
        <w:rPr>
          <w:rFonts w:hint="eastAsia" w:ascii="仿宋" w:hAnsi="仿宋" w:eastAsia="仿宋" w:cs="Times New Roman"/>
          <w:b/>
          <w:bCs/>
          <w:kern w:val="0"/>
          <w:sz w:val="28"/>
          <w:szCs w:val="28"/>
        </w:rPr>
        <w:t>区位优势</w:t>
      </w:r>
      <w:bookmarkEnd w:id="24"/>
      <w:bookmarkEnd w:id="25"/>
      <w:bookmarkEnd w:id="26"/>
      <w:bookmarkEnd w:id="27"/>
      <w:bookmarkEnd w:id="28"/>
      <w:bookmarkEnd w:id="29"/>
      <w:bookmarkEnd w:id="30"/>
      <w:bookmarkEnd w:id="31"/>
      <w:bookmarkEnd w:id="32"/>
      <w:bookmarkEnd w:id="33"/>
      <w:r>
        <w:rPr>
          <w:rFonts w:hint="eastAsia" w:ascii="仿宋" w:hAnsi="仿宋" w:eastAsia="仿宋" w:cs="Times New Roman"/>
          <w:b/>
          <w:bCs/>
          <w:kern w:val="0"/>
          <w:sz w:val="28"/>
          <w:szCs w:val="28"/>
        </w:rPr>
        <w:t>明显</w:t>
      </w:r>
      <w:bookmarkEnd w:id="34"/>
      <w:bookmarkEnd w:id="35"/>
      <w:bookmarkEnd w:id="36"/>
      <w:bookmarkEnd w:id="37"/>
      <w:bookmarkEnd w:id="38"/>
      <w:bookmarkEnd w:id="39"/>
      <w:bookmarkEnd w:id="40"/>
      <w:bookmarkEnd w:id="41"/>
      <w:bookmarkEnd w:id="42"/>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市临近南昌、长沙、武汉三个重要的省会城市，拥有高铁、公路和机场等完善的交通运输体系，融入到两个我国最发达经济区五小时经济圈；便捷的陆空交通网络使宜春市成为南昌市对外辐射的关键节点，构建了南昌市增长极向赣西南辐射的重要基础，是江西省“联通东西、承接南北”的重要战略区位城市。</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bCs/>
          <w:kern w:val="0"/>
          <w:sz w:val="28"/>
          <w:szCs w:val="28"/>
        </w:rPr>
        <w:t>富硒资源丰富。</w:t>
      </w:r>
      <w:r>
        <w:rPr>
          <w:rFonts w:hint="eastAsia" w:ascii="仿宋" w:hAnsi="仿宋" w:eastAsia="仿宋" w:cs="Times New Roman"/>
          <w:kern w:val="0"/>
          <w:sz w:val="28"/>
          <w:szCs w:val="28"/>
        </w:rPr>
        <w:t>宜春市富硒土壤面积</w:t>
      </w:r>
      <w:r>
        <w:rPr>
          <w:rFonts w:ascii="仿宋" w:hAnsi="仿宋" w:eastAsia="仿宋" w:cs="Times New Roman"/>
          <w:kern w:val="0"/>
          <w:sz w:val="28"/>
          <w:szCs w:val="28"/>
        </w:rPr>
        <w:t>780</w:t>
      </w:r>
      <w:r>
        <w:rPr>
          <w:rFonts w:hint="eastAsia" w:ascii="仿宋" w:hAnsi="仿宋" w:eastAsia="仿宋" w:cs="Times New Roman"/>
          <w:kern w:val="0"/>
          <w:sz w:val="28"/>
          <w:szCs w:val="28"/>
        </w:rPr>
        <w:t>万亩，潜在富硒土壤面积</w:t>
      </w:r>
      <w:r>
        <w:rPr>
          <w:rFonts w:ascii="仿宋" w:hAnsi="仿宋" w:eastAsia="仿宋" w:cs="Times New Roman"/>
          <w:kern w:val="0"/>
          <w:sz w:val="28"/>
          <w:szCs w:val="28"/>
        </w:rPr>
        <w:t>765</w:t>
      </w:r>
      <w:r>
        <w:rPr>
          <w:rFonts w:hint="eastAsia" w:ascii="仿宋" w:hAnsi="仿宋" w:eastAsia="仿宋" w:cs="Times New Roman"/>
          <w:kern w:val="0"/>
          <w:sz w:val="28"/>
          <w:szCs w:val="28"/>
        </w:rPr>
        <w:t>万亩。东南部平原地带土地利用类型以耕地、园地为主，是永久基本农田的集中分布区域，土壤清洁安全，不受生态保护红线限制，极适宜开展富硒农业布局</w:t>
      </w:r>
      <w:r>
        <w:rPr>
          <w:rFonts w:ascii="仿宋" w:hAnsi="仿宋" w:eastAsia="仿宋" w:cs="Times New Roman"/>
          <w:kern w:val="0"/>
          <w:sz w:val="28"/>
          <w:szCs w:val="28"/>
        </w:rPr>
        <w:t>。宜春明月山地区水样总硒含量水平远远高于全球淡水含硒量，低于饮用天然矿泉水标准中硒的限界值10ug</w:t>
      </w:r>
      <w:r>
        <w:rPr>
          <w:rFonts w:hint="eastAsia" w:ascii="仿宋" w:hAnsi="仿宋" w:eastAsia="仿宋" w:cs="Times New Roman"/>
          <w:kern w:val="0"/>
          <w:sz w:val="28"/>
          <w:szCs w:val="28"/>
        </w:rPr>
        <w:t>/</w:t>
      </w:r>
      <w:r>
        <w:rPr>
          <w:rFonts w:ascii="仿宋" w:hAnsi="仿宋" w:eastAsia="仿宋" w:cs="Times New Roman"/>
          <w:kern w:val="0"/>
          <w:sz w:val="28"/>
          <w:szCs w:val="28"/>
        </w:rPr>
        <w:t>L</w:t>
      </w:r>
      <w:r>
        <w:rPr>
          <w:rFonts w:hint="eastAsia" w:ascii="仿宋" w:hAnsi="仿宋" w:eastAsia="仿宋" w:cs="Times New Roman"/>
          <w:kern w:val="0"/>
          <w:sz w:val="28"/>
          <w:szCs w:val="28"/>
        </w:rPr>
        <w:t>，为促进富硒康养产业发展提供了坚实的天然资源条件。</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44" w:name="_Toc25705094"/>
      <w:bookmarkStart w:id="45" w:name="_Toc80624745"/>
      <w:bookmarkStart w:id="46" w:name="_Toc19567001"/>
      <w:bookmarkStart w:id="47" w:name="_Toc17150463"/>
      <w:bookmarkStart w:id="48" w:name="_Toc19567291"/>
      <w:bookmarkStart w:id="49" w:name="_Toc19692320"/>
      <w:bookmarkStart w:id="50" w:name="_Toc147314240"/>
      <w:bookmarkStart w:id="51" w:name="_Toc151219472"/>
      <w:bookmarkStart w:id="52" w:name="_Toc147677233"/>
      <w:bookmarkStart w:id="53" w:name="_Toc147505254"/>
      <w:bookmarkStart w:id="54" w:name="_Toc145858115"/>
      <w:bookmarkStart w:id="55" w:name="_Toc4538"/>
      <w:bookmarkStart w:id="56" w:name="_Toc146745816"/>
      <w:bookmarkStart w:id="57" w:name="_Toc146743226"/>
      <w:bookmarkStart w:id="58" w:name="_Toc146742884"/>
      <w:bookmarkStart w:id="59" w:name="_Toc149730073"/>
      <w:bookmarkStart w:id="60" w:name="_Toc144921081"/>
      <w:bookmarkStart w:id="61" w:name="_Toc98793911"/>
      <w:bookmarkStart w:id="62" w:name="_Toc146743032"/>
      <w:r>
        <w:rPr>
          <w:rFonts w:hint="eastAsia" w:ascii="仿宋" w:hAnsi="仿宋" w:eastAsia="仿宋" w:cs="Times New Roman"/>
          <w:b/>
          <w:bCs/>
          <w:kern w:val="0"/>
          <w:sz w:val="28"/>
          <w:szCs w:val="28"/>
        </w:rPr>
        <w:t>产业基础</w:t>
      </w:r>
      <w:bookmarkEnd w:id="44"/>
      <w:bookmarkEnd w:id="45"/>
      <w:bookmarkEnd w:id="46"/>
      <w:bookmarkEnd w:id="47"/>
      <w:bookmarkEnd w:id="48"/>
      <w:bookmarkEnd w:id="49"/>
      <w:r>
        <w:rPr>
          <w:rFonts w:hint="eastAsia" w:ascii="仿宋" w:hAnsi="仿宋" w:eastAsia="仿宋" w:cs="Times New Roman"/>
          <w:b/>
          <w:bCs/>
          <w:kern w:val="0"/>
          <w:sz w:val="28"/>
          <w:szCs w:val="28"/>
        </w:rPr>
        <w:t>扎实</w:t>
      </w:r>
      <w:bookmarkEnd w:id="50"/>
      <w:bookmarkEnd w:id="51"/>
      <w:bookmarkEnd w:id="52"/>
      <w:bookmarkEnd w:id="53"/>
      <w:bookmarkEnd w:id="54"/>
      <w:bookmarkEnd w:id="55"/>
      <w:bookmarkEnd w:id="56"/>
      <w:bookmarkEnd w:id="57"/>
      <w:bookmarkEnd w:id="58"/>
      <w:bookmarkEnd w:id="59"/>
      <w:bookmarkEnd w:id="60"/>
      <w:bookmarkEnd w:id="61"/>
      <w:bookmarkEnd w:id="62"/>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全市已建成各类富硒农产品基地面积208.9万亩，累计认定市级富硒产业示范基地262个；已有各类富硒经营主体449家，其中国家级涉硒龙头企业5家、省级龙头企业68家；现有注册富硒农产品商标260个，通过“两品一标”认证富硒农产品502个；</w:t>
      </w:r>
      <w:r>
        <w:rPr>
          <w:rFonts w:ascii="仿宋" w:hAnsi="仿宋" w:eastAsia="仿宋" w:cs="Times New Roman"/>
          <w:kern w:val="0"/>
          <w:sz w:val="28"/>
          <w:szCs w:val="28"/>
        </w:rPr>
        <w:t>共有</w:t>
      </w:r>
      <w:r>
        <w:rPr>
          <w:rFonts w:hint="eastAsia" w:ascii="仿宋" w:hAnsi="仿宋" w:eastAsia="仿宋" w:cs="Times New Roman"/>
          <w:kern w:val="0"/>
          <w:sz w:val="28"/>
          <w:szCs w:val="28"/>
        </w:rPr>
        <w:t>8个地方标准、</w:t>
      </w:r>
      <w:r>
        <w:rPr>
          <w:rFonts w:ascii="仿宋" w:hAnsi="仿宋" w:eastAsia="仿宋" w:cs="Times New Roman"/>
          <w:kern w:val="0"/>
          <w:sz w:val="28"/>
          <w:szCs w:val="28"/>
        </w:rPr>
        <w:t>7</w:t>
      </w:r>
      <w:r>
        <w:rPr>
          <w:rFonts w:hint="eastAsia" w:ascii="仿宋" w:hAnsi="仿宋" w:eastAsia="仿宋" w:cs="Times New Roman"/>
          <w:kern w:val="0"/>
          <w:sz w:val="28"/>
          <w:szCs w:val="28"/>
        </w:rPr>
        <w:t>个团体标准、1个行业标准；富硒产业产值综合突破6</w:t>
      </w:r>
      <w:r>
        <w:rPr>
          <w:rFonts w:ascii="仿宋" w:hAnsi="仿宋" w:eastAsia="仿宋" w:cs="Times New Roman"/>
          <w:kern w:val="0"/>
          <w:sz w:val="28"/>
          <w:szCs w:val="28"/>
        </w:rPr>
        <w:t>10</w:t>
      </w:r>
      <w:r>
        <w:rPr>
          <w:rFonts w:hint="eastAsia" w:ascii="仿宋" w:hAnsi="仿宋" w:eastAsia="仿宋" w:cs="Times New Roman"/>
          <w:kern w:val="0"/>
          <w:sz w:val="28"/>
          <w:szCs w:val="28"/>
        </w:rPr>
        <w:t>亿元；先后创建省级富硒科研创新平台7个。</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63" w:name="_Toc147505255"/>
      <w:bookmarkStart w:id="64" w:name="_Toc19567002"/>
      <w:bookmarkStart w:id="65" w:name="_Toc146743033"/>
      <w:bookmarkStart w:id="66" w:name="_Toc146745817"/>
      <w:bookmarkStart w:id="67" w:name="_Toc147677234"/>
      <w:bookmarkStart w:id="68" w:name="_Toc98793912"/>
      <w:bookmarkStart w:id="69" w:name="_Toc17150464"/>
      <w:bookmarkStart w:id="70" w:name="_Toc19567292"/>
      <w:bookmarkStart w:id="71" w:name="_Toc147314241"/>
      <w:bookmarkStart w:id="72" w:name="_Toc145858116"/>
      <w:bookmarkStart w:id="73" w:name="_Toc144921082"/>
      <w:bookmarkStart w:id="74" w:name="_Toc146742885"/>
      <w:bookmarkStart w:id="75" w:name="_Toc27559"/>
      <w:bookmarkStart w:id="76" w:name="_Toc151219473"/>
      <w:bookmarkStart w:id="77" w:name="_Toc149730074"/>
      <w:bookmarkStart w:id="78" w:name="_Toc25705095"/>
      <w:bookmarkStart w:id="79" w:name="_Toc80624746"/>
      <w:bookmarkStart w:id="80" w:name="_Toc19692321"/>
      <w:bookmarkStart w:id="81" w:name="_Toc146743227"/>
      <w:r>
        <w:rPr>
          <w:rFonts w:hint="eastAsia" w:ascii="仿宋" w:hAnsi="仿宋" w:eastAsia="仿宋" w:cs="Times New Roman"/>
          <w:b/>
          <w:bCs/>
          <w:kern w:val="0"/>
          <w:sz w:val="28"/>
          <w:szCs w:val="28"/>
        </w:rPr>
        <w:t>生态环境优美</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素有“山明水秀，土沃泉甘，其气如春，四时咸宜”之称。全市森林覆盖率57.12%，现有3个国家级生态县，29个国家级、省级森林公园、自然保护区和旅游景区，其中明月山风景名胜区是国家5A级旅游景区。先后获中国宜居城市、中国优秀旅游城市、全国绿化模范城市、国家森林城市等称号。“莫以宜春远，江山多胜游”，各色生态资源与历史文化交相辉映，为宜春“硒+X”产业发展、促进三产融合提供了丰富的载体。</w:t>
      </w:r>
    </w:p>
    <w:p>
      <w:pPr>
        <w:keepNext/>
        <w:keepLines/>
        <w:adjustRightInd w:val="0"/>
        <w:snapToGrid w:val="0"/>
        <w:spacing w:before="0" w:after="0" w:line="560" w:lineRule="exact"/>
        <w:ind w:firstLine="562" w:firstLineChars="200"/>
        <w:outlineLvl w:val="2"/>
        <w:rPr>
          <w:rFonts w:ascii="仿宋" w:hAnsi="仿宋" w:eastAsia="仿宋" w:cs="Times New Roman"/>
          <w:b/>
          <w:bCs/>
          <w:color w:val="000000"/>
          <w:sz w:val="28"/>
          <w:szCs w:val="28"/>
          <w:lang w:val="en-US" w:eastAsia="zh-CN" w:bidi="ar-SA"/>
        </w:rPr>
      </w:pPr>
      <w:bookmarkStart w:id="82" w:name="_Toc151751507"/>
      <w:bookmarkStart w:id="83" w:name="_Toc467614920"/>
      <w:bookmarkStart w:id="84" w:name="_Toc149730075"/>
      <w:bookmarkStart w:id="85" w:name="_Toc467615175"/>
      <w:bookmarkStart w:id="86" w:name="_Toc145858118"/>
      <w:bookmarkStart w:id="87" w:name="_Toc467706404"/>
      <w:bookmarkStart w:id="88" w:name="_Toc468289119"/>
      <w:bookmarkStart w:id="89" w:name="_Toc461146945"/>
      <w:bookmarkStart w:id="90" w:name="_Toc19567005"/>
      <w:bookmarkStart w:id="91" w:name="_Toc462220213"/>
      <w:bookmarkStart w:id="92" w:name="_Toc19567295"/>
      <w:bookmarkStart w:id="93" w:name="_Toc144921084"/>
      <w:bookmarkStart w:id="94" w:name="_Toc146743034"/>
      <w:bookmarkStart w:id="95" w:name="_Toc147677235"/>
      <w:bookmarkStart w:id="96" w:name="_Toc147314242"/>
      <w:bookmarkStart w:id="97" w:name="_Toc146742886"/>
      <w:bookmarkStart w:id="98" w:name="_Toc80624748"/>
      <w:bookmarkStart w:id="99" w:name="_Toc471505691"/>
      <w:bookmarkStart w:id="100" w:name="_Toc19692324"/>
      <w:bookmarkStart w:id="101" w:name="_Toc25705098"/>
      <w:bookmarkStart w:id="102" w:name="_Toc17150467"/>
      <w:bookmarkStart w:id="103" w:name="_Toc151219474"/>
      <w:bookmarkStart w:id="104" w:name="_Toc146743228"/>
      <w:bookmarkStart w:id="105" w:name="_Toc146745818"/>
      <w:bookmarkStart w:id="106" w:name="_Toc147505256"/>
      <w:bookmarkStart w:id="107" w:name="_Toc467615515"/>
      <w:bookmarkStart w:id="108" w:name="_Toc4124"/>
      <w:bookmarkStart w:id="109" w:name="_Toc468290412"/>
      <w:bookmarkStart w:id="110" w:name="_Toc468350396"/>
      <w:r>
        <w:rPr>
          <w:rFonts w:hint="eastAsia" w:ascii="仿宋" w:hAnsi="仿宋" w:eastAsia="仿宋" w:cs="Times New Roman"/>
          <w:b/>
          <w:bCs/>
          <w:color w:val="000000"/>
          <w:sz w:val="28"/>
          <w:szCs w:val="28"/>
          <w:lang w:val="en-US" w:eastAsia="zh-CN" w:bidi="ar-SA"/>
        </w:rPr>
        <w:t>二、发展劣势</w:t>
      </w:r>
      <w:bookmarkEnd w:id="82"/>
    </w:p>
    <w:bookmarkEnd w:id="4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111" w:name="_Toc147505257"/>
      <w:bookmarkStart w:id="112" w:name="_Toc151219475"/>
      <w:bookmarkStart w:id="113" w:name="_Toc149730076"/>
      <w:bookmarkStart w:id="114" w:name="_Toc147677236"/>
      <w:bookmarkStart w:id="115" w:name="_Toc25705099"/>
      <w:bookmarkStart w:id="116" w:name="_Toc80624749"/>
      <w:bookmarkStart w:id="117" w:name="_Toc144921085"/>
      <w:bookmarkStart w:id="118" w:name="_Toc17150468"/>
      <w:bookmarkStart w:id="119" w:name="_Toc19567296"/>
      <w:bookmarkStart w:id="120" w:name="_Toc145858119"/>
      <w:bookmarkStart w:id="121" w:name="_Toc98793915"/>
      <w:bookmarkStart w:id="122" w:name="_Toc19567006"/>
      <w:bookmarkStart w:id="123" w:name="_Toc19692325"/>
      <w:bookmarkStart w:id="124" w:name="_Toc19567011"/>
      <w:bookmarkStart w:id="125" w:name="_Toc462220214"/>
      <w:bookmarkStart w:id="126" w:name="_Toc471505692"/>
      <w:bookmarkStart w:id="127" w:name="_Toc25705104"/>
      <w:bookmarkStart w:id="128" w:name="_Toc19692330"/>
      <w:bookmarkStart w:id="129" w:name="_Toc467615516"/>
      <w:bookmarkStart w:id="130" w:name="_Toc467615176"/>
      <w:bookmarkStart w:id="131" w:name="_Toc19567301"/>
      <w:bookmarkStart w:id="132" w:name="_Toc468290413"/>
      <w:bookmarkStart w:id="133" w:name="_Toc17150473"/>
      <w:bookmarkStart w:id="134" w:name="_Toc80624754"/>
      <w:bookmarkStart w:id="135" w:name="_Toc467706405"/>
      <w:r>
        <w:rPr>
          <w:rFonts w:hint="eastAsia" w:ascii="仿宋" w:hAnsi="仿宋" w:eastAsia="仿宋" w:cs="Times New Roman"/>
          <w:b/>
          <w:bCs/>
          <w:kern w:val="0"/>
          <w:sz w:val="28"/>
          <w:szCs w:val="28"/>
        </w:rPr>
        <w:t>硒土资源开发不足，产业发展组织松散</w:t>
      </w:r>
      <w:bookmarkEnd w:id="111"/>
      <w:bookmarkEnd w:id="112"/>
      <w:bookmarkEnd w:id="113"/>
      <w:bookmarkEnd w:id="114"/>
      <w:bookmarkStart w:id="136" w:name="_Toc22979"/>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宜春市已经建富硒产业基地面积仅占富硒土壤面积的</w:t>
      </w:r>
      <w:r>
        <w:rPr>
          <w:rFonts w:ascii="仿宋" w:hAnsi="仿宋" w:eastAsia="仿宋" w:cs="Times New Roman"/>
          <w:kern w:val="0"/>
          <w:sz w:val="28"/>
          <w:szCs w:val="28"/>
        </w:rPr>
        <w:t>26.78%</w:t>
      </w:r>
      <w:r>
        <w:rPr>
          <w:rFonts w:hint="eastAsia" w:ascii="仿宋" w:hAnsi="仿宋" w:eastAsia="仿宋" w:cs="Times New Roman"/>
          <w:kern w:val="0"/>
          <w:sz w:val="28"/>
          <w:szCs w:val="28"/>
        </w:rPr>
        <w:t>，还存在大面积可以开发利用的富硒土壤资源。在推动富硒产业发展过程中，市县联动不够紧密，</w:t>
      </w:r>
      <w:bookmarkStart w:id="137" w:name="OLE_LINK27"/>
      <w:bookmarkStart w:id="138" w:name="OLE_LINK26"/>
      <w:r>
        <w:rPr>
          <w:rFonts w:hint="eastAsia" w:ascii="仿宋" w:hAnsi="仿宋" w:eastAsia="仿宋" w:cs="Times New Roman"/>
          <w:kern w:val="0"/>
          <w:sz w:val="28"/>
          <w:szCs w:val="28"/>
        </w:rPr>
        <w:t>部分地区对富硒产业发展信心不足、持观望态度，个别地方尚未编制富硒产业发展规划，缺乏顶层设计和有效推动</w:t>
      </w:r>
      <w:bookmarkEnd w:id="137"/>
      <w:bookmarkEnd w:id="138"/>
      <w:r>
        <w:rPr>
          <w:rFonts w:hint="eastAsia" w:ascii="仿宋" w:hAnsi="仿宋" w:eastAsia="仿宋" w:cs="Times New Roman"/>
          <w:kern w:val="0"/>
          <w:sz w:val="28"/>
          <w:szCs w:val="28"/>
        </w:rPr>
        <w:t>。</w:t>
      </w:r>
      <w:bookmarkEnd w:id="136"/>
    </w:p>
    <w:bookmarkEnd w:id="115"/>
    <w:bookmarkEnd w:id="116"/>
    <w:bookmarkEnd w:id="117"/>
    <w:bookmarkEnd w:id="118"/>
    <w:bookmarkEnd w:id="119"/>
    <w:bookmarkEnd w:id="120"/>
    <w:bookmarkEnd w:id="121"/>
    <w:bookmarkEnd w:id="122"/>
    <w:bookmarkEnd w:id="123"/>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139" w:name="_Toc147505258"/>
      <w:bookmarkStart w:id="140" w:name="_Toc151219476"/>
      <w:bookmarkStart w:id="141" w:name="_Toc149730077"/>
      <w:bookmarkStart w:id="142" w:name="_Toc147677237"/>
      <w:bookmarkStart w:id="143" w:name="_Toc19567297"/>
      <w:bookmarkStart w:id="144" w:name="_Toc145858120"/>
      <w:bookmarkStart w:id="145" w:name="_Toc25705100"/>
      <w:bookmarkStart w:id="146" w:name="_Toc17150469"/>
      <w:bookmarkStart w:id="147" w:name="_Toc98793916"/>
      <w:bookmarkStart w:id="148" w:name="_Toc19692326"/>
      <w:bookmarkStart w:id="149" w:name="_Toc80624750"/>
      <w:bookmarkStart w:id="150" w:name="_Toc144921086"/>
      <w:bookmarkStart w:id="151" w:name="_Toc19567007"/>
      <w:r>
        <w:rPr>
          <w:rFonts w:hint="eastAsia" w:ascii="仿宋" w:hAnsi="仿宋" w:eastAsia="仿宋" w:cs="Times New Roman"/>
          <w:b/>
          <w:bCs/>
          <w:kern w:val="0"/>
          <w:sz w:val="28"/>
          <w:szCs w:val="28"/>
        </w:rPr>
        <w:t>龙头企业带动有限，品牌建设亟需突破</w:t>
      </w:r>
      <w:bookmarkEnd w:id="139"/>
      <w:bookmarkEnd w:id="140"/>
      <w:bookmarkEnd w:id="141"/>
      <w:bookmarkEnd w:id="142"/>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市449家富硒经营主体中，国家级龙头企业仅有5家。经营主体积极性不高，缺乏市场前瞻性，对于发展富硒产业心存顾虑，不愿加大投入扩大生产。企业规模较小，尚未形成龙头企业引领的产业发展联动效应。企业品牌各自为战，没有形成合力，产品市场占有率较低、影响力较弱。</w:t>
      </w:r>
    </w:p>
    <w:bookmarkEnd w:id="143"/>
    <w:bookmarkEnd w:id="144"/>
    <w:bookmarkEnd w:id="145"/>
    <w:bookmarkEnd w:id="146"/>
    <w:bookmarkEnd w:id="147"/>
    <w:bookmarkEnd w:id="148"/>
    <w:bookmarkEnd w:id="149"/>
    <w:bookmarkEnd w:id="150"/>
    <w:bookmarkEnd w:id="151"/>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152" w:name="_Toc151219477"/>
      <w:bookmarkStart w:id="153" w:name="_Toc147505259"/>
      <w:bookmarkStart w:id="154" w:name="_Toc147677238"/>
      <w:bookmarkStart w:id="155" w:name="_Toc149730078"/>
      <w:bookmarkStart w:id="156" w:name="_Toc25705101"/>
      <w:bookmarkStart w:id="157" w:name="_Toc19567008"/>
      <w:bookmarkStart w:id="158" w:name="_Toc145858121"/>
      <w:bookmarkStart w:id="159" w:name="_Toc144921087"/>
      <w:bookmarkStart w:id="160" w:name="_Toc19567298"/>
      <w:bookmarkStart w:id="161" w:name="_Toc80624751"/>
      <w:bookmarkStart w:id="162" w:name="_Toc17150470"/>
      <w:bookmarkStart w:id="163" w:name="_Toc98793917"/>
      <w:bookmarkStart w:id="164" w:name="_Toc19692327"/>
      <w:r>
        <w:rPr>
          <w:rFonts w:hint="eastAsia" w:ascii="仿宋" w:hAnsi="仿宋" w:eastAsia="仿宋" w:cs="Times New Roman"/>
          <w:b/>
          <w:bCs/>
          <w:kern w:val="0"/>
          <w:sz w:val="28"/>
          <w:szCs w:val="28"/>
        </w:rPr>
        <w:t>科技创新能力不高，示范引领有待加强</w:t>
      </w:r>
      <w:bookmarkEnd w:id="152"/>
      <w:bookmarkEnd w:id="153"/>
      <w:bookmarkEnd w:id="154"/>
      <w:bookmarkEnd w:id="155"/>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市农业产业依然以传统农业发展模式为主，经营主体科技创新投入不足。科研服务相对滞后，难以对富硒产业发展形成有效的科技支撑。省、市、县三级产业基地建设成效不足，具有地方特色的重点产业示范项目、基地、园区建设比较薄弱，“一县一品”特色发展不够明显，经济效益不够突出，示范引领作用不够鲜明。</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165" w:name="_Toc151219478"/>
      <w:bookmarkStart w:id="166" w:name="_Toc147505260"/>
      <w:bookmarkStart w:id="167" w:name="_Toc147677239"/>
      <w:bookmarkStart w:id="168" w:name="_Toc149730079"/>
      <w:r>
        <w:rPr>
          <w:rFonts w:hint="eastAsia" w:ascii="仿宋" w:hAnsi="仿宋" w:eastAsia="仿宋" w:cs="Times New Roman"/>
          <w:b/>
          <w:bCs/>
          <w:kern w:val="0"/>
          <w:sz w:val="28"/>
          <w:szCs w:val="28"/>
        </w:rPr>
        <w:t>富硒产业链条单薄，产业集群优势乏力</w:t>
      </w:r>
      <w:bookmarkEnd w:id="165"/>
      <w:bookmarkEnd w:id="166"/>
      <w:bookmarkEnd w:id="167"/>
      <w:bookmarkEnd w:id="168"/>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宜春市富硒产品多为初级生产，缺乏面向中高端消费市场的精深加工产品和高附加值产品。产业链多局限于企业内部，主要停留在“初级生产+初次加工+产品销售”层面，产业市场化组织程度较低，产业链之间物质和信息要素不够通畅，三产融合程度不高，没有形成集群优势，市场份额占有不足，价值空间有待提升。</w:t>
      </w:r>
    </w:p>
    <w:bookmarkEnd w:id="156"/>
    <w:bookmarkEnd w:id="157"/>
    <w:bookmarkEnd w:id="158"/>
    <w:bookmarkEnd w:id="159"/>
    <w:bookmarkEnd w:id="160"/>
    <w:bookmarkEnd w:id="161"/>
    <w:bookmarkEnd w:id="162"/>
    <w:bookmarkEnd w:id="163"/>
    <w:bookmarkEnd w:id="164"/>
    <w:p>
      <w:pPr>
        <w:keepNext/>
        <w:keepLines/>
        <w:adjustRightInd w:val="0"/>
        <w:snapToGrid w:val="0"/>
        <w:spacing w:before="0" w:after="0" w:line="560" w:lineRule="exact"/>
        <w:ind w:firstLine="562" w:firstLineChars="200"/>
        <w:outlineLvl w:val="2"/>
        <w:rPr>
          <w:rFonts w:ascii="仿宋" w:hAnsi="仿宋" w:eastAsia="仿宋" w:cs="Times New Roman"/>
          <w:b/>
          <w:bCs/>
          <w:color w:val="000000"/>
          <w:sz w:val="28"/>
          <w:szCs w:val="28"/>
          <w:lang w:val="en-US" w:eastAsia="zh-CN" w:bidi="ar-SA"/>
        </w:rPr>
      </w:pPr>
      <w:bookmarkStart w:id="169" w:name="_Toc151751508"/>
      <w:bookmarkStart w:id="170" w:name="_Toc27659"/>
      <w:bookmarkStart w:id="171" w:name="_Toc144921090"/>
      <w:bookmarkStart w:id="172" w:name="_Toc146743039"/>
      <w:bookmarkStart w:id="173" w:name="_Toc146743233"/>
      <w:bookmarkStart w:id="174" w:name="_Toc147677240"/>
      <w:bookmarkStart w:id="175" w:name="_Toc151219479"/>
      <w:bookmarkStart w:id="176" w:name="_Toc147505261"/>
      <w:bookmarkStart w:id="177" w:name="_Toc147314247"/>
      <w:bookmarkStart w:id="178" w:name="_Toc146742891"/>
      <w:bookmarkStart w:id="179" w:name="_Toc146745823"/>
      <w:bookmarkStart w:id="180" w:name="_Toc145858124"/>
      <w:bookmarkStart w:id="181" w:name="_Toc149730080"/>
      <w:r>
        <w:rPr>
          <w:rFonts w:hint="eastAsia" w:ascii="仿宋" w:hAnsi="仿宋" w:eastAsia="仿宋" w:cs="Times New Roman"/>
          <w:b/>
          <w:bCs/>
          <w:color w:val="000000"/>
          <w:sz w:val="28"/>
          <w:szCs w:val="28"/>
          <w:lang w:val="en-US" w:eastAsia="zh-CN" w:bidi="ar-SA"/>
        </w:rPr>
        <w:t>三、发展机遇</w:t>
      </w:r>
      <w:bookmarkEnd w:id="169"/>
    </w:p>
    <w:bookmarkEnd w:id="124"/>
    <w:bookmarkEnd w:id="125"/>
    <w:bookmarkEnd w:id="126"/>
    <w:bookmarkEnd w:id="127"/>
    <w:bookmarkEnd w:id="128"/>
    <w:bookmarkEnd w:id="129"/>
    <w:bookmarkEnd w:id="130"/>
    <w:bookmarkEnd w:id="131"/>
    <w:bookmarkEnd w:id="132"/>
    <w:bookmarkEnd w:id="133"/>
    <w:bookmarkEnd w:id="134"/>
    <w:bookmarkEnd w:id="135"/>
    <w:bookmarkEnd w:id="170"/>
    <w:bookmarkEnd w:id="171"/>
    <w:bookmarkEnd w:id="172"/>
    <w:bookmarkEnd w:id="173"/>
    <w:bookmarkEnd w:id="174"/>
    <w:bookmarkEnd w:id="175"/>
    <w:bookmarkEnd w:id="176"/>
    <w:bookmarkEnd w:id="177"/>
    <w:bookmarkEnd w:id="178"/>
    <w:bookmarkEnd w:id="179"/>
    <w:bookmarkEnd w:id="180"/>
    <w:bookmarkEnd w:id="181"/>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182" w:name="_Toc468350399"/>
      <w:bookmarkStart w:id="183" w:name="_Toc467614923"/>
      <w:bookmarkStart w:id="184" w:name="_Toc19567302"/>
      <w:bookmarkStart w:id="185" w:name="_Toc25705105"/>
      <w:bookmarkStart w:id="186" w:name="_Toc19567012"/>
      <w:bookmarkStart w:id="187" w:name="_Toc467615518"/>
      <w:bookmarkStart w:id="188" w:name="_Toc468289122"/>
      <w:bookmarkStart w:id="189" w:name="_Toc461146948"/>
      <w:bookmarkStart w:id="190" w:name="_Toc471505694"/>
      <w:bookmarkStart w:id="191" w:name="_Toc146745824"/>
      <w:bookmarkStart w:id="192" w:name="_Toc23294"/>
      <w:bookmarkStart w:id="193" w:name="_Toc467615178"/>
      <w:bookmarkStart w:id="194" w:name="_Toc146743234"/>
      <w:bookmarkStart w:id="195" w:name="_Toc19692331"/>
      <w:bookmarkStart w:id="196" w:name="_Toc80624755"/>
      <w:bookmarkStart w:id="197" w:name="_Toc146742892"/>
      <w:bookmarkStart w:id="198" w:name="_Toc144921091"/>
      <w:bookmarkStart w:id="199" w:name="_Toc145858125"/>
      <w:bookmarkStart w:id="200" w:name="_Toc468290415"/>
      <w:bookmarkStart w:id="201" w:name="_Toc98793921"/>
      <w:bookmarkStart w:id="202" w:name="_Toc462220216"/>
      <w:bookmarkStart w:id="203" w:name="_Toc146743040"/>
      <w:bookmarkStart w:id="204" w:name="_Toc147314248"/>
      <w:bookmarkStart w:id="205" w:name="_Toc467706407"/>
      <w:bookmarkStart w:id="206" w:name="_Toc17150474"/>
      <w:bookmarkStart w:id="207" w:name="_Toc147677241"/>
      <w:bookmarkStart w:id="208" w:name="_Toc151219480"/>
      <w:bookmarkStart w:id="209" w:name="_Toc147505262"/>
      <w:bookmarkStart w:id="210" w:name="_Toc149730081"/>
      <w:bookmarkStart w:id="211" w:name="_Toc461146947"/>
      <w:bookmarkStart w:id="212" w:name="_Toc467615177"/>
      <w:bookmarkStart w:id="213" w:name="_Toc467706406"/>
      <w:bookmarkStart w:id="214" w:name="_Toc468350398"/>
      <w:bookmarkStart w:id="215" w:name="_Toc468290414"/>
      <w:bookmarkStart w:id="216" w:name="_Toc462220215"/>
      <w:bookmarkStart w:id="217" w:name="_Toc468289121"/>
      <w:bookmarkStart w:id="218" w:name="_Toc467615517"/>
      <w:bookmarkStart w:id="219" w:name="_Toc467614922"/>
      <w:bookmarkStart w:id="220" w:name="_Toc471505693"/>
      <w:bookmarkStart w:id="221" w:name="_Toc19692336"/>
      <w:bookmarkStart w:id="222" w:name="_Toc17150479"/>
      <w:bookmarkStart w:id="223" w:name="_Toc25705110"/>
      <w:bookmarkStart w:id="224" w:name="_Toc19567017"/>
      <w:bookmarkStart w:id="225" w:name="_Toc80624760"/>
      <w:bookmarkStart w:id="226" w:name="_Toc19567307"/>
      <w:r>
        <w:rPr>
          <w:rFonts w:hint="eastAsia" w:ascii="仿宋" w:hAnsi="仿宋" w:eastAsia="仿宋" w:cs="Times New Roman"/>
          <w:b/>
          <w:bCs/>
          <w:kern w:val="0"/>
          <w:sz w:val="28"/>
          <w:szCs w:val="28"/>
        </w:rPr>
        <w:t>政策红利集聚释放</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rFonts w:hint="eastAsia" w:ascii="仿宋" w:hAnsi="仿宋" w:eastAsia="仿宋" w:cs="Times New Roman"/>
          <w:b/>
          <w:bCs/>
          <w:kern w:val="0"/>
          <w:sz w:val="28"/>
          <w:szCs w:val="28"/>
        </w:rPr>
        <w:t>新动能</w:t>
      </w:r>
      <w:bookmarkEnd w:id="207"/>
      <w:bookmarkEnd w:id="208"/>
      <w:bookmarkEnd w:id="209"/>
      <w:bookmarkEnd w:id="210"/>
      <w:r>
        <w:rPr>
          <w:rFonts w:hint="eastAsia" w:ascii="仿宋" w:hAnsi="仿宋" w:eastAsia="仿宋" w:cs="Times New Roman"/>
          <w:kern w:val="0"/>
          <w:sz w:val="28"/>
          <w:szCs w:val="28"/>
        </w:rPr>
        <w:t>。国家出台了系列政策鼓励发展绿色农业、特色农业、功能农业，江西省积极响应，跟进出台了相关政策鼓励发展特色产业服务农业强省战略。富硒产业迎来了发展黄金期。</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227" w:name="_Toc151219481"/>
      <w:bookmarkStart w:id="228" w:name="_Toc146745826"/>
      <w:bookmarkStart w:id="229" w:name="_Toc146743236"/>
      <w:bookmarkStart w:id="230" w:name="_Toc146743042"/>
      <w:bookmarkStart w:id="231" w:name="_Toc147505263"/>
      <w:bookmarkStart w:id="232" w:name="_Toc149730082"/>
      <w:bookmarkStart w:id="233" w:name="_Toc147314250"/>
      <w:bookmarkStart w:id="234" w:name="_Toc147677242"/>
      <w:bookmarkStart w:id="235" w:name="_Toc146742894"/>
      <w:bookmarkStart w:id="236" w:name="_Toc25705107"/>
      <w:bookmarkStart w:id="237" w:name="_Toc98793923"/>
      <w:bookmarkStart w:id="238" w:name="_Toc462220218"/>
      <w:bookmarkStart w:id="239" w:name="_Toc4698"/>
      <w:bookmarkStart w:id="240" w:name="_Toc468350401"/>
      <w:bookmarkStart w:id="241" w:name="_Toc467614925"/>
      <w:bookmarkStart w:id="242" w:name="_Toc468289124"/>
      <w:bookmarkStart w:id="243" w:name="_Toc145858127"/>
      <w:bookmarkStart w:id="244" w:name="_Toc146745825"/>
      <w:bookmarkStart w:id="245" w:name="_Toc467615180"/>
      <w:bookmarkStart w:id="246" w:name="_Toc19692333"/>
      <w:bookmarkStart w:id="247" w:name="_Toc146743235"/>
      <w:bookmarkStart w:id="248" w:name="_Toc461146950"/>
      <w:bookmarkStart w:id="249" w:name="_Toc146743041"/>
      <w:bookmarkStart w:id="250" w:name="_Toc80624757"/>
      <w:bookmarkStart w:id="251" w:name="_Toc467706409"/>
      <w:bookmarkStart w:id="252" w:name="_Toc19567304"/>
      <w:bookmarkStart w:id="253" w:name="_Toc471505696"/>
      <w:bookmarkStart w:id="254" w:name="_Toc146742893"/>
      <w:bookmarkStart w:id="255" w:name="_Toc144921093"/>
      <w:bookmarkStart w:id="256" w:name="_Toc468290417"/>
      <w:bookmarkStart w:id="257" w:name="_Toc147314249"/>
      <w:bookmarkStart w:id="258" w:name="_Toc19567014"/>
      <w:bookmarkStart w:id="259" w:name="_Toc17150476"/>
      <w:bookmarkStart w:id="260" w:name="_Toc467615520"/>
      <w:r>
        <w:rPr>
          <w:rFonts w:hint="eastAsia" w:ascii="仿宋" w:hAnsi="仿宋" w:eastAsia="仿宋" w:cs="Times New Roman"/>
          <w:b/>
          <w:bCs/>
          <w:kern w:val="0"/>
          <w:sz w:val="28"/>
          <w:szCs w:val="28"/>
        </w:rPr>
        <w:t>市场消费需求激发新活力</w:t>
      </w:r>
      <w:bookmarkEnd w:id="227"/>
      <w:bookmarkEnd w:id="228"/>
      <w:bookmarkEnd w:id="229"/>
      <w:bookmarkEnd w:id="230"/>
      <w:bookmarkEnd w:id="231"/>
      <w:bookmarkEnd w:id="232"/>
      <w:bookmarkEnd w:id="233"/>
      <w:bookmarkEnd w:id="234"/>
      <w:bookmarkEnd w:id="235"/>
      <w:r>
        <w:rPr>
          <w:rFonts w:hint="eastAsia" w:ascii="仿宋" w:hAnsi="仿宋" w:eastAsia="仿宋" w:cs="Times New Roman"/>
          <w:kern w:val="0"/>
          <w:sz w:val="28"/>
          <w:szCs w:val="28"/>
        </w:rPr>
        <w:t>。根据最新发布的《中国硒产业发展指数研究报告》，全国硒产业总产值已达到了3500亿元，预计到2030年将突破万亿产值。硒产业克服疫情影响，产值年增长率仍然保持在20%以上。这就明确表征硒产业是朝阳产业，富硒产业发展市场前景广阔</w:t>
      </w:r>
      <w:r>
        <w:rPr>
          <w:rFonts w:hint="eastAsia" w:ascii="仿宋" w:hAnsi="仿宋" w:eastAsia="仿宋" w:cs="宋体"/>
          <w:kern w:val="0"/>
          <w:sz w:val="28"/>
          <w:szCs w:val="28"/>
        </w:rPr>
        <w:t>。</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261" w:name="_Toc151219482"/>
      <w:bookmarkStart w:id="262" w:name="_Toc147677243"/>
      <w:bookmarkStart w:id="263" w:name="_Toc147505264"/>
      <w:bookmarkStart w:id="264" w:name="_Toc149730083"/>
      <w:r>
        <w:rPr>
          <w:rFonts w:hint="eastAsia" w:ascii="仿宋" w:hAnsi="仿宋" w:eastAsia="仿宋" w:cs="Times New Roman"/>
          <w:b/>
          <w:bCs/>
          <w:kern w:val="0"/>
          <w:sz w:val="28"/>
          <w:szCs w:val="28"/>
        </w:rPr>
        <w:t>资源利用</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ascii="仿宋" w:hAnsi="仿宋" w:eastAsia="仿宋" w:cs="Times New Roman"/>
          <w:b/>
          <w:bCs/>
          <w:kern w:val="0"/>
          <w:sz w:val="28"/>
          <w:szCs w:val="28"/>
        </w:rPr>
        <w:t>转型需要新抓手</w:t>
      </w:r>
      <w:bookmarkEnd w:id="261"/>
      <w:bookmarkEnd w:id="262"/>
      <w:bookmarkEnd w:id="263"/>
      <w:bookmarkEnd w:id="264"/>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整合资金、项目、技术、人才等要素，发展“现代农业+富硒产业”，提高富硒土壤资源利用效率，促进农业产业经济转型升级，进一步带动一二三产联动，可为提升农业产业竞争力提供强劲的支撑。</w:t>
      </w:r>
    </w:p>
    <w:bookmarkEnd w:id="211"/>
    <w:bookmarkEnd w:id="212"/>
    <w:bookmarkEnd w:id="213"/>
    <w:bookmarkEnd w:id="214"/>
    <w:bookmarkEnd w:id="215"/>
    <w:bookmarkEnd w:id="216"/>
    <w:bookmarkEnd w:id="217"/>
    <w:bookmarkEnd w:id="218"/>
    <w:bookmarkEnd w:id="219"/>
    <w:bookmarkEnd w:id="220"/>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265" w:name="_Toc146745827"/>
      <w:bookmarkStart w:id="266" w:name="_Toc144921095"/>
      <w:bookmarkStart w:id="267" w:name="_Toc19692335"/>
      <w:bookmarkStart w:id="268" w:name="_Toc151219483"/>
      <w:bookmarkStart w:id="269" w:name="_Toc19567016"/>
      <w:bookmarkStart w:id="270" w:name="_Toc147314251"/>
      <w:bookmarkStart w:id="271" w:name="_Toc146743237"/>
      <w:bookmarkStart w:id="272" w:name="_Toc19567306"/>
      <w:bookmarkStart w:id="273" w:name="_Toc25705109"/>
      <w:bookmarkStart w:id="274" w:name="_Toc17150478"/>
      <w:bookmarkStart w:id="275" w:name="_Toc80624759"/>
      <w:bookmarkStart w:id="276" w:name="_Toc147505265"/>
      <w:bookmarkStart w:id="277" w:name="_Toc146742895"/>
      <w:bookmarkStart w:id="278" w:name="_Toc146743043"/>
      <w:bookmarkStart w:id="279" w:name="_Toc149730084"/>
      <w:bookmarkStart w:id="280" w:name="_Toc147677244"/>
      <w:bookmarkStart w:id="281" w:name="_Toc145858129"/>
      <w:bookmarkStart w:id="282" w:name="_Toc23605"/>
      <w:bookmarkStart w:id="283" w:name="_Toc98793925"/>
      <w:r>
        <w:rPr>
          <w:rFonts w:hint="eastAsia" w:ascii="仿宋" w:hAnsi="仿宋" w:eastAsia="仿宋" w:cs="Times New Roman"/>
          <w:b/>
          <w:bCs/>
          <w:kern w:val="0"/>
          <w:sz w:val="28"/>
          <w:szCs w:val="28"/>
        </w:rPr>
        <w:t>乡村产业振兴渴求新引擎</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围绕“富硒+生态+大健康”，发展“硒+X”产业，打好“组合拳”，延长产业链、提升价值链、健全供应链，是充分发掘农业功能、深度开发乡村价值、真正实现农民致富的重要途径</w:t>
      </w:r>
      <w:r>
        <w:rPr>
          <w:rFonts w:hint="eastAsia" w:ascii="仿宋" w:hAnsi="仿宋" w:eastAsia="仿宋" w:cs="宋体"/>
          <w:kern w:val="0"/>
          <w:sz w:val="28"/>
          <w:szCs w:val="28"/>
        </w:rPr>
        <w:t>。</w:t>
      </w:r>
      <w:r>
        <w:rPr>
          <w:rFonts w:hint="eastAsia" w:ascii="仿宋" w:hAnsi="仿宋" w:eastAsia="仿宋" w:cs="Times New Roman"/>
          <w:kern w:val="0"/>
          <w:sz w:val="28"/>
          <w:szCs w:val="28"/>
        </w:rPr>
        <w:t>富硒资源的高效利用和富硒产业的高质量发展，加强巩固脱贫攻坚成果，推进乡村振兴，实现农业农村现代化的重要引擎。</w:t>
      </w:r>
    </w:p>
    <w:p>
      <w:pPr>
        <w:keepNext/>
        <w:keepLines/>
        <w:adjustRightInd w:val="0"/>
        <w:snapToGrid w:val="0"/>
        <w:spacing w:before="0" w:after="0" w:line="560" w:lineRule="exact"/>
        <w:ind w:firstLine="562" w:firstLineChars="200"/>
        <w:jc w:val="both"/>
        <w:outlineLvl w:val="2"/>
        <w:rPr>
          <w:rFonts w:ascii="仿宋" w:hAnsi="仿宋" w:eastAsia="仿宋" w:cs="Times New Roman"/>
          <w:b/>
          <w:bCs/>
          <w:color w:val="000000"/>
          <w:sz w:val="28"/>
          <w:szCs w:val="28"/>
          <w:lang w:val="en-US" w:eastAsia="zh-CN" w:bidi="ar-SA"/>
        </w:rPr>
      </w:pPr>
      <w:bookmarkStart w:id="284" w:name="_Toc151751509"/>
      <w:bookmarkStart w:id="285" w:name="_Toc146743044"/>
      <w:bookmarkStart w:id="286" w:name="_Toc149730085"/>
      <w:bookmarkStart w:id="287" w:name="_Toc146742896"/>
      <w:bookmarkStart w:id="288" w:name="_Toc151219484"/>
      <w:bookmarkStart w:id="289" w:name="_Toc144921096"/>
      <w:bookmarkStart w:id="290" w:name="_Toc145858130"/>
      <w:bookmarkStart w:id="291" w:name="_Toc147677245"/>
      <w:bookmarkStart w:id="292" w:name="_Toc147314252"/>
      <w:bookmarkStart w:id="293" w:name="_Toc146745828"/>
      <w:bookmarkStart w:id="294" w:name="_Toc12084"/>
      <w:bookmarkStart w:id="295" w:name="_Toc147505266"/>
      <w:bookmarkStart w:id="296" w:name="_Toc146743238"/>
      <w:r>
        <w:rPr>
          <w:rFonts w:hint="eastAsia" w:ascii="仿宋" w:hAnsi="仿宋" w:eastAsia="仿宋" w:cs="Times New Roman"/>
          <w:b/>
          <w:bCs/>
          <w:color w:val="000000"/>
          <w:sz w:val="28"/>
          <w:szCs w:val="28"/>
          <w:lang w:val="en-US" w:eastAsia="zh-CN" w:bidi="ar-SA"/>
        </w:rPr>
        <w:t>四、面临挑战</w:t>
      </w:r>
      <w:bookmarkEnd w:id="284"/>
    </w:p>
    <w:bookmarkEnd w:id="221"/>
    <w:bookmarkEnd w:id="222"/>
    <w:bookmarkEnd w:id="223"/>
    <w:bookmarkEnd w:id="224"/>
    <w:bookmarkEnd w:id="225"/>
    <w:bookmarkEnd w:id="226"/>
    <w:bookmarkEnd w:id="285"/>
    <w:bookmarkEnd w:id="286"/>
    <w:bookmarkEnd w:id="287"/>
    <w:bookmarkEnd w:id="288"/>
    <w:bookmarkEnd w:id="289"/>
    <w:bookmarkEnd w:id="290"/>
    <w:bookmarkEnd w:id="291"/>
    <w:bookmarkEnd w:id="292"/>
    <w:bookmarkEnd w:id="293"/>
    <w:bookmarkEnd w:id="294"/>
    <w:bookmarkEnd w:id="295"/>
    <w:bookmarkEnd w:id="296"/>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297" w:name="_Toc151219485"/>
      <w:bookmarkStart w:id="298" w:name="_Toc147505267"/>
      <w:bookmarkStart w:id="299" w:name="_Toc147677246"/>
      <w:bookmarkStart w:id="300" w:name="_Toc149730086"/>
      <w:bookmarkStart w:id="301" w:name="_Toc19567309"/>
      <w:bookmarkStart w:id="302" w:name="_Toc146743240"/>
      <w:bookmarkStart w:id="303" w:name="_Toc25705112"/>
      <w:bookmarkStart w:id="304" w:name="_Toc146743046"/>
      <w:bookmarkStart w:id="305" w:name="_Toc146742898"/>
      <w:bookmarkStart w:id="306" w:name="_Toc26394"/>
      <w:bookmarkStart w:id="307" w:name="_Toc19567019"/>
      <w:bookmarkStart w:id="308" w:name="_Toc17150481"/>
      <w:bookmarkStart w:id="309" w:name="_Toc145858132"/>
      <w:bookmarkStart w:id="310" w:name="_Toc144921098"/>
      <w:bookmarkStart w:id="311" w:name="_Toc146745830"/>
      <w:bookmarkStart w:id="312" w:name="_Toc80624762"/>
      <w:bookmarkStart w:id="313" w:name="_Toc147314254"/>
      <w:bookmarkStart w:id="314" w:name="_Toc98793928"/>
      <w:bookmarkStart w:id="315" w:name="_Toc19692338"/>
      <w:bookmarkStart w:id="316" w:name="_Toc19692337"/>
      <w:bookmarkStart w:id="317" w:name="_Toc19567308"/>
      <w:bookmarkStart w:id="318" w:name="_Toc17150480"/>
      <w:bookmarkStart w:id="319" w:name="_Toc146743045"/>
      <w:bookmarkStart w:id="320" w:name="_Toc146743239"/>
      <w:bookmarkStart w:id="321" w:name="_Toc146742897"/>
      <w:bookmarkStart w:id="322" w:name="_Toc19567018"/>
      <w:bookmarkStart w:id="323" w:name="_Toc14878"/>
      <w:bookmarkStart w:id="324" w:name="_Toc80624761"/>
      <w:bookmarkStart w:id="325" w:name="_Toc98793927"/>
      <w:bookmarkStart w:id="326" w:name="_Toc146745829"/>
      <w:bookmarkStart w:id="327" w:name="_Toc147314253"/>
      <w:bookmarkStart w:id="328" w:name="_Toc25705111"/>
      <w:bookmarkStart w:id="329" w:name="_Toc144921097"/>
      <w:bookmarkStart w:id="330" w:name="_Toc145858131"/>
      <w:r>
        <w:rPr>
          <w:rFonts w:hint="eastAsia" w:ascii="仿宋" w:hAnsi="仿宋" w:eastAsia="仿宋" w:cs="Times New Roman"/>
          <w:b/>
          <w:bCs/>
          <w:kern w:val="0"/>
          <w:sz w:val="28"/>
          <w:szCs w:val="28"/>
        </w:rPr>
        <w:t>市场竞争日趋激烈</w:t>
      </w:r>
      <w:bookmarkEnd w:id="297"/>
      <w:bookmarkEnd w:id="298"/>
      <w:bookmarkEnd w:id="299"/>
      <w:bookmarkEnd w:id="300"/>
      <w:r>
        <w:rPr>
          <w:rFonts w:hint="eastAsia" w:ascii="仿宋" w:hAnsi="仿宋" w:eastAsia="仿宋" w:cs="Times New Roman"/>
          <w:kern w:val="0"/>
          <w:sz w:val="28"/>
          <w:szCs w:val="28"/>
        </w:rPr>
        <w:t>。目前重点打造硒产业的地区越来越多，湖北恩施、陕西安康处于全国领跑位置，湖南桃源、贵州开阳、福建连城等地发展迅速，区域内外竞争异常激烈。同时，各地多以种植业、养殖业、初次加工业等硒产品为主，产品间差异性不大、同质化严重，竞争在所难免。宜春市需要在富硒产业特色、富硒产品优势上再发力。</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331" w:name="_Toc147677247"/>
      <w:bookmarkStart w:id="332" w:name="_Toc149730087"/>
      <w:bookmarkStart w:id="333" w:name="_Toc147505268"/>
      <w:bookmarkStart w:id="334" w:name="_Toc151219486"/>
      <w:r>
        <w:rPr>
          <w:rFonts w:hint="eastAsia" w:ascii="仿宋" w:hAnsi="仿宋" w:eastAsia="仿宋" w:cs="Times New Roman"/>
          <w:b/>
          <w:bCs/>
          <w:kern w:val="0"/>
          <w:sz w:val="28"/>
          <w:szCs w:val="28"/>
        </w:rPr>
        <w:t>产业融合亟需</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rFonts w:hint="eastAsia" w:ascii="仿宋" w:hAnsi="仿宋" w:eastAsia="仿宋" w:cs="Times New Roman"/>
          <w:b/>
          <w:bCs/>
          <w:kern w:val="0"/>
          <w:sz w:val="28"/>
          <w:szCs w:val="28"/>
        </w:rPr>
        <w:t>提升</w:t>
      </w:r>
      <w:bookmarkEnd w:id="331"/>
      <w:bookmarkEnd w:id="332"/>
      <w:bookmarkEnd w:id="333"/>
      <w:bookmarkEnd w:id="334"/>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延长产业链、提升价值链，实现富硒产业集群成链，是富硒产业顶层设计、长远发展的关键问题。推动“富硒休闲农业”“富硒温泉度假”“富硒养生旅游”“富硒健康养老”“富硒文化体验”等特色产业发展，做到“三产融合”、发展“第六产业”，才能获得更多增值价值、赢得更多发展空间。宜春市需要在富硒产业融合、富硒文化塑造上再发力。</w:t>
      </w:r>
    </w:p>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335" w:name="_Toc146743047"/>
      <w:bookmarkStart w:id="336" w:name="_Toc144921099"/>
      <w:bookmarkStart w:id="337" w:name="_Toc19567020"/>
      <w:bookmarkStart w:id="338" w:name="_Toc25705113"/>
      <w:bookmarkStart w:id="339" w:name="_Toc146743241"/>
      <w:bookmarkStart w:id="340" w:name="_Toc17150482"/>
      <w:bookmarkStart w:id="341" w:name="_Toc146742899"/>
      <w:bookmarkStart w:id="342" w:name="_Toc10924"/>
      <w:bookmarkStart w:id="343" w:name="_Toc147314255"/>
      <w:bookmarkStart w:id="344" w:name="_Toc145858133"/>
      <w:bookmarkStart w:id="345" w:name="_Toc19692339"/>
      <w:bookmarkStart w:id="346" w:name="_Toc19567310"/>
      <w:bookmarkStart w:id="347" w:name="_Toc146745831"/>
      <w:bookmarkStart w:id="348" w:name="_Toc80624763"/>
      <w:bookmarkStart w:id="349" w:name="_Toc98793929"/>
      <w:bookmarkStart w:id="350" w:name="_Toc147677248"/>
      <w:bookmarkStart w:id="351" w:name="_Toc149730088"/>
      <w:bookmarkStart w:id="352" w:name="_Toc147505269"/>
      <w:bookmarkStart w:id="353" w:name="_Toc151219487"/>
      <w:r>
        <w:rPr>
          <w:rFonts w:hint="eastAsia" w:ascii="仿宋" w:hAnsi="仿宋" w:eastAsia="仿宋" w:cs="Times New Roman"/>
          <w:b/>
          <w:bCs/>
          <w:kern w:val="0"/>
          <w:sz w:val="28"/>
          <w:szCs w:val="28"/>
        </w:rPr>
        <w:t>科技支撑亟待</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Pr>
          <w:rFonts w:hint="eastAsia" w:ascii="仿宋" w:hAnsi="仿宋" w:eastAsia="仿宋" w:cs="Times New Roman"/>
          <w:b/>
          <w:bCs/>
          <w:kern w:val="0"/>
          <w:sz w:val="28"/>
          <w:szCs w:val="28"/>
        </w:rPr>
        <w:t>增强</w:t>
      </w:r>
      <w:bookmarkEnd w:id="350"/>
      <w:bookmarkEnd w:id="351"/>
      <w:bookmarkEnd w:id="352"/>
      <w:bookmarkEnd w:id="353"/>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在种植地块的选定、种养类别的确定、富硒品种的选育、产品的精深加工、富硒温泉科学开发利用、产业链的延伸等领域形成系列技术支撑，才能实现将土壤富硒转化为产品富硒，将富硒资源优势转化为产业优势。宜春市需要在富硒生产科技创新、产品研发方面再发力。</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354" w:name="_Toc9560"/>
      <w:bookmarkStart w:id="355" w:name="_Toc145858134"/>
      <w:bookmarkStart w:id="356" w:name="_Toc146743048"/>
      <w:bookmarkStart w:id="357" w:name="_Toc146742900"/>
      <w:bookmarkStart w:id="358" w:name="_Toc146743242"/>
      <w:bookmarkStart w:id="359" w:name="_Toc149730089"/>
      <w:bookmarkStart w:id="360" w:name="_Toc147505270"/>
      <w:bookmarkStart w:id="361" w:name="_Toc17150483"/>
      <w:bookmarkStart w:id="362" w:name="_Toc147677249"/>
      <w:bookmarkStart w:id="363" w:name="_Toc98793930"/>
      <w:bookmarkStart w:id="364" w:name="_Toc144921100"/>
      <w:bookmarkStart w:id="365" w:name="_Toc80624764"/>
      <w:bookmarkStart w:id="366" w:name="_Toc19567311"/>
      <w:bookmarkStart w:id="367" w:name="_Toc146745832"/>
      <w:bookmarkStart w:id="368" w:name="_Toc151219488"/>
      <w:bookmarkStart w:id="369" w:name="_Toc25705114"/>
      <w:bookmarkStart w:id="370" w:name="_Toc19567021"/>
      <w:bookmarkStart w:id="371" w:name="_Toc19692340"/>
      <w:bookmarkStart w:id="372" w:name="_Toc147314256"/>
      <w:r>
        <w:rPr>
          <w:rFonts w:hint="eastAsia" w:ascii="仿宋" w:hAnsi="仿宋" w:eastAsia="仿宋" w:cs="Times New Roman"/>
          <w:b/>
          <w:bCs/>
          <w:kern w:val="0"/>
          <w:sz w:val="28"/>
          <w:szCs w:val="28"/>
        </w:rPr>
        <w:t>监管体系急需完善</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需要从农业投入品、农产品加工、农产品储藏运输等方面建立一套有效的产业标准体系、质量管控体系、产品追溯体系，才能实现富硒产业和富硒产品的有效监管。宜春市一定要在富硒生产标准化、规范化方面再发力。</w:t>
      </w: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373" w:name="_Toc151751510"/>
      <w:bookmarkStart w:id="374" w:name="_Toc149730095"/>
      <w:bookmarkStart w:id="375" w:name="_Toc147677250"/>
      <w:r>
        <w:rPr>
          <w:rFonts w:hint="eastAsia" w:ascii="仿宋" w:hAnsi="仿宋" w:eastAsia="仿宋" w:cs="Times New Roman"/>
          <w:b/>
          <w:bCs/>
          <w:kern w:val="0"/>
          <w:sz w:val="32"/>
          <w:szCs w:val="32"/>
        </w:rPr>
        <w:t>第二节 发展策略</w:t>
      </w:r>
      <w:bookmarkEnd w:id="373"/>
      <w:bookmarkEnd w:id="374"/>
    </w:p>
    <w:bookmarkEnd w:id="375"/>
    <w:p>
      <w:pPr>
        <w:widowControl/>
        <w:adjustRightInd w:val="0"/>
        <w:snapToGrid w:val="0"/>
        <w:spacing w:after="0" w:line="560" w:lineRule="exact"/>
        <w:ind w:firstLine="562" w:firstLineChars="200"/>
        <w:jc w:val="both"/>
        <w:rPr>
          <w:rFonts w:ascii="仿宋" w:hAnsi="仿宋" w:eastAsia="仿宋" w:cs="Times New Roman"/>
          <w:b/>
          <w:bCs/>
          <w:kern w:val="0"/>
          <w:sz w:val="28"/>
          <w:szCs w:val="28"/>
        </w:rPr>
      </w:pPr>
      <w:bookmarkStart w:id="376" w:name="_Toc147505277"/>
      <w:bookmarkStart w:id="377" w:name="_Toc149730096"/>
      <w:bookmarkStart w:id="378" w:name="_Toc147677256"/>
      <w:bookmarkStart w:id="379" w:name="_Toc151219495"/>
      <w:r>
        <w:rPr>
          <w:rFonts w:hint="eastAsia" w:ascii="仿宋" w:hAnsi="仿宋" w:eastAsia="仿宋" w:cs="Times New Roman"/>
          <w:b/>
          <w:bCs/>
          <w:kern w:val="0"/>
          <w:sz w:val="28"/>
          <w:szCs w:val="28"/>
        </w:rPr>
        <w:t>一、挖潜赋能，发挥优势</w:t>
      </w:r>
      <w:bookmarkEnd w:id="376"/>
      <w:bookmarkEnd w:id="377"/>
      <w:bookmarkEnd w:id="378"/>
      <w:bookmarkEnd w:id="379"/>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开展富硒资源面积、质量和空间布局详细调查，明确利用适宜性；摸清富硒产品类别及其开发价值、市场前景，明确发展方向；摸清富硒产业发展规模、产业链构成和集群特征，明确强链延链补链重点领域；摸清富硒企业及其规模，培育壮大龙头企业，发挥示范带动作用；摸清市场需求和发展动向，明确富硒产业短期和长期发展布局。</w:t>
      </w:r>
    </w:p>
    <w:p>
      <w:pPr>
        <w:widowControl/>
        <w:adjustRightInd w:val="0"/>
        <w:snapToGrid w:val="0"/>
        <w:spacing w:after="0" w:line="560" w:lineRule="exact"/>
        <w:ind w:firstLine="562" w:firstLineChars="200"/>
        <w:jc w:val="both"/>
        <w:rPr>
          <w:rFonts w:ascii="仿宋" w:hAnsi="仿宋" w:eastAsia="仿宋" w:cs="Times New Roman"/>
          <w:b/>
          <w:bCs/>
          <w:kern w:val="0"/>
          <w:sz w:val="28"/>
          <w:szCs w:val="28"/>
        </w:rPr>
      </w:pPr>
      <w:bookmarkStart w:id="380" w:name="_Toc19567321"/>
      <w:bookmarkStart w:id="381" w:name="_Toc146743056"/>
      <w:bookmarkStart w:id="382" w:name="_Toc146743250"/>
      <w:bookmarkStart w:id="383" w:name="_Toc19692350"/>
      <w:bookmarkStart w:id="384" w:name="_Toc147505278"/>
      <w:bookmarkStart w:id="385" w:name="_Toc19567031"/>
      <w:bookmarkStart w:id="386" w:name="_Toc80624773"/>
      <w:bookmarkStart w:id="387" w:name="_Toc145858143"/>
      <w:bookmarkStart w:id="388" w:name="_Toc25705124"/>
      <w:bookmarkStart w:id="389" w:name="_Toc144921109"/>
      <w:bookmarkStart w:id="390" w:name="_Toc146745840"/>
      <w:bookmarkStart w:id="391" w:name="_Toc147314264"/>
      <w:bookmarkStart w:id="392" w:name="_Toc12718"/>
      <w:bookmarkStart w:id="393" w:name="_Toc17150493"/>
      <w:bookmarkStart w:id="394" w:name="_Toc151219496"/>
      <w:bookmarkStart w:id="395" w:name="_Toc149730097"/>
      <w:bookmarkStart w:id="396" w:name="_Toc147677257"/>
      <w:r>
        <w:rPr>
          <w:rFonts w:hint="eastAsia" w:ascii="仿宋" w:hAnsi="仿宋" w:eastAsia="仿宋" w:cs="Times New Roman"/>
          <w:b/>
          <w:bCs/>
          <w:kern w:val="0"/>
          <w:sz w:val="28"/>
          <w:szCs w:val="28"/>
        </w:rPr>
        <w:t>二、顶层设计，抓住机遇</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因地制宜选定主导产业，科学安排产业布局、项目选址，建好示范基地、产业园区、康养小镇；要明确总体目标，编制发展规划，制定行动方案，做好任务分解，落实实施步骤，加强组织引领，明确时间轴、任务表、路线图，分阶段按步骤稳步推进；做好产业培育，做强单品冠军，加强品牌体系建设与管理；要明确技术标准，做好示范引领，规范生产经营，强化质量监管。</w:t>
      </w:r>
    </w:p>
    <w:p>
      <w:pPr>
        <w:widowControl/>
        <w:adjustRightInd w:val="0"/>
        <w:snapToGrid w:val="0"/>
        <w:spacing w:after="0" w:line="560" w:lineRule="exact"/>
        <w:ind w:firstLine="562" w:firstLineChars="200"/>
        <w:jc w:val="both"/>
        <w:rPr>
          <w:rFonts w:ascii="仿宋" w:hAnsi="仿宋" w:eastAsia="仿宋" w:cs="Times New Roman"/>
          <w:b/>
          <w:bCs/>
          <w:kern w:val="0"/>
          <w:sz w:val="28"/>
          <w:szCs w:val="28"/>
        </w:rPr>
      </w:pPr>
      <w:bookmarkStart w:id="397" w:name="_Toc80624774"/>
      <w:bookmarkStart w:id="398" w:name="_Toc147314265"/>
      <w:bookmarkStart w:id="399" w:name="_Toc145858144"/>
      <w:bookmarkStart w:id="400" w:name="_Toc146743251"/>
      <w:bookmarkStart w:id="401" w:name="_Toc147505279"/>
      <w:bookmarkStart w:id="402" w:name="_Toc25705125"/>
      <w:bookmarkStart w:id="403" w:name="_Toc19567322"/>
      <w:bookmarkStart w:id="404" w:name="_Toc19692351"/>
      <w:bookmarkStart w:id="405" w:name="_Toc10745"/>
      <w:bookmarkStart w:id="406" w:name="_Toc147677258"/>
      <w:bookmarkStart w:id="407" w:name="_Toc151219497"/>
      <w:bookmarkStart w:id="408" w:name="_Toc19567032"/>
      <w:bookmarkStart w:id="409" w:name="_Toc146745841"/>
      <w:bookmarkStart w:id="410" w:name="_Toc144921110"/>
      <w:bookmarkStart w:id="411" w:name="_Toc17150494"/>
      <w:bookmarkStart w:id="412" w:name="_Toc146743057"/>
      <w:bookmarkStart w:id="413" w:name="_Toc149730098"/>
      <w:r>
        <w:rPr>
          <w:rFonts w:hint="eastAsia" w:ascii="仿宋" w:hAnsi="仿宋" w:eastAsia="仿宋" w:cs="Times New Roman"/>
          <w:b/>
          <w:bCs/>
          <w:kern w:val="0"/>
          <w:sz w:val="28"/>
          <w:szCs w:val="28"/>
        </w:rPr>
        <w:t>三、融合升级，直面挑战</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用好各类资源，立足富硒资源，整合生态优势，融入地域文化，明确区域特色，强化三产融合，发展第六产业；用好各种政策，依托国家政策，立足市情农情，完善地方政策，壮大龙头企业；抓好科技创新，培养紧缺人才，选育地道品种，开展关键技术攻关、推进科技成果转化、崇尚绿色低碳、利用数字赋能，构建现代化富硒产业发展体系。</w:t>
      </w:r>
    </w:p>
    <w:p>
      <w:pPr>
        <w:widowControl/>
        <w:adjustRightInd w:val="0"/>
        <w:snapToGrid w:val="0"/>
        <w:spacing w:after="0" w:line="560" w:lineRule="exact"/>
        <w:ind w:firstLine="562" w:firstLineChars="200"/>
        <w:jc w:val="both"/>
        <w:rPr>
          <w:rFonts w:ascii="仿宋" w:hAnsi="仿宋" w:eastAsia="仿宋" w:cs="Times New Roman"/>
          <w:b/>
          <w:bCs/>
          <w:kern w:val="0"/>
          <w:sz w:val="28"/>
          <w:szCs w:val="28"/>
        </w:rPr>
      </w:pPr>
      <w:bookmarkStart w:id="414" w:name="_Toc19567033"/>
      <w:bookmarkStart w:id="415" w:name="_Toc147505280"/>
      <w:bookmarkStart w:id="416" w:name="_Toc80624775"/>
      <w:bookmarkStart w:id="417" w:name="_Toc146743252"/>
      <w:bookmarkStart w:id="418" w:name="_Toc26917"/>
      <w:bookmarkStart w:id="419" w:name="_Toc17150495"/>
      <w:bookmarkStart w:id="420" w:name="_Toc147677259"/>
      <w:bookmarkStart w:id="421" w:name="_Toc151219498"/>
      <w:bookmarkStart w:id="422" w:name="_Toc144921111"/>
      <w:bookmarkStart w:id="423" w:name="_Toc19567323"/>
      <w:bookmarkStart w:id="424" w:name="_Toc25705126"/>
      <w:bookmarkStart w:id="425" w:name="_Toc149730099"/>
      <w:bookmarkStart w:id="426" w:name="_Toc19692352"/>
      <w:bookmarkStart w:id="427" w:name="_Toc147314266"/>
      <w:bookmarkStart w:id="428" w:name="_Toc146745842"/>
      <w:bookmarkStart w:id="429" w:name="_Toc145858145"/>
      <w:bookmarkStart w:id="430" w:name="_Toc146743058"/>
      <w:r>
        <w:rPr>
          <w:rFonts w:hint="eastAsia" w:ascii="仿宋" w:hAnsi="仿宋" w:eastAsia="仿宋" w:cs="Times New Roman"/>
          <w:b/>
          <w:bCs/>
          <w:kern w:val="0"/>
          <w:sz w:val="28"/>
          <w:szCs w:val="28"/>
        </w:rPr>
        <w:t>四、强化特色，弥补劣势</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挖掘本土特色，合理规划总体格局，实现协同发展；坚持重点培育，注重“一县一品”特色发展，一主多辅、以强带弱；实施专项计划，结合土壤保护、基地建设、良种选育、科技创新、品牌建设等设立工程项目，破解富硒产业门类不宽、产业链条不长、要素活力不强和质量效益不高等问题；充分发挥区位优势、</w:t>
      </w:r>
      <w:r>
        <w:rPr>
          <w:rFonts w:ascii="仿宋" w:hAnsi="仿宋" w:eastAsia="仿宋" w:cs="Times New Roman"/>
          <w:kern w:val="0"/>
          <w:sz w:val="28"/>
          <w:szCs w:val="28"/>
        </w:rPr>
        <w:t>绿色生态优势</w:t>
      </w:r>
      <w:r>
        <w:rPr>
          <w:rFonts w:hint="eastAsia" w:ascii="仿宋" w:hAnsi="仿宋" w:eastAsia="仿宋" w:cs="Times New Roman"/>
          <w:kern w:val="0"/>
          <w:sz w:val="28"/>
          <w:szCs w:val="28"/>
        </w:rPr>
        <w:t>、</w:t>
      </w:r>
      <w:r>
        <w:rPr>
          <w:rFonts w:ascii="仿宋" w:hAnsi="仿宋" w:eastAsia="仿宋" w:cs="Times New Roman"/>
          <w:kern w:val="0"/>
          <w:sz w:val="28"/>
          <w:szCs w:val="28"/>
        </w:rPr>
        <w:t>富硒资源优势</w:t>
      </w:r>
      <w:r>
        <w:rPr>
          <w:rFonts w:hint="eastAsia" w:ascii="仿宋" w:hAnsi="仿宋" w:eastAsia="仿宋" w:cs="Times New Roman"/>
          <w:kern w:val="0"/>
          <w:sz w:val="28"/>
          <w:szCs w:val="28"/>
        </w:rPr>
        <w:t>，走绿色发展之路。</w:t>
      </w:r>
    </w:p>
    <w:p>
      <w:pPr>
        <w:widowControl/>
        <w:adjustRightInd/>
        <w:snapToGrid/>
        <w:spacing w:after="0"/>
        <w:jc w:val="left"/>
        <w:rPr>
          <w:rFonts w:ascii="仿宋" w:hAnsi="仿宋" w:eastAsia="仿宋" w:cs="Times New Roman"/>
          <w:kern w:val="0"/>
          <w:sz w:val="28"/>
          <w:szCs w:val="28"/>
        </w:rPr>
      </w:pPr>
      <w:r>
        <w:rPr>
          <w:rFonts w:ascii="仿宋" w:hAnsi="仿宋" w:eastAsia="仿宋" w:cs="Times New Roman"/>
          <w:kern w:val="0"/>
          <w:sz w:val="28"/>
          <w:szCs w:val="28"/>
        </w:rPr>
        <w:br w:type="page"/>
      </w:r>
    </w:p>
    <w:p>
      <w:pPr>
        <w:widowControl/>
        <w:adjustRightInd/>
        <w:snapToGrid/>
        <w:spacing w:after="0"/>
        <w:jc w:val="left"/>
        <w:rPr>
          <w:rFonts w:ascii="仿宋" w:hAnsi="仿宋" w:eastAsia="仿宋" w:cs="Times New Roman"/>
          <w:kern w:val="0"/>
          <w:sz w:val="28"/>
          <w:szCs w:val="28"/>
        </w:rPr>
      </w:pPr>
    </w:p>
    <w:p>
      <w:pPr>
        <w:widowControl/>
        <w:adjustRightInd w:val="0"/>
        <w:snapToGrid w:val="0"/>
        <w:spacing w:after="312" w:afterLines="100"/>
        <w:jc w:val="center"/>
        <w:outlineLvl w:val="0"/>
        <w:rPr>
          <w:rFonts w:ascii="仿宋" w:hAnsi="仿宋" w:eastAsia="仿宋" w:cs="Times New Roman"/>
          <w:b/>
          <w:bCs/>
          <w:kern w:val="0"/>
          <w:sz w:val="36"/>
          <w:szCs w:val="36"/>
        </w:rPr>
      </w:pPr>
      <w:bookmarkStart w:id="431" w:name="_Toc151751511"/>
      <w:bookmarkStart w:id="432" w:name="_Toc467615521"/>
      <w:bookmarkStart w:id="433" w:name="_Toc25705127"/>
      <w:bookmarkStart w:id="434" w:name="_Toc462220219"/>
      <w:bookmarkStart w:id="435" w:name="_Toc467706410"/>
      <w:bookmarkStart w:id="436" w:name="_Toc147677260"/>
      <w:bookmarkStart w:id="437" w:name="_Toc467615181"/>
      <w:bookmarkStart w:id="438" w:name="_Toc471505697"/>
      <w:bookmarkStart w:id="439" w:name="_Toc18794"/>
      <w:bookmarkStart w:id="440" w:name="_Toc468290418"/>
      <w:bookmarkStart w:id="441" w:name="_Toc19567324"/>
      <w:bookmarkStart w:id="442" w:name="_Toc19567034"/>
      <w:r>
        <w:rPr>
          <w:rFonts w:hint="eastAsia" w:ascii="仿宋" w:hAnsi="仿宋" w:eastAsia="仿宋" w:cs="Times New Roman"/>
          <w:b/>
          <w:bCs/>
          <w:kern w:val="0"/>
          <w:sz w:val="36"/>
          <w:szCs w:val="36"/>
        </w:rPr>
        <w:t>第二章 总体要求</w:t>
      </w:r>
      <w:bookmarkEnd w:id="431"/>
      <w:bookmarkEnd w:id="432"/>
      <w:bookmarkEnd w:id="433"/>
      <w:bookmarkEnd w:id="434"/>
      <w:bookmarkEnd w:id="435"/>
      <w:bookmarkEnd w:id="436"/>
      <w:bookmarkEnd w:id="437"/>
      <w:bookmarkEnd w:id="438"/>
      <w:bookmarkEnd w:id="439"/>
      <w:bookmarkEnd w:id="440"/>
      <w:bookmarkEnd w:id="441"/>
      <w:bookmarkEnd w:id="442"/>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443" w:name="_Toc462220220"/>
      <w:bookmarkStart w:id="444" w:name="_Toc468290419"/>
      <w:bookmarkStart w:id="445" w:name="_Toc19567325"/>
      <w:bookmarkStart w:id="446" w:name="_Toc19567035"/>
      <w:bookmarkStart w:id="447" w:name="_Toc467706411"/>
      <w:bookmarkStart w:id="448" w:name="_Toc151751512"/>
      <w:bookmarkStart w:id="449" w:name="_Toc25705128"/>
      <w:bookmarkStart w:id="450" w:name="_Toc467615182"/>
      <w:bookmarkStart w:id="451" w:name="_Toc147677261"/>
      <w:bookmarkStart w:id="452" w:name="_Toc471505698"/>
      <w:bookmarkStart w:id="453" w:name="_Toc19823"/>
      <w:bookmarkStart w:id="454" w:name="_Toc467615522"/>
      <w:r>
        <w:rPr>
          <w:rFonts w:hint="eastAsia" w:ascii="仿宋" w:hAnsi="仿宋" w:eastAsia="仿宋" w:cs="Times New Roman"/>
          <w:b/>
          <w:bCs/>
          <w:kern w:val="0"/>
          <w:sz w:val="32"/>
          <w:szCs w:val="32"/>
        </w:rPr>
        <w:t>第一节 指导思想</w:t>
      </w:r>
      <w:bookmarkEnd w:id="443"/>
      <w:bookmarkEnd w:id="444"/>
      <w:bookmarkEnd w:id="445"/>
      <w:bookmarkEnd w:id="446"/>
      <w:bookmarkEnd w:id="447"/>
      <w:bookmarkEnd w:id="448"/>
      <w:bookmarkEnd w:id="449"/>
      <w:bookmarkEnd w:id="450"/>
      <w:bookmarkEnd w:id="451"/>
      <w:bookmarkEnd w:id="452"/>
      <w:bookmarkEnd w:id="453"/>
      <w:bookmarkEnd w:id="454"/>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以习近平新时代中国特色社会主义思想为指导，深入贯彻党的二十大精神，全面落实习近平总书记关于“三农”工作的重要论述和考察江西重要讲话精神，</w:t>
      </w:r>
      <w:r>
        <w:rPr>
          <w:rFonts w:hint="eastAsia" w:ascii="仿宋" w:hAnsi="仿宋" w:eastAsia="仿宋" w:cs="Times New Roman"/>
          <w:b/>
          <w:kern w:val="0"/>
          <w:sz w:val="28"/>
          <w:szCs w:val="28"/>
        </w:rPr>
        <w:t>聚焦</w:t>
      </w:r>
      <w:r>
        <w:rPr>
          <w:rFonts w:hint="eastAsia" w:ascii="仿宋" w:hAnsi="仿宋" w:eastAsia="仿宋" w:cs="Times New Roman"/>
          <w:kern w:val="0"/>
          <w:sz w:val="28"/>
          <w:szCs w:val="28"/>
        </w:rPr>
        <w:t>“走在前、勇争先、善作为”的目标要求，围绕打造“三大高地”、实施“五大战略”的战略部署，按照宜春市委五届四次全会确定的“咬定一个目标”、发力“五个突破”、聚力“八大攻坚”，奋力谱写中国式现代化的宜春篇章的工作安排，立足宜春富硒资源禀赋和绿色生态区位优势，深入推进农业供给侧结构性改革，坚持把富硒产业作为农业首位产业，创新探索加快中国式现代化建设的宜春实践路径。</w:t>
      </w:r>
      <w:r>
        <w:rPr>
          <w:rFonts w:hint="eastAsia" w:ascii="仿宋" w:hAnsi="仿宋" w:eastAsia="仿宋" w:cs="Times New Roman"/>
          <w:b/>
          <w:kern w:val="0"/>
          <w:sz w:val="28"/>
          <w:szCs w:val="28"/>
        </w:rPr>
        <w:t>坚持</w:t>
      </w:r>
      <w:r>
        <w:rPr>
          <w:rFonts w:hint="eastAsia" w:ascii="仿宋" w:hAnsi="仿宋" w:eastAsia="仿宋" w:cs="Times New Roman"/>
          <w:kern w:val="0"/>
          <w:sz w:val="28"/>
          <w:szCs w:val="28"/>
        </w:rPr>
        <w:t>“富硒+生态+大健康”发展理念，深入推进“世界硒谷·生态宜春”区位战略，极力打造“一县一品”“单品冠军”，提升富硒产业“首位度”，建设“宜春宜品”公共品牌，以产业振兴撬动乡村全面振兴；</w:t>
      </w:r>
      <w:r>
        <w:rPr>
          <w:rFonts w:hint="eastAsia" w:ascii="仿宋" w:hAnsi="仿宋" w:eastAsia="仿宋" w:cs="Times New Roman"/>
          <w:b/>
          <w:kern w:val="0"/>
          <w:sz w:val="28"/>
          <w:szCs w:val="28"/>
        </w:rPr>
        <w:t>坚持</w:t>
      </w:r>
      <w:r>
        <w:rPr>
          <w:rFonts w:hint="eastAsia" w:ascii="仿宋" w:hAnsi="仿宋" w:eastAsia="仿宋" w:cs="Times New Roman"/>
          <w:kern w:val="0"/>
          <w:sz w:val="28"/>
          <w:szCs w:val="28"/>
        </w:rPr>
        <w:t>“硒+</w:t>
      </w:r>
      <w:r>
        <w:rPr>
          <w:rFonts w:ascii="仿宋" w:hAnsi="仿宋" w:eastAsia="仿宋" w:cs="Times New Roman"/>
          <w:kern w:val="0"/>
          <w:sz w:val="28"/>
          <w:szCs w:val="28"/>
        </w:rPr>
        <w:t>X</w:t>
      </w:r>
      <w:r>
        <w:rPr>
          <w:rFonts w:hint="eastAsia" w:ascii="仿宋" w:hAnsi="仿宋" w:eastAsia="仿宋" w:cs="Times New Roman"/>
          <w:kern w:val="0"/>
          <w:sz w:val="28"/>
          <w:szCs w:val="28"/>
        </w:rPr>
        <w:t>”产业发展战略，通过政府引导、企业参与、科技支撑、融合发展、品牌培育和政策保障，加快推进宜春富硒产业全面升级和高质量跨越式发展，进一步打通“绿水青山”向“金山银山”双向转换通道，</w:t>
      </w:r>
      <w:bookmarkStart w:id="455" w:name="_Hlk142386835"/>
      <w:r>
        <w:rPr>
          <w:rFonts w:hint="eastAsia" w:ascii="仿宋" w:hAnsi="仿宋" w:eastAsia="仿宋" w:cs="Times New Roman"/>
          <w:kern w:val="0"/>
          <w:sz w:val="28"/>
          <w:szCs w:val="28"/>
        </w:rPr>
        <w:t>推动富硒产业成为充满活力的支柱产业、富民产业和生态产业</w:t>
      </w:r>
      <w:bookmarkEnd w:id="455"/>
      <w:r>
        <w:rPr>
          <w:rFonts w:hint="eastAsia" w:ascii="仿宋" w:hAnsi="仿宋" w:eastAsia="仿宋" w:cs="Times New Roman"/>
          <w:kern w:val="0"/>
          <w:sz w:val="28"/>
          <w:szCs w:val="28"/>
        </w:rPr>
        <w:t>；</w:t>
      </w:r>
      <w:r>
        <w:rPr>
          <w:rFonts w:hint="eastAsia" w:ascii="仿宋" w:hAnsi="仿宋" w:eastAsia="仿宋" w:cs="Times New Roman"/>
          <w:b/>
          <w:kern w:val="0"/>
          <w:sz w:val="28"/>
          <w:szCs w:val="28"/>
        </w:rPr>
        <w:t>坚持</w:t>
      </w:r>
      <w:r>
        <w:rPr>
          <w:rFonts w:hint="eastAsia" w:ascii="仿宋" w:hAnsi="仿宋" w:eastAsia="仿宋" w:cs="Times New Roman"/>
          <w:kern w:val="0"/>
          <w:sz w:val="28"/>
          <w:szCs w:val="28"/>
        </w:rPr>
        <w:t>品质至上的富硒产业发展路径，牢固树立质量第一意识，加快形成现代富硒产业体系，确保提供更加安全、营养、健康的富硒产品，大力唱响“好硒在宜春、硒养到宜春”名片，把“土特产”变成“金招牌”，使宜春走上一条“天然安全、绿色生态、功能多样、优质高效、富民持久”的富硒产业发展道路。</w:t>
      </w: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456" w:name="_Toc471505699"/>
      <w:bookmarkStart w:id="457" w:name="_Toc147677262"/>
      <w:bookmarkStart w:id="458" w:name="_Toc467615183"/>
      <w:bookmarkStart w:id="459" w:name="_Toc467706412"/>
      <w:bookmarkStart w:id="460" w:name="_Toc151751513"/>
      <w:bookmarkStart w:id="461" w:name="_Toc468290420"/>
      <w:bookmarkStart w:id="462" w:name="_Toc462220221"/>
      <w:bookmarkStart w:id="463" w:name="_Toc25705129"/>
      <w:bookmarkStart w:id="464" w:name="_Toc19567326"/>
      <w:bookmarkStart w:id="465" w:name="_Toc467615523"/>
      <w:bookmarkStart w:id="466" w:name="_Toc6232"/>
      <w:bookmarkStart w:id="467" w:name="_Toc19567036"/>
      <w:r>
        <w:rPr>
          <w:rFonts w:hint="eastAsia" w:ascii="仿宋" w:hAnsi="仿宋" w:eastAsia="仿宋" w:cs="Times New Roman"/>
          <w:b/>
          <w:bCs/>
          <w:kern w:val="0"/>
          <w:sz w:val="32"/>
          <w:szCs w:val="32"/>
        </w:rPr>
        <w:t>第二节 基本原则</w:t>
      </w:r>
      <w:bookmarkEnd w:id="456"/>
      <w:bookmarkEnd w:id="457"/>
      <w:bookmarkEnd w:id="458"/>
      <w:bookmarkEnd w:id="459"/>
      <w:bookmarkEnd w:id="460"/>
      <w:bookmarkEnd w:id="461"/>
      <w:bookmarkEnd w:id="462"/>
      <w:bookmarkEnd w:id="463"/>
      <w:bookmarkEnd w:id="464"/>
      <w:bookmarkEnd w:id="465"/>
      <w:bookmarkEnd w:id="466"/>
      <w:bookmarkEnd w:id="467"/>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468" w:name="_Toc467706413"/>
      <w:bookmarkStart w:id="469" w:name="_Toc17150499"/>
      <w:bookmarkStart w:id="470" w:name="_Toc145858149"/>
      <w:bookmarkStart w:id="471" w:name="_Toc462220222"/>
      <w:bookmarkStart w:id="472" w:name="_Toc468350405"/>
      <w:bookmarkStart w:id="473" w:name="_Toc144921115"/>
      <w:bookmarkStart w:id="474" w:name="_Toc8805"/>
      <w:bookmarkStart w:id="475" w:name="_Toc147677263"/>
      <w:bookmarkStart w:id="476" w:name="_Toc19567037"/>
      <w:bookmarkStart w:id="477" w:name="_Toc147505284"/>
      <w:bookmarkStart w:id="478" w:name="_Toc467614929"/>
      <w:bookmarkStart w:id="479" w:name="_Toc146743256"/>
      <w:bookmarkStart w:id="480" w:name="_Toc471505700"/>
      <w:bookmarkStart w:id="481" w:name="_Toc19692356"/>
      <w:bookmarkStart w:id="482" w:name="_Toc468289128"/>
      <w:bookmarkStart w:id="483" w:name="_Toc467615184"/>
      <w:bookmarkStart w:id="484" w:name="_Toc146745846"/>
      <w:bookmarkStart w:id="485" w:name="_Toc149730103"/>
      <w:bookmarkStart w:id="486" w:name="_Toc25705130"/>
      <w:bookmarkStart w:id="487" w:name="_Toc151219502"/>
      <w:bookmarkStart w:id="488" w:name="_Toc146743061"/>
      <w:bookmarkStart w:id="489" w:name="_Toc147314270"/>
      <w:bookmarkStart w:id="490" w:name="_Toc461146954"/>
      <w:bookmarkStart w:id="491" w:name="_Toc467615524"/>
      <w:bookmarkStart w:id="492" w:name="_Toc80624779"/>
      <w:bookmarkStart w:id="493" w:name="_Toc19567327"/>
      <w:bookmarkStart w:id="494" w:name="_Toc468290421"/>
      <w:r>
        <w:rPr>
          <w:rFonts w:ascii="仿宋" w:hAnsi="仿宋" w:eastAsia="仿宋" w:cs="Times New Roman"/>
          <w:b/>
          <w:bCs/>
          <w:kern w:val="0"/>
          <w:sz w:val="28"/>
          <w:szCs w:val="28"/>
        </w:rPr>
        <w:t>——坚持因地制宜。</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Pr>
          <w:rFonts w:hint="eastAsia" w:ascii="仿宋" w:hAnsi="仿宋" w:eastAsia="仿宋" w:cs="Times New Roman"/>
          <w:kern w:val="0"/>
          <w:sz w:val="28"/>
          <w:szCs w:val="28"/>
        </w:rPr>
        <w:t>以富硒资源为本底，立足地方特色经济，做实做响宜春市“土特产”文章，综合考虑发展富硒产业的资源条件、经济实力、交通优势、发展潜力、市场需求等因素，突出重点区域、重点产业，打造“一县一品”“单品冠军”，科学谋划、超前布局、分步实施，提高规划的实用性和可操作性。</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495" w:name="_Toc80624780"/>
      <w:bookmarkStart w:id="496" w:name="_Toc147505285"/>
      <w:bookmarkStart w:id="497" w:name="_Toc144921116"/>
      <w:bookmarkStart w:id="498" w:name="_Toc147677264"/>
      <w:bookmarkStart w:id="499" w:name="_Toc151219503"/>
      <w:bookmarkStart w:id="500" w:name="_Toc19567038"/>
      <w:bookmarkStart w:id="501" w:name="_Toc149730104"/>
      <w:bookmarkStart w:id="502" w:name="_Toc17150500"/>
      <w:bookmarkStart w:id="503" w:name="_Toc19692357"/>
      <w:bookmarkStart w:id="504" w:name="_Toc25705131"/>
      <w:bookmarkStart w:id="505" w:name="_Toc19567328"/>
      <w:bookmarkStart w:id="506" w:name="_Toc146743257"/>
      <w:bookmarkStart w:id="507" w:name="_Toc145858150"/>
      <w:bookmarkStart w:id="508" w:name="_Toc13526"/>
      <w:bookmarkStart w:id="509" w:name="_Toc146745847"/>
      <w:bookmarkStart w:id="510" w:name="_Toc147314271"/>
      <w:bookmarkStart w:id="511" w:name="_Toc146743062"/>
      <w:bookmarkStart w:id="512" w:name="_Toc461146955"/>
      <w:bookmarkStart w:id="513" w:name="_Toc467614930"/>
      <w:bookmarkStart w:id="514" w:name="_Toc467706414"/>
      <w:bookmarkStart w:id="515" w:name="_Toc468290422"/>
      <w:bookmarkStart w:id="516" w:name="_Toc468289129"/>
      <w:bookmarkStart w:id="517" w:name="_Toc468350406"/>
      <w:bookmarkStart w:id="518" w:name="_Toc467615185"/>
      <w:bookmarkStart w:id="519" w:name="_Toc462220223"/>
      <w:bookmarkStart w:id="520" w:name="_Toc467615525"/>
      <w:bookmarkStart w:id="521" w:name="_Toc471505701"/>
      <w:r>
        <w:rPr>
          <w:rFonts w:ascii="仿宋" w:hAnsi="仿宋" w:eastAsia="仿宋" w:cs="Times New Roman"/>
          <w:b/>
          <w:bCs/>
          <w:kern w:val="0"/>
          <w:sz w:val="28"/>
          <w:szCs w:val="28"/>
        </w:rPr>
        <w:t>——坚持</w:t>
      </w:r>
      <w:r>
        <w:rPr>
          <w:rFonts w:hint="eastAsia" w:ascii="仿宋" w:hAnsi="仿宋" w:eastAsia="仿宋" w:cs="Times New Roman"/>
          <w:b/>
          <w:bCs/>
          <w:kern w:val="0"/>
          <w:sz w:val="28"/>
          <w:szCs w:val="28"/>
        </w:rPr>
        <w:t>融合发展</w:t>
      </w:r>
      <w:r>
        <w:rPr>
          <w:rFonts w:ascii="仿宋" w:hAnsi="仿宋" w:eastAsia="仿宋" w:cs="Times New Roman"/>
          <w:b/>
          <w:bCs/>
          <w:kern w:val="0"/>
          <w:sz w:val="28"/>
          <w:szCs w:val="28"/>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Pr>
          <w:rFonts w:hint="eastAsia" w:ascii="仿宋" w:hAnsi="仿宋" w:eastAsia="仿宋" w:cs="Times New Roman"/>
          <w:kern w:val="0"/>
          <w:sz w:val="28"/>
          <w:szCs w:val="28"/>
        </w:rPr>
        <w:t>以富硒产业为基础，构建富硒“</w:t>
      </w:r>
      <w:r>
        <w:rPr>
          <w:rFonts w:ascii="仿宋" w:hAnsi="仿宋" w:eastAsia="仿宋" w:cs="Times New Roman"/>
          <w:kern w:val="0"/>
          <w:sz w:val="28"/>
          <w:szCs w:val="28"/>
        </w:rPr>
        <w:t>6+X</w:t>
      </w:r>
      <w:r>
        <w:rPr>
          <w:rFonts w:hint="eastAsia" w:ascii="仿宋" w:hAnsi="仿宋" w:eastAsia="仿宋" w:cs="Times New Roman"/>
          <w:kern w:val="0"/>
          <w:sz w:val="28"/>
          <w:szCs w:val="28"/>
        </w:rPr>
        <w:t>”产业体系，一主多辅、三产融合。重点发展富硒大米、富硒竹笋、富硒果蔬、富硒禽蛋、富硒茶叶、富硒中药材六类主导产业，鼓励发展富硒油茶、富硒水产、富硒食品加工、富硒康养等特色产业。加快</w:t>
      </w:r>
      <w:r>
        <w:rPr>
          <w:rFonts w:ascii="仿宋" w:hAnsi="仿宋" w:eastAsia="仿宋" w:cs="Times New Roman"/>
          <w:kern w:val="0"/>
          <w:sz w:val="28"/>
          <w:szCs w:val="28"/>
        </w:rPr>
        <w:t>富硒</w:t>
      </w:r>
      <w:r>
        <w:rPr>
          <w:rFonts w:hint="eastAsia" w:ascii="仿宋" w:hAnsi="仿宋" w:eastAsia="仿宋" w:cs="Times New Roman"/>
          <w:kern w:val="0"/>
          <w:sz w:val="28"/>
          <w:szCs w:val="28"/>
        </w:rPr>
        <w:t>全产业链、全价值链建设，实现“三产共兴”的新局面，提升富硒产业市场占有率。</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522" w:name="_Toc151219504"/>
      <w:bookmarkStart w:id="523" w:name="_Toc19692358"/>
      <w:bookmarkStart w:id="524" w:name="_Toc25705132"/>
      <w:bookmarkStart w:id="525" w:name="_Toc145858151"/>
      <w:bookmarkStart w:id="526" w:name="_Toc146743258"/>
      <w:bookmarkStart w:id="527" w:name="_Toc17150501"/>
      <w:bookmarkStart w:id="528" w:name="_Toc147314272"/>
      <w:bookmarkStart w:id="529" w:name="_Toc146745848"/>
      <w:bookmarkStart w:id="530" w:name="_Toc80624781"/>
      <w:bookmarkStart w:id="531" w:name="_Toc147677265"/>
      <w:bookmarkStart w:id="532" w:name="_Toc19567039"/>
      <w:bookmarkStart w:id="533" w:name="_Toc19567329"/>
      <w:bookmarkStart w:id="534" w:name="_Toc22757"/>
      <w:bookmarkStart w:id="535" w:name="_Toc146743063"/>
      <w:bookmarkStart w:id="536" w:name="_Toc144921117"/>
      <w:bookmarkStart w:id="537" w:name="_Toc147505286"/>
      <w:bookmarkStart w:id="538" w:name="_Toc149730105"/>
      <w:r>
        <w:rPr>
          <w:rFonts w:ascii="仿宋" w:hAnsi="仿宋" w:eastAsia="仿宋" w:cs="Times New Roman"/>
          <w:b/>
          <w:bCs/>
          <w:kern w:val="0"/>
          <w:sz w:val="28"/>
          <w:szCs w:val="28"/>
        </w:rPr>
        <w:t>——坚持</w:t>
      </w:r>
      <w:r>
        <w:rPr>
          <w:rFonts w:hint="eastAsia" w:ascii="仿宋" w:hAnsi="仿宋" w:eastAsia="仿宋" w:cs="Times New Roman"/>
          <w:b/>
          <w:bCs/>
          <w:kern w:val="0"/>
          <w:sz w:val="28"/>
          <w:szCs w:val="28"/>
        </w:rPr>
        <w:t>市场导向</w:t>
      </w:r>
      <w:r>
        <w:rPr>
          <w:rFonts w:ascii="仿宋" w:hAnsi="仿宋" w:eastAsia="仿宋" w:cs="Times New Roman"/>
          <w:b/>
          <w:bCs/>
          <w:kern w:val="0"/>
          <w:sz w:val="28"/>
          <w:szCs w:val="28"/>
        </w:rPr>
        <w: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rFonts w:ascii="仿宋" w:hAnsi="仿宋" w:eastAsia="仿宋" w:cs="Times New Roman"/>
          <w:kern w:val="0"/>
          <w:sz w:val="28"/>
          <w:szCs w:val="28"/>
        </w:rPr>
        <w:t>以市场需求为导向，</w:t>
      </w:r>
      <w:r>
        <w:rPr>
          <w:rFonts w:hint="eastAsia" w:ascii="仿宋" w:hAnsi="仿宋" w:eastAsia="仿宋" w:cs="Times New Roman"/>
          <w:kern w:val="0"/>
          <w:sz w:val="28"/>
          <w:szCs w:val="28"/>
        </w:rPr>
        <w:t>充分发挥市场在资源配置中的决定性作用，激活市场要素和各类经营主体，引导形成以企业为主体、农民参与和社会支持相结合的富硒产业发展格局。积极发挥政府的引领和扶持作用，加强投入、规范管理、服务到位，加强“企业+基地+合作社（农户）”的组织运作，实现标准化生产、市场化经营、社会化服务、规范化管理的富硒产业发展模式。</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539" w:name="_Toc149730106"/>
      <w:bookmarkStart w:id="540" w:name="_Toc21246"/>
      <w:bookmarkStart w:id="541" w:name="_Toc146743259"/>
      <w:bookmarkStart w:id="542" w:name="_Toc147314273"/>
      <w:bookmarkStart w:id="543" w:name="_Toc146745849"/>
      <w:bookmarkStart w:id="544" w:name="_Toc151219505"/>
      <w:bookmarkStart w:id="545" w:name="_Toc461146956"/>
      <w:bookmarkStart w:id="546" w:name="_Toc80624782"/>
      <w:bookmarkStart w:id="547" w:name="_Toc144921118"/>
      <w:bookmarkStart w:id="548" w:name="_Toc145858152"/>
      <w:bookmarkStart w:id="549" w:name="_Toc19567330"/>
      <w:bookmarkStart w:id="550" w:name="_Toc467614931"/>
      <w:bookmarkStart w:id="551" w:name="_Toc467615526"/>
      <w:bookmarkStart w:id="552" w:name="_Toc147677266"/>
      <w:bookmarkStart w:id="553" w:name="_Toc468289130"/>
      <w:bookmarkStart w:id="554" w:name="_Toc462220224"/>
      <w:bookmarkStart w:id="555" w:name="_Toc19692359"/>
      <w:bookmarkStart w:id="556" w:name="_Toc25705133"/>
      <w:bookmarkStart w:id="557" w:name="_Toc468290423"/>
      <w:bookmarkStart w:id="558" w:name="_Toc147505287"/>
      <w:bookmarkStart w:id="559" w:name="_Toc471505702"/>
      <w:bookmarkStart w:id="560" w:name="_Toc17150502"/>
      <w:bookmarkStart w:id="561" w:name="_Toc467706415"/>
      <w:bookmarkStart w:id="562" w:name="_Toc468350407"/>
      <w:bookmarkStart w:id="563" w:name="_Toc19567040"/>
      <w:bookmarkStart w:id="564" w:name="_Toc146743064"/>
      <w:bookmarkStart w:id="565" w:name="_Toc467615186"/>
      <w:r>
        <w:rPr>
          <w:rFonts w:ascii="仿宋" w:hAnsi="仿宋" w:eastAsia="仿宋" w:cs="Times New Roman"/>
          <w:b/>
          <w:bCs/>
          <w:kern w:val="0"/>
          <w:sz w:val="28"/>
          <w:szCs w:val="28"/>
        </w:rPr>
        <w:t>——坚持</w:t>
      </w:r>
      <w:r>
        <w:rPr>
          <w:rFonts w:hint="eastAsia" w:ascii="仿宋" w:hAnsi="仿宋" w:eastAsia="仿宋" w:cs="Times New Roman"/>
          <w:b/>
          <w:bCs/>
          <w:kern w:val="0"/>
          <w:sz w:val="28"/>
          <w:szCs w:val="28"/>
        </w:rPr>
        <w:t>品牌战略</w:t>
      </w:r>
      <w:r>
        <w:rPr>
          <w:rFonts w:ascii="仿宋" w:hAnsi="仿宋" w:eastAsia="仿宋" w:cs="Times New Roman"/>
          <w:b/>
          <w:bCs/>
          <w:kern w:val="0"/>
          <w:sz w:val="28"/>
          <w:szCs w:val="28"/>
        </w:rPr>
        <w:t>。</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Start w:id="566" w:name="_Toc25705134"/>
      <w:bookmarkStart w:id="567" w:name="_Toc471505703"/>
      <w:bookmarkStart w:id="568" w:name="_Toc19567041"/>
      <w:bookmarkStart w:id="569" w:name="_Toc461146957"/>
      <w:bookmarkStart w:id="570" w:name="_Toc467615187"/>
      <w:bookmarkStart w:id="571" w:name="_Toc468350408"/>
      <w:bookmarkStart w:id="572" w:name="_Toc462220225"/>
      <w:bookmarkStart w:id="573" w:name="_Toc17150503"/>
      <w:bookmarkStart w:id="574" w:name="_Toc468289131"/>
      <w:bookmarkStart w:id="575" w:name="_Toc467614932"/>
      <w:bookmarkStart w:id="576" w:name="_Toc468290424"/>
      <w:bookmarkStart w:id="577" w:name="_Toc19567331"/>
      <w:bookmarkStart w:id="578" w:name="_Toc80624783"/>
      <w:bookmarkStart w:id="579" w:name="_Toc19692360"/>
      <w:bookmarkStart w:id="580" w:name="_Toc467706416"/>
      <w:bookmarkStart w:id="581" w:name="_Toc467615527"/>
      <w:r>
        <w:rPr>
          <w:rFonts w:hint="eastAsia" w:ascii="仿宋" w:hAnsi="仿宋" w:eastAsia="仿宋" w:cs="Times New Roman"/>
          <w:kern w:val="0"/>
          <w:sz w:val="28"/>
          <w:szCs w:val="28"/>
        </w:rPr>
        <w:t>以区域特色为支撑，发展特色县域经济，培育和壮大富硒品牌，鼓励发展更多的企业品牌和县域品牌。</w:t>
      </w:r>
      <w:r>
        <w:rPr>
          <w:rFonts w:ascii="仿宋" w:hAnsi="仿宋" w:eastAsia="仿宋" w:cs="Times New Roman"/>
          <w:kern w:val="0"/>
          <w:sz w:val="28"/>
          <w:szCs w:val="28"/>
        </w:rPr>
        <w:t>整合</w:t>
      </w:r>
      <w:r>
        <w:rPr>
          <w:rFonts w:hint="eastAsia" w:ascii="仿宋" w:hAnsi="仿宋" w:eastAsia="仿宋" w:cs="Times New Roman"/>
          <w:kern w:val="0"/>
          <w:sz w:val="28"/>
          <w:szCs w:val="28"/>
        </w:rPr>
        <w:t>各地</w:t>
      </w:r>
      <w:r>
        <w:rPr>
          <w:rFonts w:ascii="仿宋" w:hAnsi="仿宋" w:eastAsia="仿宋" w:cs="Times New Roman"/>
          <w:kern w:val="0"/>
          <w:sz w:val="28"/>
          <w:szCs w:val="28"/>
        </w:rPr>
        <w:t>优势资源，形成功能互补</w:t>
      </w:r>
      <w:r>
        <w:rPr>
          <w:rFonts w:hint="eastAsia" w:ascii="仿宋" w:hAnsi="仿宋" w:eastAsia="仿宋" w:cs="Times New Roman"/>
          <w:kern w:val="0"/>
          <w:sz w:val="28"/>
          <w:szCs w:val="28"/>
        </w:rPr>
        <w:t>、</w:t>
      </w:r>
      <w:r>
        <w:rPr>
          <w:rFonts w:ascii="仿宋" w:hAnsi="仿宋" w:eastAsia="仿宋" w:cs="Times New Roman"/>
          <w:kern w:val="0"/>
          <w:sz w:val="28"/>
          <w:szCs w:val="28"/>
        </w:rPr>
        <w:t>协同发展的格局，</w:t>
      </w:r>
      <w:r>
        <w:rPr>
          <w:rFonts w:hint="eastAsia" w:ascii="仿宋" w:hAnsi="仿宋" w:eastAsia="仿宋" w:cs="Times New Roman"/>
          <w:kern w:val="0"/>
          <w:sz w:val="28"/>
          <w:szCs w:val="28"/>
        </w:rPr>
        <w:t>深入贯彻江西“生态鄱阳湖·绿色农产品”品牌战略，持续推进“四统一分”经营管理模式，加快构建“1</w:t>
      </w:r>
      <w:r>
        <w:rPr>
          <w:rFonts w:ascii="仿宋" w:hAnsi="仿宋" w:eastAsia="仿宋" w:cs="Times New Roman"/>
          <w:kern w:val="0"/>
          <w:sz w:val="28"/>
          <w:szCs w:val="28"/>
        </w:rPr>
        <w:t>+N</w:t>
      </w:r>
      <w:r>
        <w:rPr>
          <w:rFonts w:hint="eastAsia" w:ascii="仿宋" w:hAnsi="仿宋" w:eastAsia="仿宋" w:cs="Times New Roman"/>
          <w:kern w:val="0"/>
          <w:sz w:val="28"/>
          <w:szCs w:val="28"/>
        </w:rPr>
        <w:t>”品牌体系，强化宜春富硒品牌文化和品牌宣传，</w:t>
      </w:r>
      <w:r>
        <w:rPr>
          <w:rFonts w:ascii="仿宋" w:hAnsi="仿宋" w:eastAsia="仿宋" w:cs="Times New Roman"/>
          <w:kern w:val="0"/>
          <w:sz w:val="28"/>
          <w:szCs w:val="28"/>
        </w:rPr>
        <w:t>增强</w:t>
      </w:r>
      <w:r>
        <w:rPr>
          <w:rFonts w:hint="eastAsia" w:ascii="仿宋" w:hAnsi="仿宋" w:eastAsia="仿宋" w:cs="Times New Roman"/>
          <w:kern w:val="0"/>
          <w:sz w:val="28"/>
          <w:szCs w:val="28"/>
        </w:rPr>
        <w:t>市场</w:t>
      </w:r>
      <w:r>
        <w:rPr>
          <w:rFonts w:ascii="仿宋" w:hAnsi="仿宋" w:eastAsia="仿宋" w:cs="Times New Roman"/>
          <w:kern w:val="0"/>
          <w:sz w:val="28"/>
          <w:szCs w:val="28"/>
        </w:rPr>
        <w:t>影响力。</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582" w:name="_Toc147505288"/>
      <w:bookmarkStart w:id="583" w:name="_Toc146743065"/>
      <w:bookmarkStart w:id="584" w:name="_Toc146745850"/>
      <w:bookmarkStart w:id="585" w:name="_Toc147677267"/>
      <w:bookmarkStart w:id="586" w:name="_Toc149730107"/>
      <w:bookmarkStart w:id="587" w:name="_Toc147314274"/>
      <w:bookmarkStart w:id="588" w:name="_Toc145858153"/>
      <w:bookmarkStart w:id="589" w:name="_Toc151219506"/>
      <w:bookmarkStart w:id="590" w:name="_Toc2195"/>
      <w:bookmarkStart w:id="591" w:name="_Toc144921119"/>
      <w:bookmarkStart w:id="592" w:name="_Toc146743260"/>
      <w:r>
        <w:rPr>
          <w:rFonts w:ascii="仿宋" w:hAnsi="仿宋" w:eastAsia="仿宋" w:cs="Times New Roman"/>
          <w:b/>
          <w:bCs/>
          <w:kern w:val="0"/>
          <w:sz w:val="28"/>
          <w:szCs w:val="28"/>
        </w:rPr>
        <w:t>——坚持科技</w:t>
      </w:r>
      <w:r>
        <w:rPr>
          <w:rFonts w:hint="eastAsia" w:ascii="仿宋" w:hAnsi="仿宋" w:eastAsia="仿宋" w:cs="Times New Roman"/>
          <w:b/>
          <w:bCs/>
          <w:kern w:val="0"/>
          <w:sz w:val="28"/>
          <w:szCs w:val="28"/>
        </w:rPr>
        <w:t>赋能</w:t>
      </w:r>
      <w:r>
        <w:rPr>
          <w:rFonts w:ascii="仿宋" w:hAnsi="仿宋" w:eastAsia="仿宋" w:cs="Times New Roman"/>
          <w:b/>
          <w:bCs/>
          <w:kern w:val="0"/>
          <w:sz w:val="28"/>
          <w:szCs w:val="28"/>
        </w:rPr>
        <w: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Pr>
          <w:rFonts w:hint="eastAsia" w:ascii="仿宋" w:hAnsi="仿宋" w:eastAsia="仿宋" w:cs="Times New Roman"/>
          <w:kern w:val="0"/>
          <w:sz w:val="28"/>
          <w:szCs w:val="28"/>
        </w:rPr>
        <w:t>以创新驱动为关键，围绕富硒产业的发展瓶颈、关键技术问题，充分发挥相关企业和农民团体的首创精神，鼓励支持农民、企业和民间资本投资富硒科技，加强富硒产业关键技术原始自主创新。推进“博士挂县联企”活动，利用科研院所人才优势，助力企业科技创新和产业升级。推进政产学研协同创新，加强新品种、新技术、新工艺、新体制应用推广，增强产业科技支撑能力。</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593" w:name="_Toc467615189"/>
      <w:bookmarkStart w:id="594" w:name="_Toc146743262"/>
      <w:bookmarkStart w:id="595" w:name="_Toc151219507"/>
      <w:bookmarkStart w:id="596" w:name="_Toc462220227"/>
      <w:bookmarkStart w:id="597" w:name="_Toc17150505"/>
      <w:bookmarkStart w:id="598" w:name="_Toc468289133"/>
      <w:bookmarkStart w:id="599" w:name="_Toc17556"/>
      <w:bookmarkStart w:id="600" w:name="_Toc147677268"/>
      <w:bookmarkStart w:id="601" w:name="_Toc467615529"/>
      <w:bookmarkStart w:id="602" w:name="_Toc147505290"/>
      <w:bookmarkStart w:id="603" w:name="_Toc25705136"/>
      <w:bookmarkStart w:id="604" w:name="_Toc144921121"/>
      <w:bookmarkStart w:id="605" w:name="_Toc146745852"/>
      <w:bookmarkStart w:id="606" w:name="_Toc80624785"/>
      <w:bookmarkStart w:id="607" w:name="_Toc147314276"/>
      <w:bookmarkStart w:id="608" w:name="_Toc468350410"/>
      <w:bookmarkStart w:id="609" w:name="_Toc149730108"/>
      <w:bookmarkStart w:id="610" w:name="_Toc19567043"/>
      <w:bookmarkStart w:id="611" w:name="_Toc468290426"/>
      <w:bookmarkStart w:id="612" w:name="_Toc471505705"/>
      <w:bookmarkStart w:id="613" w:name="_Toc467706418"/>
      <w:bookmarkStart w:id="614" w:name="_Toc146743067"/>
      <w:bookmarkStart w:id="615" w:name="_Toc461146959"/>
      <w:bookmarkStart w:id="616" w:name="_Toc19692362"/>
      <w:bookmarkStart w:id="617" w:name="_Toc19567333"/>
      <w:bookmarkStart w:id="618" w:name="_Toc145858155"/>
      <w:bookmarkStart w:id="619" w:name="_Toc467614934"/>
      <w:bookmarkStart w:id="620" w:name="_Toc145858154"/>
      <w:bookmarkStart w:id="621" w:name="_Toc19567332"/>
      <w:bookmarkStart w:id="622" w:name="_Toc19692361"/>
      <w:bookmarkStart w:id="623" w:name="_Toc147505289"/>
      <w:bookmarkStart w:id="624" w:name="_Toc144921120"/>
      <w:bookmarkStart w:id="625" w:name="_Toc462220226"/>
      <w:bookmarkStart w:id="626" w:name="_Toc468350409"/>
      <w:bookmarkStart w:id="627" w:name="_Toc147314275"/>
      <w:bookmarkStart w:id="628" w:name="_Toc14378"/>
      <w:bookmarkStart w:id="629" w:name="_Toc467706417"/>
      <w:bookmarkStart w:id="630" w:name="_Toc467614933"/>
      <w:bookmarkStart w:id="631" w:name="_Toc467615528"/>
      <w:bookmarkStart w:id="632" w:name="_Toc25705135"/>
      <w:bookmarkStart w:id="633" w:name="_Toc17150504"/>
      <w:bookmarkStart w:id="634" w:name="_Toc461146958"/>
      <w:bookmarkStart w:id="635" w:name="_Toc146745851"/>
      <w:bookmarkStart w:id="636" w:name="_Toc453150212"/>
      <w:bookmarkStart w:id="637" w:name="_Toc146743261"/>
      <w:bookmarkStart w:id="638" w:name="_Toc80624784"/>
      <w:bookmarkStart w:id="639" w:name="_Toc146743066"/>
      <w:bookmarkStart w:id="640" w:name="_Toc468289132"/>
      <w:bookmarkStart w:id="641" w:name="_Toc19567042"/>
      <w:bookmarkStart w:id="642" w:name="_Toc467615188"/>
      <w:bookmarkStart w:id="643" w:name="_Toc468290425"/>
      <w:bookmarkStart w:id="644" w:name="_Toc471505704"/>
      <w:r>
        <w:rPr>
          <w:rFonts w:ascii="仿宋" w:hAnsi="仿宋" w:eastAsia="仿宋" w:cs="Times New Roman"/>
          <w:b/>
          <w:bCs/>
          <w:kern w:val="0"/>
          <w:sz w:val="28"/>
          <w:szCs w:val="28"/>
        </w:rPr>
        <w:t>——坚持全域</w:t>
      </w:r>
      <w:r>
        <w:rPr>
          <w:rFonts w:hint="eastAsia" w:ascii="仿宋" w:hAnsi="仿宋" w:eastAsia="仿宋" w:cs="Times New Roman"/>
          <w:b/>
          <w:bCs/>
          <w:kern w:val="0"/>
          <w:sz w:val="28"/>
          <w:szCs w:val="28"/>
        </w:rPr>
        <w:t>统筹</w:t>
      </w:r>
      <w:r>
        <w:rPr>
          <w:rFonts w:ascii="仿宋" w:hAnsi="仿宋" w:eastAsia="仿宋" w:cs="Times New Roman"/>
          <w:b/>
          <w:bCs/>
          <w:kern w:val="0"/>
          <w:sz w:val="28"/>
          <w:szCs w:val="28"/>
        </w:rPr>
        <w: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Pr>
          <w:rFonts w:hint="eastAsia" w:ascii="仿宋" w:hAnsi="仿宋" w:eastAsia="仿宋" w:cs="Times New Roman"/>
          <w:kern w:val="0"/>
          <w:sz w:val="28"/>
          <w:szCs w:val="28"/>
        </w:rPr>
        <w:t>以协同发展为方向，结合富硒产业发展规划的实施，以生态为底色、富硒为特色、民生为本色，把发展富硒产业同推进农业产业强镇、富硒康养小镇、美丽乡村建设结合起来，统筹谋划农业空间、城镇空间、生态空间利用格局，坚持生态优先促进产业融合发展、安全发展、高质量发展，助力乡村发展战略和生态文明建设，增强富硒产业发展潜力，提升区域经济发展活力。</w:t>
      </w:r>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645" w:name="_Toc467615531"/>
      <w:bookmarkStart w:id="646" w:name="_Toc25705138"/>
      <w:bookmarkStart w:id="647" w:name="_Toc467615191"/>
      <w:bookmarkStart w:id="648" w:name="_Toc462220229"/>
      <w:bookmarkStart w:id="649" w:name="_Toc468290428"/>
      <w:bookmarkStart w:id="650" w:name="_Toc19567045"/>
      <w:bookmarkStart w:id="651" w:name="_Toc471505707"/>
      <w:bookmarkStart w:id="652" w:name="_Toc19567335"/>
      <w:bookmarkStart w:id="653" w:name="_Toc467706420"/>
      <w:bookmarkStart w:id="654" w:name="_Toc2912"/>
      <w:bookmarkStart w:id="655" w:name="_Toc151751514"/>
      <w:bookmarkStart w:id="656" w:name="_Toc147677269"/>
      <w:r>
        <w:rPr>
          <w:rFonts w:hint="eastAsia" w:ascii="仿宋" w:hAnsi="仿宋" w:eastAsia="仿宋" w:cs="Times New Roman"/>
          <w:b/>
          <w:bCs/>
          <w:kern w:val="0"/>
          <w:sz w:val="32"/>
          <w:szCs w:val="32"/>
        </w:rPr>
        <w:t xml:space="preserve">第三节 </w:t>
      </w:r>
      <w:bookmarkEnd w:id="645"/>
      <w:bookmarkEnd w:id="646"/>
      <w:bookmarkEnd w:id="647"/>
      <w:bookmarkEnd w:id="648"/>
      <w:bookmarkEnd w:id="649"/>
      <w:bookmarkEnd w:id="650"/>
      <w:bookmarkEnd w:id="651"/>
      <w:bookmarkEnd w:id="652"/>
      <w:bookmarkEnd w:id="653"/>
      <w:r>
        <w:rPr>
          <w:rFonts w:hint="eastAsia" w:ascii="仿宋" w:hAnsi="仿宋" w:eastAsia="仿宋" w:cs="Times New Roman"/>
          <w:b/>
          <w:bCs/>
          <w:kern w:val="0"/>
          <w:sz w:val="32"/>
          <w:szCs w:val="32"/>
        </w:rPr>
        <w:t>战略定位</w:t>
      </w:r>
      <w:bookmarkEnd w:id="654"/>
      <w:bookmarkEnd w:id="655"/>
      <w:bookmarkEnd w:id="656"/>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657" w:name="_Toc147677270"/>
      <w:bookmarkStart w:id="658" w:name="_Toc468350413"/>
      <w:bookmarkStart w:id="659" w:name="_Toc19692365"/>
      <w:bookmarkStart w:id="660" w:name="_Toc147314280"/>
      <w:bookmarkStart w:id="661" w:name="_Toc471505708"/>
      <w:bookmarkStart w:id="662" w:name="_Toc19567046"/>
      <w:bookmarkStart w:id="663" w:name="_Toc145858158"/>
      <w:bookmarkStart w:id="664" w:name="_Toc468290429"/>
      <w:bookmarkStart w:id="665" w:name="_Toc467706421"/>
      <w:bookmarkStart w:id="666" w:name="_Toc462220230"/>
      <w:bookmarkStart w:id="667" w:name="_Toc144921124"/>
      <w:bookmarkStart w:id="668" w:name="_Toc17150508"/>
      <w:bookmarkStart w:id="669" w:name="_Toc25705139"/>
      <w:bookmarkStart w:id="670" w:name="_Toc467614937"/>
      <w:bookmarkStart w:id="671" w:name="_Toc146743266"/>
      <w:bookmarkStart w:id="672" w:name="_Toc467615532"/>
      <w:bookmarkStart w:id="673" w:name="_Toc468289136"/>
      <w:bookmarkStart w:id="674" w:name="_Toc467615192"/>
      <w:bookmarkStart w:id="675" w:name="_Toc461146962"/>
      <w:bookmarkStart w:id="676" w:name="_Toc80624788"/>
      <w:bookmarkStart w:id="677" w:name="_Toc27552"/>
      <w:bookmarkStart w:id="678" w:name="_Toc149730110"/>
      <w:bookmarkStart w:id="679" w:name="_Toc19567336"/>
      <w:bookmarkStart w:id="680" w:name="_Toc459633910"/>
      <w:bookmarkStart w:id="681" w:name="_Toc146745856"/>
      <w:bookmarkStart w:id="682" w:name="_Toc147505293"/>
      <w:r>
        <w:rPr>
          <w:rFonts w:hint="eastAsia" w:ascii="仿宋" w:hAnsi="仿宋" w:eastAsia="仿宋" w:cs="Times New Roman"/>
          <w:b/>
          <w:kern w:val="0"/>
          <w:sz w:val="28"/>
          <w:szCs w:val="28"/>
        </w:rPr>
        <w:t>牢牢把握</w:t>
      </w:r>
      <w:r>
        <w:rPr>
          <w:rFonts w:hint="eastAsia" w:ascii="仿宋" w:hAnsi="仿宋" w:eastAsia="仿宋" w:cs="Times New Roman"/>
          <w:kern w:val="0"/>
          <w:sz w:val="28"/>
          <w:szCs w:val="28"/>
        </w:rPr>
        <w:t>赣西区域中心城市建设和国家现代流通战略支点城市建设契机，聚焦全域创建富硒绿色有机农产品示范市，坚持创新驱动、绿色发展，用数字技术赋能富硒产业发展质量变革，突破一批富硒关键核心技术，建成在全国具有重要影响的富硒产业集群，推动富硒产业转型升级，成为引领富硒产业发展新的风向标。</w:t>
      </w:r>
      <w:r>
        <w:rPr>
          <w:rFonts w:hint="eastAsia" w:ascii="仿宋" w:hAnsi="仿宋" w:eastAsia="仿宋" w:cs="Times New Roman"/>
          <w:b/>
          <w:kern w:val="0"/>
          <w:sz w:val="28"/>
          <w:szCs w:val="28"/>
        </w:rPr>
        <w:t>深入贯彻</w:t>
      </w:r>
      <w:r>
        <w:rPr>
          <w:rFonts w:ascii="仿宋" w:hAnsi="仿宋" w:eastAsia="仿宋" w:cs="Times New Roman"/>
          <w:kern w:val="0"/>
          <w:sz w:val="28"/>
          <w:szCs w:val="28"/>
        </w:rPr>
        <w:t>“富硒+生态+大健康”发展</w:t>
      </w:r>
      <w:r>
        <w:rPr>
          <w:rFonts w:hint="eastAsia" w:ascii="仿宋" w:hAnsi="仿宋" w:eastAsia="仿宋" w:cs="Times New Roman"/>
          <w:kern w:val="0"/>
          <w:sz w:val="28"/>
          <w:szCs w:val="28"/>
        </w:rPr>
        <w:t>理念，</w:t>
      </w:r>
      <w:r>
        <w:rPr>
          <w:rFonts w:ascii="仿宋" w:hAnsi="仿宋" w:eastAsia="仿宋" w:cs="Times New Roman"/>
          <w:kern w:val="0"/>
          <w:sz w:val="28"/>
          <w:szCs w:val="28"/>
        </w:rPr>
        <w:t>按照“硒+X”发展模式，</w:t>
      </w:r>
      <w:r>
        <w:rPr>
          <w:rFonts w:hint="eastAsia" w:ascii="仿宋" w:hAnsi="仿宋" w:eastAsia="仿宋" w:cs="Times New Roman"/>
          <w:kern w:val="0"/>
          <w:sz w:val="28"/>
          <w:szCs w:val="28"/>
        </w:rPr>
        <w:t>建设“世界硒谷·生态宜春”，在富硒产业领域“示范走在前，全国勇争先”。</w:t>
      </w:r>
      <w:r>
        <w:rPr>
          <w:rFonts w:hint="eastAsia" w:ascii="仿宋" w:hAnsi="仿宋" w:eastAsia="仿宋" w:cs="Times New Roman"/>
          <w:b/>
          <w:kern w:val="0"/>
          <w:sz w:val="28"/>
          <w:szCs w:val="28"/>
        </w:rPr>
        <w:t>重点抓好</w:t>
      </w:r>
      <w:r>
        <w:rPr>
          <w:rFonts w:hint="eastAsia" w:ascii="仿宋" w:hAnsi="仿宋" w:eastAsia="仿宋" w:cs="Times New Roman"/>
          <w:kern w:val="0"/>
          <w:sz w:val="28"/>
          <w:szCs w:val="28"/>
        </w:rPr>
        <w:t>“1</w:t>
      </w:r>
      <w:r>
        <w:rPr>
          <w:rFonts w:ascii="仿宋" w:hAnsi="仿宋" w:eastAsia="仿宋" w:cs="Times New Roman"/>
          <w:kern w:val="0"/>
          <w:sz w:val="28"/>
          <w:szCs w:val="28"/>
        </w:rPr>
        <w:t>618</w:t>
      </w:r>
      <w:r>
        <w:rPr>
          <w:rFonts w:hint="eastAsia" w:ascii="仿宋" w:hAnsi="仿宋" w:eastAsia="仿宋" w:cs="Times New Roman"/>
          <w:kern w:val="0"/>
          <w:sz w:val="28"/>
          <w:szCs w:val="28"/>
        </w:rPr>
        <w:t>”工程（第一个“1”即将“宜春宜品”一个品牌打造为全国农产品区域公用品牌百强；“6”即打造富硒大米、富硒竹笋、富硒禽蛋、富硒果蔬、富硒茶叶、富硒中药材六个主导产业；第二个“1”即到2</w:t>
      </w:r>
      <w:r>
        <w:rPr>
          <w:rFonts w:ascii="仿宋" w:hAnsi="仿宋" w:eastAsia="仿宋" w:cs="Times New Roman"/>
          <w:kern w:val="0"/>
          <w:sz w:val="28"/>
          <w:szCs w:val="28"/>
        </w:rPr>
        <w:t>030</w:t>
      </w:r>
      <w:r>
        <w:rPr>
          <w:rFonts w:hint="eastAsia" w:ascii="仿宋" w:hAnsi="仿宋" w:eastAsia="仿宋" w:cs="Times New Roman"/>
          <w:kern w:val="0"/>
          <w:sz w:val="28"/>
          <w:szCs w:val="28"/>
        </w:rPr>
        <w:t>年，实现富硒产业综合产值翻一番，突破1</w:t>
      </w:r>
      <w:r>
        <w:rPr>
          <w:rFonts w:ascii="仿宋" w:hAnsi="仿宋" w:eastAsia="仿宋" w:cs="Times New Roman"/>
          <w:kern w:val="0"/>
          <w:sz w:val="28"/>
          <w:szCs w:val="28"/>
        </w:rPr>
        <w:t>200</w:t>
      </w:r>
      <w:r>
        <w:rPr>
          <w:rFonts w:hint="eastAsia" w:ascii="仿宋" w:hAnsi="仿宋" w:eastAsia="仿宋" w:cs="Times New Roman"/>
          <w:kern w:val="0"/>
          <w:sz w:val="28"/>
          <w:szCs w:val="28"/>
        </w:rPr>
        <w:t>亿元大关；“</w:t>
      </w:r>
      <w:r>
        <w:rPr>
          <w:rFonts w:ascii="仿宋" w:hAnsi="仿宋" w:eastAsia="仿宋" w:cs="Times New Roman"/>
          <w:kern w:val="0"/>
          <w:sz w:val="28"/>
          <w:szCs w:val="28"/>
        </w:rPr>
        <w:t>8</w:t>
      </w:r>
      <w:r>
        <w:rPr>
          <w:rFonts w:hint="eastAsia" w:ascii="仿宋" w:hAnsi="仿宋" w:eastAsia="仿宋" w:cs="Times New Roman"/>
          <w:kern w:val="0"/>
          <w:sz w:val="28"/>
          <w:szCs w:val="28"/>
        </w:rPr>
        <w:t>”即落实富硒产业发展八项重点任务），聚力打造“世界硒谷·生态宜春”，形成更强的国内竞争力和国际影响力。</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683" w:name="_Toc151219509"/>
      <w:r>
        <w:rPr>
          <w:rFonts w:hint="eastAsia" w:ascii="仿宋" w:hAnsi="仿宋" w:eastAsia="仿宋" w:cs="Times New Roman"/>
          <w:b/>
          <w:bCs/>
          <w:kern w:val="0"/>
          <w:sz w:val="28"/>
          <w:szCs w:val="28"/>
        </w:rPr>
        <w:t>——富硒产业区域定位</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立足赣西富硒区的区位优势，综合“世界温泉健康名镇”“中国生态硒谷”“世界硒养之都”等已有区域铭牌，逐步形成“世界硒谷·生态宜春”富硒产业区域定位。对接</w:t>
      </w:r>
      <w:r>
        <w:rPr>
          <w:rFonts w:ascii="仿宋" w:hAnsi="仿宋" w:eastAsia="仿宋" w:cs="Times New Roman"/>
          <w:kern w:val="0"/>
          <w:sz w:val="28"/>
          <w:szCs w:val="28"/>
        </w:rPr>
        <w:t>长三角、珠三角</w:t>
      </w:r>
      <w:r>
        <w:rPr>
          <w:rFonts w:hint="eastAsia" w:ascii="仿宋" w:hAnsi="仿宋" w:eastAsia="仿宋" w:cs="Times New Roman"/>
          <w:kern w:val="0"/>
          <w:sz w:val="28"/>
          <w:szCs w:val="28"/>
        </w:rPr>
        <w:t>、闽三角、</w:t>
      </w:r>
      <w:r>
        <w:rPr>
          <w:rFonts w:ascii="仿宋" w:hAnsi="仿宋" w:eastAsia="仿宋" w:cs="Times New Roman"/>
          <w:kern w:val="0"/>
          <w:sz w:val="28"/>
          <w:szCs w:val="28"/>
        </w:rPr>
        <w:t>大湾区</w:t>
      </w:r>
      <w:r>
        <w:rPr>
          <w:rFonts w:hint="eastAsia" w:ascii="仿宋" w:hAnsi="仿宋" w:eastAsia="仿宋" w:cs="Times New Roman"/>
          <w:kern w:val="0"/>
          <w:sz w:val="28"/>
          <w:szCs w:val="28"/>
        </w:rPr>
        <w:t>及更广阔的区域，实现“示范走在前、全国勇争先”的发展目标</w:t>
      </w:r>
      <w:r>
        <w:rPr>
          <w:rFonts w:hint="eastAsia" w:ascii="仿宋" w:hAnsi="仿宋" w:eastAsia="仿宋" w:cs="Times New Roman"/>
          <w:bCs/>
          <w:kern w:val="0"/>
          <w:sz w:val="28"/>
          <w:szCs w:val="28"/>
        </w:rPr>
        <w:t>，实现</w:t>
      </w:r>
      <w:r>
        <w:rPr>
          <w:rFonts w:hint="eastAsia" w:ascii="仿宋" w:hAnsi="仿宋" w:eastAsia="仿宋" w:cs="Times New Roman"/>
          <w:kern w:val="0"/>
          <w:sz w:val="28"/>
          <w:szCs w:val="28"/>
        </w:rPr>
        <w:t>“以硒兴农、以硒旺业、以硒富民”的发展成效</w:t>
      </w:r>
      <w:r>
        <w:rPr>
          <w:rFonts w:hint="eastAsia" w:ascii="仿宋" w:hAnsi="仿宋" w:eastAsia="仿宋" w:cs="Times New Roman"/>
          <w:bCs/>
          <w:kern w:val="0"/>
          <w:sz w:val="28"/>
          <w:szCs w:val="28"/>
        </w:rPr>
        <w:t>。</w:t>
      </w:r>
    </w:p>
    <w:p>
      <w:pPr>
        <w:widowControl/>
        <w:adjustRightInd w:val="0"/>
        <w:snapToGrid w:val="0"/>
        <w:spacing w:after="156" w:afterLines="50"/>
        <w:jc w:val="center"/>
        <w:rPr>
          <w:rFonts w:ascii="仿宋" w:hAnsi="仿宋" w:eastAsia="仿宋" w:cs="Times New Roman"/>
          <w:kern w:val="0"/>
          <w:sz w:val="28"/>
          <w:szCs w:val="28"/>
          <w:bdr w:val="single" w:color="auto" w:sz="4" w:space="0"/>
        </w:rPr>
      </w:pPr>
      <w:r>
        <w:rPr>
          <w:rFonts w:ascii="仿宋" w:hAnsi="仿宋" w:eastAsia="仿宋" w:cs="Times New Roman"/>
          <w:kern w:val="0"/>
          <w:sz w:val="28"/>
          <w:szCs w:val="28"/>
          <w:bdr w:val="single" w:color="auto" w:sz="4" w:space="0"/>
        </w:rPr>
        <w:drawing>
          <wp:inline distT="0" distB="0" distL="0" distR="0">
            <wp:extent cx="6120130" cy="5770880"/>
            <wp:effectExtent l="0" t="0" r="13970" b="1270"/>
            <wp:docPr id="20" name="图片 20" descr="C:\Users\Lenovo\Documents\WeChat Files\a37030375\FileStorage\Temp\6a9e1f0162efaa8472a93cbe8406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ocuments\WeChat Files\a37030375\FileStorage\Temp\6a9e1f0162efaa8472a93cbe840693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20130" cy="5771073"/>
                    </a:xfrm>
                    <a:prstGeom prst="rect">
                      <a:avLst/>
                    </a:prstGeom>
                    <a:noFill/>
                    <a:ln>
                      <a:noFill/>
                    </a:ln>
                  </pic:spPr>
                </pic:pic>
              </a:graphicData>
            </a:graphic>
          </wp:inline>
        </w:drawing>
      </w:r>
    </w:p>
    <w:p>
      <w:pPr>
        <w:adjustRightInd w:val="0"/>
        <w:snapToGrid w:val="0"/>
        <w:spacing w:after="200" w:line="560" w:lineRule="exact"/>
        <w:jc w:val="center"/>
        <w:rPr>
          <w:rFonts w:ascii="仿宋" w:hAnsi="仿宋" w:eastAsia="仿宋" w:cs="Times New Roman"/>
          <w:b/>
          <w:bCs/>
          <w:sz w:val="24"/>
          <w:szCs w:val="24"/>
          <w:lang w:val="en-US" w:eastAsia="zh-CN" w:bidi="ar-SA"/>
        </w:rPr>
      </w:pPr>
      <w:bookmarkStart w:id="684" w:name="_Toc80391417"/>
      <w:r>
        <w:rPr>
          <w:rFonts w:hint="eastAsia" w:ascii="仿宋" w:hAnsi="仿宋" w:eastAsia="仿宋" w:cs="Times New Roman"/>
          <w:b/>
          <w:bCs/>
          <w:sz w:val="24"/>
          <w:szCs w:val="24"/>
          <w:lang w:val="en-US" w:eastAsia="zh-CN" w:bidi="ar-SA"/>
        </w:rPr>
        <w:t>图</w:t>
      </w:r>
      <w:r>
        <w:rPr>
          <w:rFonts w:ascii="仿宋" w:hAnsi="仿宋" w:eastAsia="仿宋" w:cs="Times New Roman"/>
          <w:b/>
          <w:bCs/>
          <w:sz w:val="24"/>
          <w:szCs w:val="24"/>
          <w:lang w:val="en-US" w:eastAsia="zh-CN" w:bidi="ar-SA"/>
        </w:rPr>
        <w:t>3-1</w:t>
      </w:r>
      <w:r>
        <w:rPr>
          <w:rFonts w:hint="eastAsia" w:ascii="仿宋" w:hAnsi="仿宋" w:eastAsia="仿宋" w:cs="Times New Roman"/>
          <w:b/>
          <w:bCs/>
          <w:sz w:val="24"/>
          <w:szCs w:val="24"/>
          <w:lang w:val="en-US" w:eastAsia="zh-CN" w:bidi="ar-SA"/>
        </w:rPr>
        <w:t xml:space="preserve">  宜春市富硒产业发展战略区位示意图</w:t>
      </w:r>
      <w:bookmarkEnd w:id="684"/>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685" w:name="_Toc19692367"/>
      <w:bookmarkStart w:id="686" w:name="_Toc147677271"/>
      <w:bookmarkStart w:id="687" w:name="_Toc146743267"/>
      <w:bookmarkStart w:id="688" w:name="_Toc25705141"/>
      <w:bookmarkStart w:id="689" w:name="_Toc17150510"/>
      <w:bookmarkStart w:id="690" w:name="_Toc467615195"/>
      <w:bookmarkStart w:id="691" w:name="_Toc145858159"/>
      <w:bookmarkStart w:id="692" w:name="_Toc147505294"/>
      <w:bookmarkStart w:id="693" w:name="_Toc461146965"/>
      <w:bookmarkStart w:id="694" w:name="_Toc471505711"/>
      <w:bookmarkStart w:id="695" w:name="_Toc19567048"/>
      <w:bookmarkStart w:id="696" w:name="_Toc467706424"/>
      <w:bookmarkStart w:id="697" w:name="_Toc462220233"/>
      <w:bookmarkStart w:id="698" w:name="_Toc80624789"/>
      <w:bookmarkStart w:id="699" w:name="_Toc468350416"/>
      <w:bookmarkStart w:id="700" w:name="_Toc467614940"/>
      <w:bookmarkStart w:id="701" w:name="_Toc144921125"/>
      <w:bookmarkStart w:id="702" w:name="_Toc468290432"/>
      <w:bookmarkStart w:id="703" w:name="_Toc20952"/>
      <w:bookmarkStart w:id="704" w:name="_Toc149730111"/>
      <w:bookmarkStart w:id="705" w:name="_Toc468289139"/>
      <w:bookmarkStart w:id="706" w:name="_Toc146745857"/>
      <w:bookmarkStart w:id="707" w:name="_Toc459633912"/>
      <w:bookmarkStart w:id="708" w:name="_Toc147314281"/>
      <w:bookmarkStart w:id="709" w:name="_Toc19567338"/>
      <w:bookmarkStart w:id="710" w:name="_Toc151219510"/>
      <w:bookmarkStart w:id="711" w:name="_Toc467615535"/>
      <w:r>
        <w:rPr>
          <w:rFonts w:hint="eastAsia" w:ascii="仿宋" w:hAnsi="仿宋" w:eastAsia="仿宋" w:cs="Times New Roman"/>
          <w:b/>
          <w:bCs/>
          <w:kern w:val="0"/>
          <w:sz w:val="28"/>
          <w:szCs w:val="28"/>
        </w:rPr>
        <w:t>——富硒产业发展定位</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Start w:id="712" w:name="_Toc454398868"/>
      <w:bookmarkStart w:id="713" w:name="_Toc31661"/>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大力实施“十百千万”工程，</w:t>
      </w:r>
      <w:r>
        <w:rPr>
          <w:rFonts w:ascii="仿宋" w:hAnsi="仿宋" w:eastAsia="仿宋" w:cs="Times New Roman"/>
          <w:kern w:val="0"/>
          <w:sz w:val="28"/>
          <w:szCs w:val="28"/>
        </w:rPr>
        <w:t>全产业链打造</w:t>
      </w:r>
      <w:r>
        <w:rPr>
          <w:rFonts w:hint="eastAsia" w:ascii="仿宋" w:hAnsi="仿宋" w:eastAsia="仿宋" w:cs="Times New Roman"/>
          <w:kern w:val="0"/>
          <w:sz w:val="28"/>
          <w:szCs w:val="28"/>
        </w:rPr>
        <w:t>宜春市</w:t>
      </w:r>
      <w:r>
        <w:rPr>
          <w:rFonts w:ascii="仿宋" w:hAnsi="仿宋" w:eastAsia="仿宋" w:cs="Times New Roman"/>
          <w:kern w:val="0"/>
          <w:sz w:val="28"/>
          <w:szCs w:val="28"/>
        </w:rPr>
        <w:t>富硒产业，</w:t>
      </w:r>
      <w:r>
        <w:rPr>
          <w:rFonts w:hint="eastAsia" w:ascii="仿宋" w:hAnsi="仿宋" w:eastAsia="仿宋" w:cs="Times New Roman"/>
          <w:kern w:val="0"/>
          <w:sz w:val="28"/>
          <w:szCs w:val="28"/>
        </w:rPr>
        <w:t>聚焦打造富硒大米、富硒竹笋、富硒禽蛋、富硒果蔬、富硒茶叶、富硒中药材等六个主导产业，发展富硒油茶、富硒水产、富硒食品加工、富硒康养等</w:t>
      </w:r>
      <w:r>
        <w:rPr>
          <w:rFonts w:ascii="仿宋" w:hAnsi="仿宋" w:eastAsia="仿宋" w:cs="Times New Roman"/>
          <w:kern w:val="0"/>
          <w:sz w:val="28"/>
          <w:szCs w:val="28"/>
        </w:rPr>
        <w:t>X</w:t>
      </w:r>
      <w:r>
        <w:rPr>
          <w:rFonts w:hint="eastAsia" w:ascii="仿宋" w:hAnsi="仿宋" w:eastAsia="仿宋" w:cs="Times New Roman"/>
          <w:kern w:val="0"/>
          <w:sz w:val="28"/>
          <w:szCs w:val="28"/>
        </w:rPr>
        <w:t>个本土富硒特色产业，构建富硒“</w:t>
      </w:r>
      <w:r>
        <w:rPr>
          <w:rFonts w:ascii="仿宋" w:hAnsi="仿宋" w:eastAsia="仿宋" w:cs="Times New Roman"/>
          <w:kern w:val="0"/>
          <w:sz w:val="28"/>
          <w:szCs w:val="28"/>
        </w:rPr>
        <w:t>6+X</w:t>
      </w:r>
      <w:r>
        <w:rPr>
          <w:rFonts w:hint="eastAsia" w:ascii="仿宋" w:hAnsi="仿宋" w:eastAsia="仿宋" w:cs="Times New Roman"/>
          <w:kern w:val="0"/>
          <w:sz w:val="28"/>
          <w:szCs w:val="28"/>
        </w:rPr>
        <w:t>”现代富硒产业体系，真正让“富硒地”变成“富裕地”。立足“硒+</w:t>
      </w:r>
      <w:r>
        <w:rPr>
          <w:rFonts w:ascii="仿宋" w:hAnsi="仿宋" w:eastAsia="仿宋" w:cs="Times New Roman"/>
          <w:kern w:val="0"/>
          <w:sz w:val="28"/>
          <w:szCs w:val="28"/>
        </w:rPr>
        <w:t>X</w:t>
      </w:r>
      <w:r>
        <w:rPr>
          <w:rFonts w:hint="eastAsia" w:ascii="仿宋" w:hAnsi="仿宋" w:eastAsia="仿宋" w:cs="Times New Roman"/>
          <w:kern w:val="0"/>
          <w:sz w:val="28"/>
          <w:szCs w:val="28"/>
        </w:rPr>
        <w:t>”发展思路，以“富硒+生态+大健康”为发展理念，“一产为基础、二产为支撑、三产为引领”，做特做优一产、做大做强二产、做活做精三产，实现三产联动、三生（生产、生活、生态）融合与三创（创新、创意、创业）合一，将“硒产业”发展成“硒望产业”。着力打造成全国一流的“4D富硒产业”，即：打造绿色、有机、优质型的</w:t>
      </w:r>
      <w:r>
        <w:rPr>
          <w:rFonts w:hint="eastAsia" w:ascii="仿宋" w:hAnsi="仿宋" w:eastAsia="仿宋" w:cs="Times New Roman"/>
          <w:b/>
          <w:kern w:val="0"/>
          <w:sz w:val="28"/>
          <w:szCs w:val="28"/>
        </w:rPr>
        <w:t>富硒种养示范基地</w:t>
      </w:r>
      <w:r>
        <w:rPr>
          <w:rFonts w:hint="eastAsia" w:ascii="仿宋" w:hAnsi="仿宋" w:eastAsia="仿宋" w:cs="Times New Roman"/>
          <w:kern w:val="0"/>
          <w:sz w:val="28"/>
          <w:szCs w:val="28"/>
        </w:rPr>
        <w:t>；打造安全、营养、功能型的</w:t>
      </w:r>
      <w:r>
        <w:rPr>
          <w:rFonts w:hint="eastAsia" w:ascii="仿宋" w:hAnsi="仿宋" w:eastAsia="仿宋" w:cs="Times New Roman"/>
          <w:b/>
          <w:kern w:val="0"/>
          <w:sz w:val="28"/>
          <w:szCs w:val="28"/>
        </w:rPr>
        <w:t>富硒产品加工高地</w:t>
      </w:r>
      <w:r>
        <w:rPr>
          <w:rFonts w:hint="eastAsia" w:ascii="仿宋" w:hAnsi="仿宋" w:eastAsia="仿宋" w:cs="Times New Roman"/>
          <w:kern w:val="0"/>
          <w:sz w:val="28"/>
          <w:szCs w:val="28"/>
        </w:rPr>
        <w:t>；打造休闲、观光、沉浸型的</w:t>
      </w:r>
      <w:r>
        <w:rPr>
          <w:rFonts w:hint="eastAsia" w:ascii="仿宋" w:hAnsi="仿宋" w:eastAsia="仿宋" w:cs="Times New Roman"/>
          <w:b/>
          <w:kern w:val="0"/>
          <w:sz w:val="28"/>
          <w:szCs w:val="28"/>
        </w:rPr>
        <w:t>富硒康养旅游胜地</w:t>
      </w:r>
      <w:r>
        <w:rPr>
          <w:rFonts w:hint="eastAsia" w:ascii="仿宋" w:hAnsi="仿宋" w:eastAsia="仿宋" w:cs="Times New Roman"/>
          <w:kern w:val="0"/>
          <w:sz w:val="28"/>
          <w:szCs w:val="28"/>
        </w:rPr>
        <w:t>；打造创新、低碳、智慧型的</w:t>
      </w:r>
      <w:r>
        <w:rPr>
          <w:rFonts w:hint="eastAsia" w:ascii="仿宋" w:hAnsi="仿宋" w:eastAsia="仿宋" w:cs="Times New Roman"/>
          <w:b/>
          <w:kern w:val="0"/>
          <w:sz w:val="28"/>
          <w:szCs w:val="28"/>
        </w:rPr>
        <w:t>富硒产业集群宝地</w:t>
      </w:r>
      <w:r>
        <w:rPr>
          <w:rFonts w:hint="eastAsia" w:ascii="仿宋" w:hAnsi="仿宋" w:eastAsia="仿宋" w:cs="Times New Roman"/>
          <w:kern w:val="0"/>
          <w:sz w:val="28"/>
          <w:szCs w:val="28"/>
        </w:rPr>
        <w:t>。</w:t>
      </w:r>
    </w:p>
    <w:bookmarkEnd w:id="712"/>
    <w:bookmarkEnd w:id="713"/>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714" w:name="_Toc19567343"/>
      <w:bookmarkStart w:id="715" w:name="_Toc147677273"/>
      <w:bookmarkStart w:id="716" w:name="_Toc151751515"/>
      <w:bookmarkStart w:id="717" w:name="_Toc468290434"/>
      <w:bookmarkStart w:id="718" w:name="_Toc467615197"/>
      <w:bookmarkStart w:id="719" w:name="_Toc471505713"/>
      <w:bookmarkStart w:id="720" w:name="_Toc25705146"/>
      <w:bookmarkStart w:id="721" w:name="_Toc462220235"/>
      <w:bookmarkStart w:id="722" w:name="_Toc467706426"/>
      <w:bookmarkStart w:id="723" w:name="_Toc27708"/>
      <w:bookmarkStart w:id="724" w:name="_Toc467615537"/>
      <w:bookmarkStart w:id="725" w:name="_Toc19567053"/>
      <w:r>
        <w:rPr>
          <w:rFonts w:hint="eastAsia" w:ascii="仿宋" w:hAnsi="仿宋" w:eastAsia="仿宋" w:cs="Times New Roman"/>
          <w:b/>
          <w:bCs/>
          <w:kern w:val="0"/>
          <w:sz w:val="32"/>
          <w:szCs w:val="32"/>
        </w:rPr>
        <w:t>第四节 发展目标</w:t>
      </w:r>
      <w:bookmarkEnd w:id="714"/>
      <w:bookmarkEnd w:id="715"/>
      <w:bookmarkEnd w:id="716"/>
      <w:bookmarkEnd w:id="717"/>
      <w:bookmarkEnd w:id="718"/>
      <w:bookmarkEnd w:id="719"/>
      <w:bookmarkEnd w:id="720"/>
      <w:bookmarkEnd w:id="721"/>
      <w:bookmarkEnd w:id="722"/>
      <w:bookmarkEnd w:id="723"/>
      <w:bookmarkEnd w:id="724"/>
      <w:bookmarkEnd w:id="725"/>
    </w:p>
    <w:p>
      <w:pPr>
        <w:widowControl/>
        <w:adjustRightInd w:val="0"/>
        <w:snapToGrid w:val="0"/>
        <w:spacing w:after="0" w:line="560" w:lineRule="exact"/>
        <w:ind w:firstLine="560" w:firstLineChars="200"/>
        <w:contextualSpacing/>
        <w:jc w:val="both"/>
        <w:rPr>
          <w:rFonts w:ascii="仿宋" w:hAnsi="仿宋" w:eastAsia="仿宋" w:cs="Times New Roman"/>
          <w:kern w:val="0"/>
          <w:sz w:val="28"/>
          <w:szCs w:val="28"/>
        </w:rPr>
      </w:pPr>
      <w:r>
        <w:rPr>
          <w:rFonts w:hint="eastAsia" w:ascii="仿宋" w:hAnsi="仿宋" w:eastAsia="仿宋" w:cs="Times New Roman"/>
          <w:kern w:val="0"/>
          <w:sz w:val="28"/>
          <w:szCs w:val="28"/>
        </w:rPr>
        <w:t>着力强龙头、补链条、兴业态、树品牌，促进富硒产业全环节提升、全产业融合、全链条增值。持续推进“强链争先”，做大做优做强富硒龙头企业。打造一批富硒产业示范县（市、区）和子品牌，走出一条“三高四强”（高标准、高品质、高效益，强龙头、强技术、强品牌、强管控）的绿色化、优质化、特色化、品牌化的富硒产业高质量跨越式发展之路，形成“世界硒谷·生态宜春”发展之势，实现“以硒强农、以硒兴业、以硒富民”的发展目标，助推宜春市农业农村现代化发展。</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bCs/>
          <w:kern w:val="0"/>
          <w:sz w:val="28"/>
          <w:szCs w:val="28"/>
        </w:rPr>
        <w:t>——示范引领、全面推进阶段（2023-2025年）。</w:t>
      </w:r>
      <w:r>
        <w:rPr>
          <w:rFonts w:hint="eastAsia" w:ascii="仿宋" w:hAnsi="仿宋" w:eastAsia="仿宋" w:cs="Times New Roman"/>
          <w:kern w:val="0"/>
          <w:sz w:val="28"/>
          <w:szCs w:val="28"/>
        </w:rPr>
        <w:t>坚持把富硒产业作为推进农业产业的首位产业，着力做大规模、做强特色、做响品牌、做优标准、做精融合。不断加快全域创建富硒绿色有机农产品示范市步伐，持续推进“四统一分”生产经营模式，推动“宜春宜品”进入全国农产品区域公用品牌百强榜；打造富硒大米、富硒竹笋、富硒禽蛋、富硒果蔬4个百亿产业集群；培育销售收入亿元以上富硒龙头企业100家，其中10亿元以上全产业链头部企业2-3个；建设500万亩富硒产业标准基地。到2025年，力争富硒产业综合产值8</w:t>
      </w:r>
      <w:r>
        <w:rPr>
          <w:rFonts w:ascii="仿宋" w:hAnsi="仿宋" w:eastAsia="仿宋" w:cs="Times New Roman"/>
          <w:kern w:val="0"/>
          <w:sz w:val="28"/>
          <w:szCs w:val="28"/>
        </w:rPr>
        <w:t>50</w:t>
      </w:r>
      <w:r>
        <w:rPr>
          <w:rFonts w:hint="eastAsia" w:ascii="仿宋" w:hAnsi="仿宋" w:eastAsia="仿宋" w:cs="Times New Roman"/>
          <w:kern w:val="0"/>
          <w:sz w:val="28"/>
          <w:szCs w:val="28"/>
        </w:rPr>
        <w:t>亿元以上。其中，富硒农业产值突破</w:t>
      </w:r>
      <w:r>
        <w:rPr>
          <w:rFonts w:ascii="仿宋" w:hAnsi="仿宋" w:eastAsia="仿宋" w:cs="Times New Roman"/>
          <w:kern w:val="0"/>
          <w:sz w:val="28"/>
          <w:szCs w:val="28"/>
        </w:rPr>
        <w:t>280</w:t>
      </w:r>
      <w:r>
        <w:rPr>
          <w:rFonts w:hint="eastAsia" w:ascii="仿宋" w:hAnsi="仿宋" w:eastAsia="仿宋" w:cs="Times New Roman"/>
          <w:kern w:val="0"/>
          <w:sz w:val="28"/>
          <w:szCs w:val="28"/>
        </w:rPr>
        <w:t>亿元以上，富硒加工业突破</w:t>
      </w:r>
      <w:r>
        <w:rPr>
          <w:rFonts w:ascii="仿宋" w:hAnsi="仿宋" w:eastAsia="仿宋" w:cs="Times New Roman"/>
          <w:kern w:val="0"/>
          <w:sz w:val="28"/>
          <w:szCs w:val="28"/>
        </w:rPr>
        <w:t>265</w:t>
      </w:r>
      <w:r>
        <w:rPr>
          <w:rFonts w:hint="eastAsia" w:ascii="仿宋" w:hAnsi="仿宋" w:eastAsia="仿宋" w:cs="Times New Roman"/>
          <w:kern w:val="0"/>
          <w:sz w:val="28"/>
          <w:szCs w:val="28"/>
        </w:rPr>
        <w:t>亿元以上，富硒服务业产值突破</w:t>
      </w:r>
      <w:r>
        <w:rPr>
          <w:rFonts w:ascii="仿宋" w:hAnsi="仿宋" w:eastAsia="仿宋" w:cs="Times New Roman"/>
          <w:kern w:val="0"/>
          <w:sz w:val="28"/>
          <w:szCs w:val="28"/>
        </w:rPr>
        <w:t>305</w:t>
      </w:r>
      <w:r>
        <w:rPr>
          <w:rFonts w:hint="eastAsia" w:ascii="仿宋" w:hAnsi="仿宋" w:eastAsia="仿宋" w:cs="Times New Roman"/>
          <w:kern w:val="0"/>
          <w:sz w:val="28"/>
          <w:szCs w:val="28"/>
        </w:rPr>
        <w:t>亿元以上。初步形成以“绿色、生态、天然”为特质的现代富硒产业化发展体系，以“质优、量增、链全”为特征的硒食品精深加工产业集群，以“休闲、健康、养生”为特色的“世界硒养之都”，使宜春富硒产业具有更强的市场竞争力和社会影响力，“世界硒谷·生态宜春”的区域发展定位日渐成熟。</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bCs/>
          <w:kern w:val="0"/>
          <w:sz w:val="28"/>
          <w:szCs w:val="28"/>
        </w:rPr>
        <w:t>——攻坚突破、提档升级阶段（2</w:t>
      </w:r>
      <w:r>
        <w:rPr>
          <w:rFonts w:ascii="仿宋" w:hAnsi="仿宋" w:eastAsia="仿宋" w:cs="Times New Roman"/>
          <w:b/>
          <w:bCs/>
          <w:kern w:val="0"/>
          <w:sz w:val="28"/>
          <w:szCs w:val="28"/>
        </w:rPr>
        <w:t>026-2030</w:t>
      </w:r>
      <w:r>
        <w:rPr>
          <w:rFonts w:hint="eastAsia" w:ascii="仿宋" w:hAnsi="仿宋" w:eastAsia="仿宋" w:cs="Times New Roman"/>
          <w:b/>
          <w:bCs/>
          <w:kern w:val="0"/>
          <w:sz w:val="28"/>
          <w:szCs w:val="28"/>
        </w:rPr>
        <w:t>年）。</w:t>
      </w:r>
      <w:r>
        <w:rPr>
          <w:rFonts w:hint="eastAsia" w:ascii="仿宋" w:hAnsi="仿宋" w:eastAsia="仿宋" w:cs="Times New Roman"/>
          <w:kern w:val="0"/>
          <w:sz w:val="28"/>
          <w:szCs w:val="28"/>
        </w:rPr>
        <w:t>加强产业融合发展与对外开放，使宜春富硒品牌享誉全国，实现“以硒强农、以硒兴业、以硒富民”的目标。到2</w:t>
      </w:r>
      <w:r>
        <w:rPr>
          <w:rFonts w:ascii="仿宋" w:hAnsi="仿宋" w:eastAsia="仿宋" w:cs="Times New Roman"/>
          <w:kern w:val="0"/>
          <w:sz w:val="28"/>
          <w:szCs w:val="28"/>
        </w:rPr>
        <w:t>030</w:t>
      </w:r>
      <w:r>
        <w:rPr>
          <w:rFonts w:hint="eastAsia" w:ascii="仿宋" w:hAnsi="仿宋" w:eastAsia="仿宋" w:cs="Times New Roman"/>
          <w:kern w:val="0"/>
          <w:sz w:val="28"/>
          <w:szCs w:val="28"/>
        </w:rPr>
        <w:t>年，全市建成富硒基地面积达5</w:t>
      </w:r>
      <w:r>
        <w:rPr>
          <w:rFonts w:ascii="仿宋" w:hAnsi="仿宋" w:eastAsia="仿宋" w:cs="Times New Roman"/>
          <w:kern w:val="0"/>
          <w:sz w:val="28"/>
          <w:szCs w:val="28"/>
        </w:rPr>
        <w:t>66</w:t>
      </w:r>
      <w:r>
        <w:rPr>
          <w:rFonts w:hint="eastAsia" w:ascii="仿宋" w:hAnsi="仿宋" w:eastAsia="仿宋" w:cs="Times New Roman"/>
          <w:kern w:val="0"/>
          <w:sz w:val="28"/>
          <w:szCs w:val="28"/>
        </w:rPr>
        <w:t>万亩，其中万亩以上基地4</w:t>
      </w:r>
      <w:r>
        <w:rPr>
          <w:rFonts w:ascii="仿宋" w:hAnsi="仿宋" w:eastAsia="仿宋" w:cs="Times New Roman"/>
          <w:kern w:val="0"/>
          <w:sz w:val="28"/>
          <w:szCs w:val="28"/>
        </w:rPr>
        <w:t>8</w:t>
      </w:r>
      <w:r>
        <w:rPr>
          <w:rFonts w:hint="eastAsia" w:ascii="仿宋" w:hAnsi="仿宋" w:eastAsia="仿宋" w:cs="Times New Roman"/>
          <w:kern w:val="0"/>
          <w:sz w:val="28"/>
          <w:szCs w:val="28"/>
        </w:rPr>
        <w:t>个，千亩以上基地2</w:t>
      </w:r>
      <w:r>
        <w:rPr>
          <w:rFonts w:ascii="仿宋" w:hAnsi="仿宋" w:eastAsia="仿宋" w:cs="Times New Roman"/>
          <w:kern w:val="0"/>
          <w:sz w:val="28"/>
          <w:szCs w:val="28"/>
        </w:rPr>
        <w:t>40</w:t>
      </w:r>
      <w:r>
        <w:rPr>
          <w:rFonts w:hint="eastAsia" w:ascii="仿宋" w:hAnsi="仿宋" w:eastAsia="仿宋" w:cs="Times New Roman"/>
          <w:kern w:val="0"/>
          <w:sz w:val="28"/>
          <w:szCs w:val="28"/>
        </w:rPr>
        <w:t>个。</w:t>
      </w:r>
      <w:r>
        <w:rPr>
          <w:rFonts w:ascii="仿宋" w:hAnsi="仿宋" w:eastAsia="仿宋" w:cs="Times New Roman"/>
          <w:kern w:val="0"/>
          <w:sz w:val="28"/>
          <w:szCs w:val="28"/>
        </w:rPr>
        <w:t>力争富硒产业综合产值</w:t>
      </w:r>
      <w:r>
        <w:rPr>
          <w:rFonts w:hint="eastAsia" w:ascii="仿宋" w:hAnsi="仿宋" w:eastAsia="仿宋" w:cs="Times New Roman"/>
          <w:kern w:val="0"/>
          <w:sz w:val="28"/>
          <w:szCs w:val="28"/>
        </w:rPr>
        <w:t>1</w:t>
      </w:r>
      <w:r>
        <w:rPr>
          <w:rFonts w:ascii="仿宋" w:hAnsi="仿宋" w:eastAsia="仿宋" w:cs="Times New Roman"/>
          <w:kern w:val="0"/>
          <w:sz w:val="28"/>
          <w:szCs w:val="28"/>
        </w:rPr>
        <w:t>200</w:t>
      </w:r>
      <w:r>
        <w:rPr>
          <w:rFonts w:hint="eastAsia" w:ascii="仿宋" w:hAnsi="仿宋" w:eastAsia="仿宋" w:cs="Times New Roman"/>
          <w:kern w:val="0"/>
          <w:sz w:val="28"/>
          <w:szCs w:val="28"/>
        </w:rPr>
        <w:t>亿元以上，其中，富硒农业产值</w:t>
      </w:r>
      <w:r>
        <w:rPr>
          <w:rFonts w:ascii="仿宋" w:hAnsi="仿宋" w:eastAsia="仿宋" w:cs="Times New Roman"/>
          <w:kern w:val="0"/>
          <w:sz w:val="28"/>
          <w:szCs w:val="28"/>
        </w:rPr>
        <w:t>380</w:t>
      </w:r>
      <w:r>
        <w:rPr>
          <w:rFonts w:hint="eastAsia" w:ascii="仿宋" w:hAnsi="仿宋" w:eastAsia="仿宋" w:cs="Times New Roman"/>
          <w:kern w:val="0"/>
          <w:sz w:val="28"/>
          <w:szCs w:val="28"/>
        </w:rPr>
        <w:t>亿元以上，富硒工业产值</w:t>
      </w:r>
      <w:r>
        <w:rPr>
          <w:rFonts w:ascii="仿宋" w:hAnsi="仿宋" w:eastAsia="仿宋" w:cs="Times New Roman"/>
          <w:kern w:val="0"/>
          <w:sz w:val="28"/>
          <w:szCs w:val="28"/>
        </w:rPr>
        <w:t>390</w:t>
      </w:r>
      <w:r>
        <w:rPr>
          <w:rFonts w:hint="eastAsia" w:ascii="仿宋" w:hAnsi="仿宋" w:eastAsia="仿宋" w:cs="Times New Roman"/>
          <w:kern w:val="0"/>
          <w:sz w:val="28"/>
          <w:szCs w:val="28"/>
        </w:rPr>
        <w:t>亿元以上，富硒服务业产值</w:t>
      </w:r>
      <w:r>
        <w:rPr>
          <w:rFonts w:ascii="仿宋" w:hAnsi="仿宋" w:eastAsia="仿宋" w:cs="Times New Roman"/>
          <w:kern w:val="0"/>
          <w:sz w:val="28"/>
          <w:szCs w:val="28"/>
        </w:rPr>
        <w:t>430</w:t>
      </w:r>
      <w:r>
        <w:rPr>
          <w:rFonts w:hint="eastAsia" w:ascii="仿宋" w:hAnsi="仿宋" w:eastAsia="仿宋" w:cs="Times New Roman"/>
          <w:kern w:val="0"/>
          <w:sz w:val="28"/>
          <w:szCs w:val="28"/>
        </w:rPr>
        <w:t>亿元以上。攻坚突破一批富硒产业“卡脖子”技术，推动“硒+</w:t>
      </w:r>
      <w:r>
        <w:rPr>
          <w:rFonts w:ascii="仿宋" w:hAnsi="仿宋" w:eastAsia="仿宋" w:cs="Times New Roman"/>
          <w:kern w:val="0"/>
          <w:sz w:val="28"/>
          <w:szCs w:val="28"/>
        </w:rPr>
        <w:t>X</w:t>
      </w:r>
      <w:r>
        <w:rPr>
          <w:rFonts w:hint="eastAsia" w:ascii="仿宋" w:hAnsi="仿宋" w:eastAsia="仿宋" w:cs="Times New Roman"/>
          <w:kern w:val="0"/>
          <w:sz w:val="28"/>
          <w:szCs w:val="28"/>
        </w:rPr>
        <w:t>”产业发展势头更加强劲，“硒”成为构成价格的核心要素，</w:t>
      </w:r>
      <w:r>
        <w:rPr>
          <w:rFonts w:ascii="仿宋" w:hAnsi="仿宋" w:eastAsia="仿宋" w:cs="Times New Roman"/>
          <w:kern w:val="0"/>
          <w:sz w:val="28"/>
          <w:szCs w:val="28"/>
        </w:rPr>
        <w:t>“</w:t>
      </w:r>
      <w:r>
        <w:rPr>
          <w:rFonts w:hint="eastAsia" w:ascii="仿宋" w:hAnsi="仿宋" w:eastAsia="仿宋" w:cs="Times New Roman"/>
          <w:kern w:val="0"/>
          <w:sz w:val="28"/>
          <w:szCs w:val="28"/>
        </w:rPr>
        <w:t>富</w:t>
      </w:r>
      <w:r>
        <w:rPr>
          <w:rFonts w:ascii="仿宋" w:hAnsi="仿宋" w:eastAsia="仿宋" w:cs="Times New Roman"/>
          <w:kern w:val="0"/>
          <w:sz w:val="28"/>
          <w:szCs w:val="28"/>
        </w:rPr>
        <w:t>硒+生态+大健康”产业</w:t>
      </w:r>
      <w:r>
        <w:rPr>
          <w:rFonts w:hint="eastAsia" w:ascii="仿宋" w:hAnsi="仿宋" w:eastAsia="仿宋" w:cs="Times New Roman"/>
          <w:kern w:val="0"/>
          <w:sz w:val="28"/>
          <w:szCs w:val="28"/>
        </w:rPr>
        <w:t>经济在宜春经济中地位更加突出，“富硒绿色低碳有机”的富硒产业发展模式基本形成，富硒产业标准化体系基本完善，生产、加工、监督、管理、决策数字化服务体系基本实现全域覆盖，达成“示范走在前、全国勇争先”的产业发展目标，形成“好硒在宜春、硒养到宜春”的市场效应，“世界硒谷·生态宜春”的区域发展定位更加彰显。</w:t>
      </w: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726" w:name="_Toc151751516"/>
      <w:r>
        <w:rPr>
          <w:rFonts w:hint="eastAsia" w:ascii="仿宋" w:hAnsi="仿宋" w:eastAsia="仿宋" w:cs="Times New Roman"/>
          <w:b/>
          <w:bCs/>
          <w:kern w:val="0"/>
          <w:sz w:val="32"/>
          <w:szCs w:val="32"/>
        </w:rPr>
        <w:t>第五节 实施路径</w:t>
      </w:r>
      <w:bookmarkEnd w:id="726"/>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以“世界硒谷·生态宜春”为区域发展引领，以“全市农业的首位”为产业发展定位，以“宜春宜品”为</w:t>
      </w:r>
      <w:r>
        <w:rPr>
          <w:rFonts w:ascii="仿宋" w:hAnsi="仿宋" w:eastAsia="仿宋" w:cs="Times New Roman"/>
          <w:kern w:val="0"/>
          <w:sz w:val="28"/>
          <w:szCs w:val="28"/>
        </w:rPr>
        <w:t>品牌</w:t>
      </w:r>
      <w:r>
        <w:rPr>
          <w:rFonts w:hint="eastAsia" w:ascii="仿宋" w:hAnsi="仿宋" w:eastAsia="仿宋" w:cs="Times New Roman"/>
          <w:kern w:val="0"/>
          <w:sz w:val="28"/>
          <w:szCs w:val="28"/>
        </w:rPr>
        <w:t>建设方向，按照“硒+</w:t>
      </w:r>
      <w:r>
        <w:rPr>
          <w:rFonts w:ascii="仿宋" w:hAnsi="仿宋" w:eastAsia="仿宋" w:cs="Times New Roman"/>
          <w:kern w:val="0"/>
          <w:sz w:val="28"/>
          <w:szCs w:val="28"/>
        </w:rPr>
        <w:t>X</w:t>
      </w:r>
      <w:r>
        <w:rPr>
          <w:rFonts w:hint="eastAsia" w:ascii="仿宋" w:hAnsi="仿宋" w:eastAsia="仿宋" w:cs="Times New Roman"/>
          <w:kern w:val="0"/>
          <w:sz w:val="28"/>
          <w:szCs w:val="28"/>
        </w:rPr>
        <w:t>”的发展思路，立足“现代农业+富硒产业”的发展实际，在“土”上做文章，在“特”上下功夫，在“产”上谋突破，一产打基础、二产做支撑、三产为引领，全产业链打造宜春富硒产业，做大做优做强富硒龙头企业，带动全市产业“强链争先”“优质发展”，在扩规模、提质效、创品牌、优链条等方面持续发力，使得富硒产业成为充满活力的支柱产业、富民产业和生态产业。立足富硒资源禀赋、发展富硒特色经济、打造富硒产业品牌、扩大富硒富民实效，探索富硒产业“产出高效、产品安全、链全质优、资源节约、环境友好”的现代化发展道路，以产业振兴撬动乡村全面振兴。</w:t>
      </w:r>
    </w:p>
    <w:p>
      <w:pPr>
        <w:adjustRightInd w:val="0"/>
        <w:snapToGrid w:val="0"/>
        <w:spacing w:after="200" w:line="560" w:lineRule="exact"/>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表3</w:t>
      </w:r>
      <w:r>
        <w:rPr>
          <w:rFonts w:ascii="仿宋" w:hAnsi="仿宋" w:eastAsia="仿宋" w:cs="Times New Roman"/>
          <w:b/>
          <w:bCs/>
          <w:sz w:val="24"/>
          <w:szCs w:val="24"/>
          <w:lang w:val="en-US" w:eastAsia="zh-CN" w:bidi="ar-SA"/>
        </w:rPr>
        <w:t>-1</w:t>
      </w:r>
      <w:r>
        <w:rPr>
          <w:rFonts w:hint="eastAsia" w:ascii="仿宋" w:hAnsi="仿宋" w:eastAsia="仿宋" w:cs="Times New Roman"/>
          <w:b/>
          <w:bCs/>
          <w:sz w:val="24"/>
          <w:szCs w:val="24"/>
          <w:lang w:val="en-US" w:eastAsia="zh-CN" w:bidi="ar-SA"/>
        </w:rPr>
        <w:t xml:space="preserve">  宜春市富硒产业产值规划目标（单位：亿元）</w:t>
      </w:r>
    </w:p>
    <w:tbl>
      <w:tblPr>
        <w:tblStyle w:val="3"/>
        <w:tblW w:w="5000" w:type="pct"/>
        <w:tblInd w:w="0" w:type="dxa"/>
        <w:tblLayout w:type="autofit"/>
        <w:tblCellMar>
          <w:top w:w="0" w:type="dxa"/>
          <w:left w:w="108" w:type="dxa"/>
          <w:bottom w:w="0" w:type="dxa"/>
          <w:right w:w="108" w:type="dxa"/>
        </w:tblCellMar>
      </w:tblPr>
      <w:tblGrid>
        <w:gridCol w:w="1301"/>
        <w:gridCol w:w="1359"/>
        <w:gridCol w:w="863"/>
        <w:gridCol w:w="962"/>
        <w:gridCol w:w="1011"/>
        <w:gridCol w:w="1419"/>
        <w:gridCol w:w="889"/>
        <w:gridCol w:w="1029"/>
        <w:gridCol w:w="1021"/>
      </w:tblGrid>
      <w:tr>
        <w:tblPrEx>
          <w:tblCellMar>
            <w:top w:w="0" w:type="dxa"/>
            <w:left w:w="108" w:type="dxa"/>
            <w:bottom w:w="0" w:type="dxa"/>
            <w:right w:w="108" w:type="dxa"/>
          </w:tblCellMar>
        </w:tblPrEx>
        <w:trPr>
          <w:trHeight w:val="197" w:hRule="atLeast"/>
          <w:tblHeader/>
        </w:trPr>
        <w:tc>
          <w:tcPr>
            <w:tcW w:w="660" w:type="pct"/>
            <w:vMerge w:val="restart"/>
            <w:tcBorders>
              <w:top w:val="single" w:color="auto" w:sz="4" w:space="0"/>
              <w:bottom w:val="single" w:color="000000" w:sz="4" w:space="0"/>
              <w:right w:val="single" w:color="auto" w:sz="4" w:space="0"/>
            </w:tcBorders>
            <w:shd w:val="clear" w:color="auto" w:fill="auto"/>
            <w:noWrap/>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县（市、区）</w:t>
            </w:r>
          </w:p>
        </w:tc>
        <w:tc>
          <w:tcPr>
            <w:tcW w:w="6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第一阶段富硒产业综合产值</w:t>
            </w:r>
          </w:p>
        </w:tc>
        <w:tc>
          <w:tcPr>
            <w:tcW w:w="1439"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第一阶段富硒产业产值结构</w:t>
            </w:r>
          </w:p>
        </w:tc>
        <w:tc>
          <w:tcPr>
            <w:tcW w:w="7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第二阶段富硒产业综合产值</w:t>
            </w:r>
          </w:p>
        </w:tc>
        <w:tc>
          <w:tcPr>
            <w:tcW w:w="1492" w:type="pct"/>
            <w:gridSpan w:val="3"/>
            <w:tcBorders>
              <w:top w:val="single" w:color="auto" w:sz="4" w:space="0"/>
              <w:left w:val="nil"/>
              <w:bottom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第二阶段富硒产业产值结构</w:t>
            </w:r>
          </w:p>
        </w:tc>
      </w:tr>
      <w:tr>
        <w:tblPrEx>
          <w:tblCellMar>
            <w:top w:w="0" w:type="dxa"/>
            <w:left w:w="108" w:type="dxa"/>
            <w:bottom w:w="0" w:type="dxa"/>
            <w:right w:w="108" w:type="dxa"/>
          </w:tblCellMar>
        </w:tblPrEx>
        <w:trPr>
          <w:trHeight w:val="197" w:hRule="atLeast"/>
          <w:tblHeader/>
        </w:trPr>
        <w:tc>
          <w:tcPr>
            <w:tcW w:w="660" w:type="pct"/>
            <w:vMerge w:val="continue"/>
            <w:tcBorders>
              <w:top w:val="single" w:color="auto" w:sz="4" w:space="0"/>
              <w:bottom w:val="single" w:color="000000"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p>
        </w:tc>
        <w:tc>
          <w:tcPr>
            <w:tcW w:w="6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p>
        </w:tc>
        <w:tc>
          <w:tcPr>
            <w:tcW w:w="438"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农业</w:t>
            </w: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加工</w:t>
            </w:r>
          </w:p>
        </w:tc>
        <w:tc>
          <w:tcPr>
            <w:tcW w:w="512"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服务</w:t>
            </w:r>
          </w:p>
        </w:tc>
        <w:tc>
          <w:tcPr>
            <w:tcW w:w="72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p>
        </w:tc>
        <w:tc>
          <w:tcPr>
            <w:tcW w:w="451"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农业</w:t>
            </w:r>
          </w:p>
        </w:tc>
        <w:tc>
          <w:tcPr>
            <w:tcW w:w="522"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加工</w:t>
            </w:r>
          </w:p>
        </w:tc>
        <w:tc>
          <w:tcPr>
            <w:tcW w:w="519" w:type="pct"/>
            <w:tcBorders>
              <w:top w:val="nil"/>
              <w:left w:val="nil"/>
              <w:bottom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服务</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袁州区</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237.50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19.65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68.49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149.36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336.91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26.60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103.74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206.57</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奉新县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9.40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4.05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2.20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3.15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13.74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5.04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3.44</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5.26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万载县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82.83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41.39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29.23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12.22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125.37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64.96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44.25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16.16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上高县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141.99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19.84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54.80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67.36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189.37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33.54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69.76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86.07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宜丰县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88.98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30.16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14.61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44.21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93.75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34.45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17.15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42.15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靖安县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3.39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3.29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0.10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0.00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4.66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4.51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0.15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0.00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铜鼓县</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5.05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1.29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0.61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3.15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6.58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1.93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1.14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3.51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丰城市</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149.92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94.84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54.80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0.29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226.58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134.22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91.48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0.88</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樟树市</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48.53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18.53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19.48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10.52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108.01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21.00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34.31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52.70 </w:t>
            </w:r>
          </w:p>
        </w:tc>
      </w:tr>
      <w:tr>
        <w:tblPrEx>
          <w:tblCellMar>
            <w:top w:w="0" w:type="dxa"/>
            <w:left w:w="108" w:type="dxa"/>
            <w:bottom w:w="0" w:type="dxa"/>
            <w:right w:w="108" w:type="dxa"/>
          </w:tblCellMar>
        </w:tblPrEx>
        <w:trPr>
          <w:trHeight w:val="197" w:hRule="atLeast"/>
        </w:trPr>
        <w:tc>
          <w:tcPr>
            <w:tcW w:w="660" w:type="pct"/>
            <w:tcBorders>
              <w:top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高安市</w:t>
            </w:r>
          </w:p>
        </w:tc>
        <w:tc>
          <w:tcPr>
            <w:tcW w:w="69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69.26 </w:t>
            </w:r>
          </w:p>
        </w:tc>
        <w:tc>
          <w:tcPr>
            <w:tcW w:w="43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41.36 </w:t>
            </w:r>
          </w:p>
        </w:tc>
        <w:tc>
          <w:tcPr>
            <w:tcW w:w="488"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19.48 </w:t>
            </w:r>
          </w:p>
        </w:tc>
        <w:tc>
          <w:tcPr>
            <w:tcW w:w="51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8.42 </w:t>
            </w:r>
          </w:p>
        </w:tc>
        <w:tc>
          <w:tcPr>
            <w:tcW w:w="72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78.16 </w:t>
            </w:r>
          </w:p>
        </w:tc>
        <w:tc>
          <w:tcPr>
            <w:tcW w:w="45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47.03 </w:t>
            </w:r>
          </w:p>
        </w:tc>
        <w:tc>
          <w:tcPr>
            <w:tcW w:w="52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20.58 </w:t>
            </w:r>
          </w:p>
        </w:tc>
        <w:tc>
          <w:tcPr>
            <w:tcW w:w="519"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10.55</w:t>
            </w:r>
          </w:p>
        </w:tc>
      </w:tr>
      <w:tr>
        <w:tblPrEx>
          <w:tblCellMar>
            <w:top w:w="0" w:type="dxa"/>
            <w:left w:w="108" w:type="dxa"/>
            <w:bottom w:w="0" w:type="dxa"/>
            <w:right w:w="108" w:type="dxa"/>
          </w:tblCellMar>
        </w:tblPrEx>
        <w:trPr>
          <w:trHeight w:val="197" w:hRule="atLeast"/>
        </w:trPr>
        <w:tc>
          <w:tcPr>
            <w:tcW w:w="660" w:type="pct"/>
            <w:tcBorders>
              <w:top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明月山</w:t>
            </w:r>
          </w:p>
        </w:tc>
        <w:tc>
          <w:tcPr>
            <w:tcW w:w="690"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13.14 </w:t>
            </w:r>
          </w:p>
        </w:tc>
        <w:tc>
          <w:tcPr>
            <w:tcW w:w="438"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5.60 </w:t>
            </w:r>
          </w:p>
        </w:tc>
        <w:tc>
          <w:tcPr>
            <w:tcW w:w="488"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1.22 </w:t>
            </w:r>
          </w:p>
        </w:tc>
        <w:tc>
          <w:tcPr>
            <w:tcW w:w="512"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6.32 </w:t>
            </w:r>
          </w:p>
        </w:tc>
        <w:tc>
          <w:tcPr>
            <w:tcW w:w="720"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16.87 </w:t>
            </w:r>
          </w:p>
        </w:tc>
        <w:tc>
          <w:tcPr>
            <w:tcW w:w="451"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6.72 </w:t>
            </w:r>
          </w:p>
        </w:tc>
        <w:tc>
          <w:tcPr>
            <w:tcW w:w="522"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4.00 </w:t>
            </w:r>
          </w:p>
        </w:tc>
        <w:tc>
          <w:tcPr>
            <w:tcW w:w="519" w:type="pct"/>
            <w:tcBorders>
              <w:top w:val="single" w:color="auto" w:sz="4" w:space="0"/>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ascii="仿宋" w:hAnsi="仿宋" w:eastAsia="仿宋" w:cs="宋体"/>
                <w:bCs/>
                <w:kern w:val="0"/>
                <w:sz w:val="18"/>
                <w:szCs w:val="18"/>
              </w:rPr>
              <w:t xml:space="preserve">6.15 </w:t>
            </w:r>
          </w:p>
        </w:tc>
      </w:tr>
      <w:tr>
        <w:tblPrEx>
          <w:tblCellMar>
            <w:top w:w="0" w:type="dxa"/>
            <w:left w:w="108" w:type="dxa"/>
            <w:bottom w:w="0" w:type="dxa"/>
            <w:right w:w="108" w:type="dxa"/>
          </w:tblCellMar>
        </w:tblPrEx>
        <w:trPr>
          <w:trHeight w:val="197" w:hRule="atLeast"/>
        </w:trPr>
        <w:tc>
          <w:tcPr>
            <w:tcW w:w="660" w:type="pct"/>
            <w:tcBorders>
              <w:top w:val="single" w:color="auto" w:sz="4" w:space="0"/>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合  计</w:t>
            </w:r>
          </w:p>
        </w:tc>
        <w:tc>
          <w:tcPr>
            <w:tcW w:w="690"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850.00 </w:t>
            </w:r>
          </w:p>
        </w:tc>
        <w:tc>
          <w:tcPr>
            <w:tcW w:w="438"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280.00 </w:t>
            </w:r>
          </w:p>
        </w:tc>
        <w:tc>
          <w:tcPr>
            <w:tcW w:w="488"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265.00 </w:t>
            </w:r>
          </w:p>
        </w:tc>
        <w:tc>
          <w:tcPr>
            <w:tcW w:w="512"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305.00 </w:t>
            </w:r>
          </w:p>
        </w:tc>
        <w:tc>
          <w:tcPr>
            <w:tcW w:w="720"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1200.00 </w:t>
            </w:r>
          </w:p>
        </w:tc>
        <w:tc>
          <w:tcPr>
            <w:tcW w:w="451"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380.00 </w:t>
            </w:r>
          </w:p>
        </w:tc>
        <w:tc>
          <w:tcPr>
            <w:tcW w:w="522" w:type="pct"/>
            <w:tcBorders>
              <w:top w:val="single" w:color="auto" w:sz="4" w:space="0"/>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390.00 </w:t>
            </w:r>
          </w:p>
        </w:tc>
        <w:tc>
          <w:tcPr>
            <w:tcW w:w="519" w:type="pct"/>
            <w:tcBorders>
              <w:top w:val="single" w:color="auto" w:sz="4" w:space="0"/>
              <w:left w:val="nil"/>
              <w:bottom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ascii="仿宋" w:hAnsi="仿宋" w:eastAsia="仿宋" w:cs="宋体"/>
                <w:b/>
                <w:kern w:val="0"/>
                <w:sz w:val="18"/>
                <w:szCs w:val="18"/>
              </w:rPr>
              <w:t xml:space="preserve">430.00 </w:t>
            </w:r>
          </w:p>
        </w:tc>
      </w:tr>
    </w:tbl>
    <w:p>
      <w:pPr>
        <w:widowControl/>
        <w:adjustRightInd w:val="0"/>
        <w:snapToGrid w:val="0"/>
        <w:spacing w:after="200"/>
        <w:jc w:val="left"/>
        <w:rPr>
          <w:rFonts w:ascii="仿宋" w:hAnsi="仿宋" w:eastAsia="仿宋" w:cs="Times New Roman"/>
          <w:kern w:val="0"/>
          <w:sz w:val="22"/>
          <w:szCs w:val="22"/>
        </w:rPr>
      </w:pPr>
    </w:p>
    <w:p>
      <w:pPr>
        <w:adjustRightInd w:val="0"/>
        <w:snapToGrid w:val="0"/>
        <w:spacing w:after="200" w:line="560" w:lineRule="exact"/>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表3</w:t>
      </w:r>
      <w:r>
        <w:rPr>
          <w:rFonts w:ascii="仿宋" w:hAnsi="仿宋" w:eastAsia="仿宋" w:cs="Times New Roman"/>
          <w:b/>
          <w:bCs/>
          <w:sz w:val="24"/>
          <w:szCs w:val="24"/>
          <w:lang w:val="en-US" w:eastAsia="zh-CN" w:bidi="ar-SA"/>
        </w:rPr>
        <w:t>-2</w:t>
      </w:r>
      <w:r>
        <w:rPr>
          <w:rFonts w:hint="eastAsia" w:ascii="仿宋" w:hAnsi="仿宋" w:eastAsia="仿宋" w:cs="Times New Roman"/>
          <w:b/>
          <w:bCs/>
          <w:sz w:val="24"/>
          <w:szCs w:val="24"/>
          <w:lang w:val="en-US" w:eastAsia="zh-CN" w:bidi="ar-SA"/>
        </w:rPr>
        <w:t xml:space="preserve">  宜春市全市富硒基地建设规划目标</w:t>
      </w:r>
    </w:p>
    <w:tbl>
      <w:tblPr>
        <w:tblStyle w:val="3"/>
        <w:tblW w:w="5000" w:type="pct"/>
        <w:tblInd w:w="0" w:type="dxa"/>
        <w:tblLayout w:type="fixed"/>
        <w:tblCellMar>
          <w:top w:w="0" w:type="dxa"/>
          <w:left w:w="108" w:type="dxa"/>
          <w:bottom w:w="0" w:type="dxa"/>
          <w:right w:w="108" w:type="dxa"/>
        </w:tblCellMar>
      </w:tblPr>
      <w:tblGrid>
        <w:gridCol w:w="1116"/>
        <w:gridCol w:w="848"/>
        <w:gridCol w:w="848"/>
        <w:gridCol w:w="848"/>
        <w:gridCol w:w="848"/>
        <w:gridCol w:w="849"/>
        <w:gridCol w:w="711"/>
        <w:gridCol w:w="851"/>
        <w:gridCol w:w="851"/>
        <w:gridCol w:w="711"/>
        <w:gridCol w:w="709"/>
        <w:gridCol w:w="664"/>
      </w:tblGrid>
      <w:tr>
        <w:tblPrEx>
          <w:tblCellMar>
            <w:top w:w="0" w:type="dxa"/>
            <w:left w:w="108" w:type="dxa"/>
            <w:bottom w:w="0" w:type="dxa"/>
            <w:right w:w="108" w:type="dxa"/>
          </w:tblCellMar>
        </w:tblPrEx>
        <w:trPr>
          <w:trHeight w:val="285" w:hRule="atLeast"/>
          <w:tblHeader/>
        </w:trPr>
        <w:tc>
          <w:tcPr>
            <w:tcW w:w="566" w:type="pct"/>
            <w:vMerge w:val="restart"/>
            <w:tcBorders>
              <w:top w:val="single" w:color="auto" w:sz="4" w:space="0"/>
              <w:bottom w:val="single" w:color="000000" w:sz="4" w:space="0"/>
              <w:right w:val="single" w:color="auto"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县（市、区）</w:t>
            </w:r>
          </w:p>
        </w:tc>
        <w:tc>
          <w:tcPr>
            <w:tcW w:w="2151" w:type="pct"/>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基地面积（万亩）</w:t>
            </w:r>
          </w:p>
        </w:tc>
        <w:tc>
          <w:tcPr>
            <w:tcW w:w="793"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基地数量（家）</w:t>
            </w:r>
          </w:p>
        </w:tc>
        <w:tc>
          <w:tcPr>
            <w:tcW w:w="793"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千亩以上基地数量（个）</w:t>
            </w:r>
          </w:p>
        </w:tc>
        <w:tc>
          <w:tcPr>
            <w:tcW w:w="698" w:type="pct"/>
            <w:gridSpan w:val="2"/>
            <w:tcBorders>
              <w:top w:val="single" w:color="auto" w:sz="4" w:space="0"/>
              <w:left w:val="nil"/>
              <w:bottom w:val="single" w:color="auto" w:sz="4" w:space="0"/>
            </w:tcBorders>
            <w:shd w:val="clear" w:color="auto" w:fill="auto"/>
            <w:noWrap/>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万亩以上基地数量（个）</w:t>
            </w:r>
          </w:p>
        </w:tc>
      </w:tr>
      <w:tr>
        <w:tblPrEx>
          <w:tblCellMar>
            <w:top w:w="0" w:type="dxa"/>
            <w:left w:w="108" w:type="dxa"/>
            <w:bottom w:w="0" w:type="dxa"/>
            <w:right w:w="108" w:type="dxa"/>
          </w:tblCellMar>
        </w:tblPrEx>
        <w:trPr>
          <w:trHeight w:val="285" w:hRule="atLeast"/>
          <w:tblHeader/>
        </w:trPr>
        <w:tc>
          <w:tcPr>
            <w:tcW w:w="566" w:type="pct"/>
            <w:vMerge w:val="continue"/>
            <w:tcBorders>
              <w:top w:val="single" w:color="auto" w:sz="4" w:space="0"/>
              <w:bottom w:val="single" w:color="000000" w:sz="4" w:space="0"/>
              <w:right w:val="single" w:color="auto" w:sz="4" w:space="0"/>
            </w:tcBorders>
            <w:vAlign w:val="center"/>
          </w:tcPr>
          <w:p>
            <w:pPr>
              <w:widowControl/>
              <w:adjustRightInd/>
              <w:snapToGrid/>
              <w:spacing w:after="0"/>
              <w:jc w:val="left"/>
              <w:rPr>
                <w:rFonts w:ascii="仿宋" w:hAnsi="仿宋" w:eastAsia="仿宋" w:cs="宋体"/>
                <w:b/>
                <w:kern w:val="0"/>
                <w:sz w:val="18"/>
                <w:szCs w:val="18"/>
              </w:rPr>
            </w:pPr>
          </w:p>
        </w:tc>
        <w:tc>
          <w:tcPr>
            <w:tcW w:w="43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2022</w:t>
            </w:r>
          </w:p>
        </w:tc>
        <w:tc>
          <w:tcPr>
            <w:tcW w:w="43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2023</w:t>
            </w:r>
          </w:p>
        </w:tc>
        <w:tc>
          <w:tcPr>
            <w:tcW w:w="43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2024</w:t>
            </w:r>
          </w:p>
        </w:tc>
        <w:tc>
          <w:tcPr>
            <w:tcW w:w="43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2025</w:t>
            </w:r>
          </w:p>
        </w:tc>
        <w:tc>
          <w:tcPr>
            <w:tcW w:w="43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2030</w:t>
            </w:r>
          </w:p>
        </w:tc>
        <w:tc>
          <w:tcPr>
            <w:tcW w:w="361"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2022</w:t>
            </w:r>
          </w:p>
        </w:tc>
        <w:tc>
          <w:tcPr>
            <w:tcW w:w="432"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2030</w:t>
            </w:r>
          </w:p>
        </w:tc>
        <w:tc>
          <w:tcPr>
            <w:tcW w:w="432"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2022</w:t>
            </w:r>
          </w:p>
        </w:tc>
        <w:tc>
          <w:tcPr>
            <w:tcW w:w="361"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2030</w:t>
            </w:r>
          </w:p>
        </w:tc>
        <w:tc>
          <w:tcPr>
            <w:tcW w:w="360" w:type="pct"/>
            <w:tcBorders>
              <w:top w:val="nil"/>
              <w:left w:val="nil"/>
              <w:bottom w:val="single" w:color="auto" w:sz="4" w:space="0"/>
              <w:right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2022</w:t>
            </w:r>
          </w:p>
        </w:tc>
        <w:tc>
          <w:tcPr>
            <w:tcW w:w="338" w:type="pct"/>
            <w:tcBorders>
              <w:top w:val="nil"/>
              <w:left w:val="nil"/>
              <w:bottom w:val="single" w:color="auto" w:sz="4" w:space="0"/>
            </w:tcBorders>
            <w:shd w:val="clear" w:color="auto" w:fill="auto"/>
            <w:vAlign w:val="center"/>
          </w:tcPr>
          <w:p>
            <w:pPr>
              <w:widowControl/>
              <w:adjustRightInd/>
              <w:snapToGrid/>
              <w:spacing w:after="0"/>
              <w:jc w:val="center"/>
              <w:rPr>
                <w:rFonts w:ascii="仿宋" w:hAnsi="仿宋" w:eastAsia="仿宋" w:cs="宋体"/>
                <w:kern w:val="0"/>
                <w:sz w:val="18"/>
                <w:szCs w:val="18"/>
              </w:rPr>
            </w:pPr>
            <w:r>
              <w:rPr>
                <w:rFonts w:hint="eastAsia" w:ascii="仿宋" w:hAnsi="仿宋" w:eastAsia="仿宋" w:cs="宋体"/>
                <w:kern w:val="0"/>
                <w:sz w:val="18"/>
                <w:szCs w:val="18"/>
              </w:rPr>
              <w:t>2030</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袁州区</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33.00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40.40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47.80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55.</w:t>
            </w:r>
            <w:r>
              <w:rPr>
                <w:rFonts w:ascii="仿宋" w:hAnsi="仿宋" w:eastAsia="仿宋" w:cs="宋体"/>
                <w:bCs/>
                <w:kern w:val="0"/>
                <w:sz w:val="18"/>
                <w:szCs w:val="18"/>
              </w:rPr>
              <w:t>3</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92.</w:t>
            </w:r>
            <w:r>
              <w:rPr>
                <w:rFonts w:ascii="仿宋" w:hAnsi="仿宋" w:eastAsia="仿宋" w:cs="宋体"/>
                <w:bCs/>
                <w:kern w:val="0"/>
                <w:sz w:val="18"/>
                <w:szCs w:val="18"/>
              </w:rPr>
              <w:t>4</w:t>
            </w:r>
            <w:r>
              <w:rPr>
                <w:rFonts w:hint="eastAsia" w:ascii="仿宋" w:hAnsi="仿宋" w:eastAsia="仿宋" w:cs="宋体"/>
                <w:bCs/>
                <w:kern w:val="0"/>
                <w:sz w:val="18"/>
                <w:szCs w:val="18"/>
              </w:rPr>
              <w:t>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50</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r>
              <w:rPr>
                <w:rFonts w:ascii="仿宋" w:hAnsi="仿宋" w:eastAsia="仿宋" w:cs="宋体"/>
                <w:bCs/>
                <w:kern w:val="0"/>
                <w:sz w:val="18"/>
                <w:szCs w:val="18"/>
              </w:rPr>
              <w:t>7</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樟树市</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16.00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17.60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20.60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25.00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38.00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17</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18</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21</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丰城市</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35.40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38.70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44.50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50.00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79.</w:t>
            </w:r>
            <w:r>
              <w:rPr>
                <w:rFonts w:ascii="仿宋" w:hAnsi="仿宋" w:eastAsia="仿宋" w:cs="宋体"/>
                <w:bCs/>
                <w:kern w:val="0"/>
                <w:sz w:val="18"/>
                <w:szCs w:val="18"/>
              </w:rPr>
              <w:t>3</w:t>
            </w:r>
            <w:r>
              <w:rPr>
                <w:rFonts w:hint="eastAsia" w:ascii="仿宋" w:hAnsi="仿宋" w:eastAsia="仿宋" w:cs="宋体"/>
                <w:bCs/>
                <w:kern w:val="0"/>
                <w:sz w:val="18"/>
                <w:szCs w:val="18"/>
              </w:rPr>
              <w:t xml:space="preserve">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24</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28</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8</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靖安县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4.00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4.50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5.50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6.50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11.30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19</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22</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8</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9</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奉新县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14.90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14.70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17.90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21.</w:t>
            </w:r>
            <w:r>
              <w:rPr>
                <w:rFonts w:ascii="仿宋" w:hAnsi="仿宋" w:eastAsia="仿宋" w:cs="宋体"/>
                <w:bCs/>
                <w:kern w:val="0"/>
                <w:sz w:val="18"/>
                <w:szCs w:val="18"/>
              </w:rPr>
              <w:t>2</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37.20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17</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14</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16</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高安市</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35.80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40.40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46.</w:t>
            </w:r>
            <w:r>
              <w:rPr>
                <w:rFonts w:ascii="仿宋" w:hAnsi="仿宋" w:eastAsia="仿宋" w:cs="宋体"/>
                <w:bCs/>
                <w:kern w:val="0"/>
                <w:sz w:val="18"/>
                <w:szCs w:val="18"/>
              </w:rPr>
              <w:t>5</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52.70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83.</w:t>
            </w:r>
            <w:r>
              <w:rPr>
                <w:rFonts w:ascii="仿宋" w:hAnsi="仿宋" w:eastAsia="仿宋" w:cs="宋体"/>
                <w:bCs/>
                <w:kern w:val="0"/>
                <w:sz w:val="18"/>
                <w:szCs w:val="18"/>
              </w:rPr>
              <w:t>5</w:t>
            </w:r>
            <w:r>
              <w:rPr>
                <w:rFonts w:hint="eastAsia" w:ascii="仿宋" w:hAnsi="仿宋" w:eastAsia="仿宋" w:cs="宋体"/>
                <w:bCs/>
                <w:kern w:val="0"/>
                <w:sz w:val="18"/>
                <w:szCs w:val="18"/>
              </w:rPr>
              <w:t xml:space="preserve">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31</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36</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上高县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24.00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28.60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40.00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56.20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26</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30</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21</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24</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宜丰县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22.60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28.</w:t>
            </w:r>
            <w:r>
              <w:rPr>
                <w:rFonts w:ascii="仿宋" w:hAnsi="仿宋" w:eastAsia="仿宋" w:cs="宋体"/>
                <w:bCs/>
                <w:kern w:val="0"/>
                <w:sz w:val="18"/>
                <w:szCs w:val="18"/>
              </w:rPr>
              <w:t>2</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33.</w:t>
            </w:r>
            <w:r>
              <w:rPr>
                <w:rFonts w:ascii="仿宋" w:hAnsi="仿宋" w:eastAsia="仿宋" w:cs="宋体"/>
                <w:bCs/>
                <w:kern w:val="0"/>
                <w:sz w:val="18"/>
                <w:szCs w:val="18"/>
              </w:rPr>
              <w:t>7</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40.00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67.</w:t>
            </w:r>
            <w:r>
              <w:rPr>
                <w:rFonts w:ascii="仿宋" w:hAnsi="仿宋" w:eastAsia="仿宋" w:cs="宋体"/>
                <w:bCs/>
                <w:kern w:val="0"/>
                <w:sz w:val="18"/>
                <w:szCs w:val="18"/>
              </w:rPr>
              <w:t>6</w:t>
            </w:r>
            <w:r>
              <w:rPr>
                <w:rFonts w:hint="eastAsia" w:ascii="仿宋" w:hAnsi="仿宋" w:eastAsia="仿宋" w:cs="宋体"/>
                <w:bCs/>
                <w:kern w:val="0"/>
                <w:sz w:val="18"/>
                <w:szCs w:val="18"/>
              </w:rPr>
              <w:t xml:space="preserve">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25</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29</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23</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铜鼓县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3.80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4.20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4.50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6.00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17</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8</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9</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万载县</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21.20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50.00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58.00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65.00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80.00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24</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28</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18</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21</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明月山</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2.50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7.70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9.70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11.</w:t>
            </w:r>
            <w:r>
              <w:rPr>
                <w:rFonts w:ascii="仿宋" w:hAnsi="仿宋" w:eastAsia="仿宋" w:cs="宋体"/>
                <w:bCs/>
                <w:kern w:val="0"/>
                <w:sz w:val="18"/>
                <w:szCs w:val="18"/>
              </w:rPr>
              <w:t>8</w:t>
            </w:r>
            <w:r>
              <w:rPr>
                <w:rFonts w:hint="eastAsia" w:ascii="仿宋" w:hAnsi="仿宋" w:eastAsia="仿宋" w:cs="宋体"/>
                <w:bCs/>
                <w:kern w:val="0"/>
                <w:sz w:val="18"/>
                <w:szCs w:val="18"/>
              </w:rPr>
              <w:t xml:space="preserve">0 </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 xml:space="preserve">14.50 </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12</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14</w:t>
            </w:r>
            <w:r>
              <w:rPr>
                <w:rFonts w:ascii="Calibri" w:hAnsi="Calibri" w:eastAsia="仿宋" w:cs="Calibri"/>
                <w:bCs/>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12</w:t>
            </w:r>
            <w:r>
              <w:rPr>
                <w:rFonts w:ascii="Calibri" w:hAnsi="Calibri" w:eastAsia="仿宋" w:cs="Calibri"/>
                <w:bCs/>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w:t>
            </w:r>
          </w:p>
        </w:tc>
      </w:tr>
      <w:tr>
        <w:tblPrEx>
          <w:tblCellMar>
            <w:top w:w="0" w:type="dxa"/>
            <w:left w:w="108" w:type="dxa"/>
            <w:bottom w:w="0" w:type="dxa"/>
            <w:right w:w="108" w:type="dxa"/>
          </w:tblCellMar>
        </w:tblPrEx>
        <w:trPr>
          <w:trHeight w:val="285" w:hRule="atLeast"/>
        </w:trPr>
        <w:tc>
          <w:tcPr>
            <w:tcW w:w="566" w:type="pct"/>
            <w:tcBorders>
              <w:top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 xml:space="preserve">合 </w:t>
            </w:r>
            <w:r>
              <w:rPr>
                <w:rFonts w:ascii="仿宋" w:hAnsi="仿宋" w:eastAsia="仿宋" w:cs="宋体"/>
                <w:b/>
                <w:kern w:val="0"/>
                <w:sz w:val="18"/>
                <w:szCs w:val="18"/>
              </w:rPr>
              <w:t xml:space="preserve"> </w:t>
            </w:r>
            <w:r>
              <w:rPr>
                <w:rFonts w:hint="eastAsia" w:ascii="仿宋" w:hAnsi="仿宋" w:eastAsia="仿宋" w:cs="宋体"/>
                <w:b/>
                <w:kern w:val="0"/>
                <w:sz w:val="18"/>
                <w:szCs w:val="18"/>
              </w:rPr>
              <w:t>计</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208.90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270.00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317.00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372.00</w:t>
            </w:r>
          </w:p>
        </w:tc>
        <w:tc>
          <w:tcPr>
            <w:tcW w:w="43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566.00</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262</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304</w:t>
            </w:r>
            <w:r>
              <w:rPr>
                <w:rFonts w:ascii="Calibri" w:hAnsi="Calibri" w:eastAsia="仿宋" w:cs="Calibri"/>
                <w:b/>
                <w:kern w:val="0"/>
                <w:sz w:val="18"/>
                <w:szCs w:val="18"/>
              </w:rPr>
              <w:t> </w:t>
            </w:r>
          </w:p>
        </w:tc>
        <w:tc>
          <w:tcPr>
            <w:tcW w:w="432"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207</w:t>
            </w:r>
          </w:p>
        </w:tc>
        <w:tc>
          <w:tcPr>
            <w:tcW w:w="361"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240</w:t>
            </w:r>
            <w:r>
              <w:rPr>
                <w:rFonts w:ascii="Calibri" w:hAnsi="Calibri" w:eastAsia="仿宋" w:cs="Calibri"/>
                <w:b/>
                <w:kern w:val="0"/>
                <w:sz w:val="18"/>
                <w:szCs w:val="18"/>
              </w:rPr>
              <w:t> </w:t>
            </w:r>
          </w:p>
        </w:tc>
        <w:tc>
          <w:tcPr>
            <w:tcW w:w="360" w:type="pct"/>
            <w:tcBorders>
              <w:top w:val="nil"/>
              <w:left w:val="nil"/>
              <w:bottom w:val="single" w:color="auto" w:sz="4" w:space="0"/>
              <w:right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10</w:t>
            </w:r>
          </w:p>
        </w:tc>
        <w:tc>
          <w:tcPr>
            <w:tcW w:w="338" w:type="pct"/>
            <w:tcBorders>
              <w:top w:val="nil"/>
              <w:left w:val="nil"/>
              <w:bottom w:val="single" w:color="auto" w:sz="4" w:space="0"/>
            </w:tcBorders>
            <w:shd w:val="clear" w:color="auto" w:fill="auto"/>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48</w:t>
            </w:r>
          </w:p>
        </w:tc>
      </w:tr>
    </w:tbl>
    <w:p>
      <w:pPr>
        <w:adjustRightInd w:val="0"/>
        <w:snapToGrid w:val="0"/>
        <w:spacing w:after="200"/>
        <w:jc w:val="center"/>
        <w:rPr>
          <w:rFonts w:ascii="仿宋" w:hAnsi="仿宋" w:eastAsia="仿宋" w:cs="Times New Roman"/>
          <w:b/>
          <w:bCs/>
          <w:sz w:val="24"/>
          <w:szCs w:val="24"/>
          <w:lang w:val="en-US" w:eastAsia="zh-CN" w:bidi="ar-SA"/>
        </w:rPr>
      </w:pPr>
    </w:p>
    <w:p>
      <w:pPr>
        <w:widowControl/>
        <w:adjustRightInd/>
        <w:snapToGrid/>
        <w:spacing w:after="0"/>
        <w:jc w:val="left"/>
        <w:rPr>
          <w:rFonts w:ascii="仿宋" w:hAnsi="仿宋" w:eastAsia="仿宋" w:cs="Times New Roman"/>
          <w:kern w:val="0"/>
          <w:sz w:val="28"/>
          <w:szCs w:val="28"/>
        </w:rPr>
      </w:pPr>
      <w:bookmarkStart w:id="727" w:name="_Toc15161"/>
      <w:r>
        <w:rPr>
          <w:rFonts w:ascii="仿宋" w:hAnsi="仿宋" w:eastAsia="仿宋" w:cs="Times New Roman"/>
          <w:kern w:val="0"/>
          <w:sz w:val="28"/>
          <w:szCs w:val="28"/>
        </w:rPr>
        <w:br w:type="page"/>
      </w:r>
    </w:p>
    <w:p>
      <w:pPr>
        <w:widowControl/>
        <w:adjustRightInd/>
        <w:snapToGrid/>
        <w:spacing w:after="0"/>
        <w:jc w:val="left"/>
        <w:rPr>
          <w:rFonts w:ascii="仿宋" w:hAnsi="仿宋" w:eastAsia="仿宋" w:cs="Times New Roman"/>
          <w:kern w:val="0"/>
          <w:sz w:val="28"/>
          <w:szCs w:val="28"/>
        </w:rPr>
      </w:pPr>
    </w:p>
    <w:p>
      <w:pPr>
        <w:widowControl/>
        <w:adjustRightInd w:val="0"/>
        <w:snapToGrid w:val="0"/>
        <w:spacing w:after="312" w:afterLines="100"/>
        <w:jc w:val="center"/>
        <w:outlineLvl w:val="0"/>
        <w:rPr>
          <w:rFonts w:ascii="仿宋" w:hAnsi="仿宋" w:eastAsia="仿宋" w:cs="Times New Roman"/>
          <w:b/>
          <w:bCs/>
          <w:kern w:val="0"/>
          <w:sz w:val="36"/>
          <w:szCs w:val="36"/>
        </w:rPr>
      </w:pPr>
      <w:bookmarkStart w:id="728" w:name="_Toc151751517"/>
      <w:bookmarkStart w:id="729" w:name="_Toc147677274"/>
      <w:r>
        <w:rPr>
          <w:rFonts w:hint="eastAsia" w:ascii="仿宋" w:hAnsi="仿宋" w:eastAsia="仿宋" w:cs="Times New Roman"/>
          <w:b/>
          <w:bCs/>
          <w:kern w:val="0"/>
          <w:sz w:val="36"/>
          <w:szCs w:val="36"/>
        </w:rPr>
        <w:t xml:space="preserve">第三章 </w:t>
      </w:r>
      <w:r>
        <w:rPr>
          <w:rFonts w:ascii="Tahoma" w:hAnsi="Tahoma" w:eastAsia="微软雅黑" w:cs="Times New Roman"/>
          <w:kern w:val="0"/>
          <w:sz w:val="22"/>
          <w:szCs w:val="22"/>
        </w:rPr>
        <w:fldChar w:fldCharType="begin"/>
      </w:r>
      <w:r>
        <w:rPr>
          <w:rFonts w:ascii="Tahoma" w:hAnsi="Tahoma" w:eastAsia="微软雅黑" w:cs="Times New Roman"/>
          <w:kern w:val="0"/>
          <w:sz w:val="22"/>
          <w:szCs w:val="22"/>
        </w:rPr>
        <w:instrText xml:space="preserve"> HYPERLINK \l "_Toc432671464" </w:instrText>
      </w:r>
      <w:r>
        <w:rPr>
          <w:rFonts w:ascii="Tahoma" w:hAnsi="Tahoma" w:eastAsia="微软雅黑" w:cs="Times New Roman"/>
          <w:kern w:val="0"/>
          <w:sz w:val="22"/>
          <w:szCs w:val="22"/>
        </w:rPr>
        <w:fldChar w:fldCharType="separate"/>
      </w:r>
      <w:bookmarkStart w:id="730" w:name="_Toc467706445"/>
      <w:bookmarkStart w:id="731" w:name="_Toc462220254"/>
      <w:bookmarkStart w:id="732" w:name="_Toc471505732"/>
      <w:bookmarkStart w:id="733" w:name="_Toc19567347"/>
      <w:bookmarkStart w:id="734" w:name="_Toc468290453"/>
      <w:bookmarkStart w:id="735" w:name="_Toc25705150"/>
      <w:bookmarkStart w:id="736" w:name="_Toc19567057"/>
      <w:bookmarkStart w:id="737" w:name="_Toc467615216"/>
      <w:bookmarkStart w:id="738" w:name="_Toc467615556"/>
      <w:r>
        <w:rPr>
          <w:rFonts w:hint="eastAsia" w:ascii="仿宋" w:hAnsi="仿宋" w:eastAsia="仿宋" w:cs="Times New Roman"/>
          <w:b/>
          <w:bCs/>
          <w:kern w:val="0"/>
          <w:sz w:val="36"/>
          <w:szCs w:val="36"/>
        </w:rPr>
        <w:t>发展</w:t>
      </w:r>
      <w:bookmarkEnd w:id="730"/>
      <w:bookmarkEnd w:id="731"/>
      <w:bookmarkEnd w:id="732"/>
      <w:bookmarkEnd w:id="733"/>
      <w:bookmarkEnd w:id="734"/>
      <w:bookmarkEnd w:id="735"/>
      <w:bookmarkEnd w:id="736"/>
      <w:bookmarkEnd w:id="737"/>
      <w:bookmarkEnd w:id="738"/>
      <w:r>
        <w:rPr>
          <w:rFonts w:hint="eastAsia" w:ascii="仿宋" w:hAnsi="仿宋" w:eastAsia="仿宋" w:cs="Times New Roman"/>
          <w:b/>
          <w:bCs/>
          <w:kern w:val="0"/>
          <w:sz w:val="36"/>
          <w:szCs w:val="36"/>
        </w:rPr>
        <w:t>格局</w:t>
      </w:r>
      <w:r>
        <w:rPr>
          <w:rFonts w:hint="eastAsia" w:ascii="仿宋" w:hAnsi="仿宋" w:eastAsia="仿宋" w:cs="Times New Roman"/>
          <w:b/>
          <w:bCs/>
          <w:kern w:val="0"/>
          <w:sz w:val="36"/>
          <w:szCs w:val="36"/>
        </w:rPr>
        <w:fldChar w:fldCharType="end"/>
      </w:r>
      <w:bookmarkEnd w:id="727"/>
      <w:r>
        <w:rPr>
          <w:rFonts w:hint="eastAsia" w:ascii="仿宋" w:hAnsi="仿宋" w:eastAsia="仿宋" w:cs="Times New Roman"/>
          <w:b/>
          <w:bCs/>
          <w:kern w:val="0"/>
          <w:sz w:val="36"/>
          <w:szCs w:val="36"/>
        </w:rPr>
        <w:t>与产业布局</w:t>
      </w:r>
      <w:bookmarkEnd w:id="728"/>
      <w:bookmarkEnd w:id="729"/>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739" w:name="_Toc25705160"/>
      <w:bookmarkStart w:id="740" w:name="_Toc147677275"/>
      <w:bookmarkStart w:id="741" w:name="_Toc468290456"/>
      <w:bookmarkStart w:id="742" w:name="_Toc471505735"/>
      <w:bookmarkStart w:id="743" w:name="_Toc19567357"/>
      <w:bookmarkStart w:id="744" w:name="_Toc467615219"/>
      <w:bookmarkStart w:id="745" w:name="_Toc462220257"/>
      <w:bookmarkStart w:id="746" w:name="_Toc467706448"/>
      <w:bookmarkStart w:id="747" w:name="_Toc19567067"/>
      <w:bookmarkStart w:id="748" w:name="_Toc151751518"/>
      <w:bookmarkStart w:id="749" w:name="_Toc27585"/>
      <w:bookmarkStart w:id="750" w:name="_Toc467615559"/>
      <w:bookmarkStart w:id="751" w:name="_Toc467615217"/>
      <w:bookmarkStart w:id="752" w:name="_Toc471505733"/>
      <w:bookmarkStart w:id="753" w:name="_Toc468290454"/>
      <w:bookmarkStart w:id="754" w:name="_Toc467706446"/>
      <w:bookmarkStart w:id="755" w:name="_Toc467615557"/>
      <w:bookmarkStart w:id="756" w:name="_Toc462220255"/>
      <w:r>
        <w:rPr>
          <w:rFonts w:hint="eastAsia" w:ascii="仿宋" w:hAnsi="仿宋" w:eastAsia="仿宋" w:cs="Times New Roman"/>
          <w:b/>
          <w:bCs/>
          <w:kern w:val="0"/>
          <w:sz w:val="32"/>
          <w:szCs w:val="32"/>
        </w:rPr>
        <w:t>第一节 发展格局</w:t>
      </w:r>
      <w:bookmarkEnd w:id="739"/>
      <w:bookmarkEnd w:id="740"/>
      <w:bookmarkEnd w:id="741"/>
      <w:bookmarkEnd w:id="742"/>
      <w:bookmarkEnd w:id="743"/>
      <w:bookmarkEnd w:id="744"/>
      <w:bookmarkEnd w:id="745"/>
      <w:bookmarkEnd w:id="746"/>
      <w:bookmarkEnd w:id="747"/>
      <w:bookmarkEnd w:id="748"/>
      <w:bookmarkEnd w:id="749"/>
      <w:bookmarkEnd w:id="750"/>
    </w:p>
    <w:p>
      <w:pPr>
        <w:widowControl/>
        <w:adjustRightInd w:val="0"/>
        <w:snapToGrid w:val="0"/>
        <w:spacing w:after="0" w:line="560" w:lineRule="exact"/>
        <w:ind w:firstLine="560" w:firstLineChars="200"/>
        <w:jc w:val="both"/>
        <w:rPr>
          <w:rFonts w:hint="eastAsia" w:ascii="仿宋" w:hAnsi="仿宋" w:eastAsia="仿宋" w:cs="Times New Roman"/>
          <w:kern w:val="0"/>
          <w:sz w:val="28"/>
          <w:szCs w:val="28"/>
        </w:rPr>
      </w:pPr>
      <w:r>
        <w:rPr>
          <w:rFonts w:hint="eastAsia" w:ascii="仿宋" w:hAnsi="仿宋" w:eastAsia="仿宋" w:cs="Times New Roman"/>
          <w:kern w:val="0"/>
          <w:sz w:val="28"/>
          <w:szCs w:val="28"/>
        </w:rPr>
        <w:t>按照</w:t>
      </w:r>
      <w:r>
        <w:rPr>
          <w:rFonts w:hint="eastAsia" w:ascii="仿宋" w:hAnsi="仿宋" w:eastAsia="仿宋" w:cs="Times New Roman"/>
          <w:bCs/>
          <w:kern w:val="0"/>
          <w:sz w:val="28"/>
          <w:szCs w:val="28"/>
        </w:rPr>
        <w:t>“一核引领、两翼齐飞、三带驱动、多区协同”</w:t>
      </w:r>
      <w:r>
        <w:rPr>
          <w:rFonts w:hint="eastAsia" w:ascii="仿宋" w:hAnsi="仿宋" w:eastAsia="仿宋" w:cs="Times New Roman"/>
          <w:kern w:val="0"/>
          <w:sz w:val="28"/>
          <w:szCs w:val="28"/>
        </w:rPr>
        <w:t>的富硒产业总体布局（见图4</w:t>
      </w:r>
      <w:r>
        <w:rPr>
          <w:rFonts w:ascii="仿宋" w:hAnsi="仿宋" w:eastAsia="仿宋" w:cs="Times New Roman"/>
          <w:kern w:val="0"/>
          <w:sz w:val="28"/>
          <w:szCs w:val="28"/>
        </w:rPr>
        <w:t>-1</w:t>
      </w:r>
      <w:r>
        <w:rPr>
          <w:rFonts w:hint="eastAsia" w:ascii="仿宋" w:hAnsi="仿宋" w:eastAsia="仿宋" w:cs="Times New Roman"/>
          <w:kern w:val="0"/>
          <w:sz w:val="28"/>
          <w:szCs w:val="28"/>
        </w:rPr>
        <w:t>）。重点发展富硒大米、富硒竹笋、富硒禽蛋、富硒果蔬、富硒茶叶、富硒中药材等主导产业，以及富硒油茶、富硒水产、富硒食品加工、富硒康养等特色产业；重点打造富硒产业园区、涉硒龙头企业、富硒示范基地、富硒特色小镇；重点抓好重大任务、重点工程、重点项目、重点品牌、重点品种。形成产业带、产业链、增长极、示范核“四位一体”，实现“</w:t>
      </w:r>
      <w:r>
        <w:rPr>
          <w:rFonts w:hint="eastAsia" w:ascii="仿宋" w:hAnsi="仿宋" w:eastAsia="仿宋" w:cs="Times New Roman"/>
          <w:bCs/>
          <w:kern w:val="0"/>
          <w:sz w:val="28"/>
          <w:szCs w:val="28"/>
        </w:rPr>
        <w:t>一核引领做示范、两翼齐飞成特色、三带驱动促融合、多区协同强体格</w:t>
      </w:r>
      <w:r>
        <w:rPr>
          <w:rFonts w:hint="eastAsia" w:ascii="仿宋" w:hAnsi="仿宋" w:eastAsia="仿宋" w:cs="Times New Roman"/>
          <w:kern w:val="0"/>
          <w:sz w:val="28"/>
          <w:szCs w:val="28"/>
        </w:rPr>
        <w:t>”的发展总体格局。</w:t>
      </w:r>
    </w:p>
    <w:p>
      <w:pPr>
        <w:widowControl/>
        <w:adjustRightInd w:val="0"/>
        <w:snapToGrid w:val="0"/>
        <w:spacing w:after="200"/>
        <w:jc w:val="center"/>
        <w:rPr>
          <w:rFonts w:ascii="仿宋" w:hAnsi="仿宋" w:eastAsia="仿宋" w:cs="Times New Roman"/>
          <w:kern w:val="0"/>
          <w:sz w:val="22"/>
          <w:szCs w:val="22"/>
        </w:rPr>
      </w:pPr>
      <w:r>
        <w:rPr>
          <w:rFonts w:ascii="仿宋" w:hAnsi="仿宋" w:eastAsia="仿宋" w:cs="Times New Roman"/>
          <w:kern w:val="0"/>
          <w:sz w:val="22"/>
          <w:szCs w:val="22"/>
        </w:rPr>
        <w:drawing>
          <wp:inline distT="0" distB="0" distL="0" distR="0">
            <wp:extent cx="6118225" cy="4225290"/>
            <wp:effectExtent l="0" t="0" r="1587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8706" cy="4225551"/>
                    </a:xfrm>
                    <a:prstGeom prst="rect">
                      <a:avLst/>
                    </a:prstGeom>
                    <a:noFill/>
                    <a:ln>
                      <a:noFill/>
                    </a:ln>
                  </pic:spPr>
                </pic:pic>
              </a:graphicData>
            </a:graphic>
          </wp:inline>
        </w:drawing>
      </w:r>
    </w:p>
    <w:p>
      <w:pPr>
        <w:adjustRightInd w:val="0"/>
        <w:snapToGrid w:val="0"/>
        <w:spacing w:after="200"/>
        <w:jc w:val="center"/>
        <w:rPr>
          <w:rFonts w:hint="eastAsia"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-1</w:t>
      </w:r>
      <w:r>
        <w:rPr>
          <w:rFonts w:hint="eastAsia" w:ascii="仿宋" w:hAnsi="仿宋" w:eastAsia="仿宋" w:cs="Times New Roman"/>
          <w:b/>
          <w:bCs/>
          <w:sz w:val="24"/>
          <w:szCs w:val="24"/>
          <w:lang w:val="en-US" w:eastAsia="zh-CN" w:bidi="ar-SA"/>
        </w:rPr>
        <w:t xml:space="preserve">  宜春市富硒产业“一核两翼三带多区”总体发展格局示意图</w:t>
      </w:r>
    </w:p>
    <w:p>
      <w:pPr>
        <w:widowControl/>
        <w:adjustRightInd w:val="0"/>
        <w:snapToGrid w:val="0"/>
        <w:spacing w:after="0" w:line="560" w:lineRule="exact"/>
        <w:ind w:firstLine="560" w:firstLineChars="200"/>
        <w:jc w:val="both"/>
        <w:rPr>
          <w:rFonts w:ascii="仿宋" w:hAnsi="仿宋" w:eastAsia="仿宋" w:cs="Times New Roman"/>
          <w:kern w:val="0"/>
          <w:sz w:val="28"/>
          <w:szCs w:val="28"/>
        </w:rPr>
      </w:pPr>
    </w:p>
    <w:bookmarkEnd w:id="751"/>
    <w:bookmarkEnd w:id="752"/>
    <w:bookmarkEnd w:id="753"/>
    <w:bookmarkEnd w:id="754"/>
    <w:bookmarkEnd w:id="755"/>
    <w:bookmarkEnd w:id="756"/>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专栏1  宜春市富硒产业“一核两翼三带多区”发展格局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widowControl/>
              <w:adjustRightInd w:val="0"/>
              <w:snapToGrid w:val="0"/>
              <w:spacing w:after="0" w:line="360" w:lineRule="exact"/>
              <w:ind w:firstLine="482" w:firstLineChars="200"/>
              <w:jc w:val="left"/>
              <w:rPr>
                <w:rFonts w:ascii="仿宋" w:hAnsi="仿宋" w:eastAsia="仿宋" w:cs="Times New Roman"/>
                <w:kern w:val="0"/>
                <w:sz w:val="24"/>
                <w:szCs w:val="24"/>
              </w:rPr>
            </w:pPr>
            <w:r>
              <w:rPr>
                <w:rFonts w:hint="eastAsia" w:ascii="仿宋" w:hAnsi="仿宋" w:eastAsia="仿宋" w:cs="Times New Roman"/>
                <w:b/>
                <w:kern w:val="0"/>
                <w:sz w:val="24"/>
                <w:szCs w:val="24"/>
              </w:rPr>
              <w:t>“一核引领”：富硒产业发展示范核。</w:t>
            </w:r>
            <w:r>
              <w:rPr>
                <w:rFonts w:hint="eastAsia" w:ascii="仿宋" w:hAnsi="仿宋" w:eastAsia="仿宋" w:cs="Times New Roman"/>
                <w:bCs/>
                <w:kern w:val="0"/>
                <w:sz w:val="24"/>
                <w:szCs w:val="24"/>
              </w:rPr>
              <w:t>以袁州区、明月山、万载县为核心，</w:t>
            </w:r>
            <w:r>
              <w:rPr>
                <w:rFonts w:hint="eastAsia" w:ascii="仿宋" w:hAnsi="仿宋" w:eastAsia="仿宋" w:cs="Times New Roman"/>
                <w:kern w:val="0"/>
                <w:sz w:val="24"/>
                <w:szCs w:val="24"/>
              </w:rPr>
              <w:t>立足区位优势，整合资源，吸引富硒企业、人才向市中心区域聚集，开启“世界硒谷</w:t>
            </w:r>
            <w:r>
              <w:rPr>
                <w:rFonts w:hint="eastAsia" w:ascii="仿宋" w:hAnsi="仿宋" w:eastAsia="仿宋" w:cs="Times New Roman"/>
                <w:b/>
                <w:bCs/>
                <w:kern w:val="0"/>
                <w:sz w:val="22"/>
                <w:szCs w:val="22"/>
              </w:rPr>
              <w:t>·</w:t>
            </w:r>
            <w:r>
              <w:rPr>
                <w:rFonts w:hint="eastAsia" w:ascii="仿宋" w:hAnsi="仿宋" w:eastAsia="仿宋" w:cs="Times New Roman"/>
                <w:kern w:val="0"/>
                <w:sz w:val="24"/>
                <w:szCs w:val="24"/>
              </w:rPr>
              <w:t>生态宜春”建设新篇章。聚集硒品牌、硒检测与认证、硒会展与营销、硒文创与传播四大支柱力量，打造国家富硒产业创新创造中心、国际硒产品交易中心、硒科普宣传推广中心、龙头企业投资孵化中心、“硒+X”模式示范体验中心，引领富硒产业成为宜春市最具极性效应的先导产业。</w:t>
            </w:r>
          </w:p>
          <w:p>
            <w:pPr>
              <w:widowControl/>
              <w:adjustRightInd w:val="0"/>
              <w:snapToGrid w:val="0"/>
              <w:spacing w:after="0" w:line="360" w:lineRule="exact"/>
              <w:ind w:firstLine="482" w:firstLineChars="200"/>
              <w:jc w:val="left"/>
              <w:rPr>
                <w:rFonts w:ascii="仿宋" w:hAnsi="仿宋" w:eastAsia="仿宋" w:cs="Times New Roman"/>
                <w:kern w:val="0"/>
                <w:sz w:val="24"/>
                <w:szCs w:val="24"/>
              </w:rPr>
            </w:pPr>
            <w:r>
              <w:rPr>
                <w:rFonts w:hint="eastAsia" w:ascii="仿宋" w:hAnsi="仿宋" w:eastAsia="仿宋" w:cs="Times New Roman"/>
                <w:b/>
                <w:kern w:val="0"/>
                <w:sz w:val="24"/>
                <w:szCs w:val="24"/>
              </w:rPr>
              <w:t>“两翼齐飞”：东南河谷平原区富硒粮油农旅产业发展翼。</w:t>
            </w:r>
            <w:r>
              <w:rPr>
                <w:rFonts w:hint="eastAsia" w:ascii="仿宋" w:hAnsi="仿宋" w:eastAsia="仿宋" w:cs="Times New Roman"/>
                <w:kern w:val="0"/>
                <w:sz w:val="24"/>
                <w:szCs w:val="24"/>
              </w:rPr>
              <w:t>以锦江、袁河、赣江沿线河谷平原区的袁州区、万载县、上高县、樟树市、丰城市、高安市等地为重点，依托集中连片的富硒耕地资源，发挥地势平坦开阔、水热资源充沛等优势，发展富硒大米、富硒果蔬、富硒中药材、富硒畜禽、富硒食品加工等产业，辐射带动整个东南部地区发展。</w:t>
            </w:r>
            <w:r>
              <w:rPr>
                <w:rFonts w:hint="eastAsia" w:ascii="仿宋" w:hAnsi="仿宋" w:eastAsia="仿宋" w:cs="Times New Roman"/>
                <w:b/>
                <w:kern w:val="0"/>
                <w:sz w:val="24"/>
                <w:szCs w:val="24"/>
              </w:rPr>
              <w:t>西北低山丘陵区富硒林果康养产业发展翼。</w:t>
            </w:r>
            <w:r>
              <w:rPr>
                <w:rFonts w:hint="eastAsia" w:ascii="仿宋" w:hAnsi="仿宋" w:eastAsia="仿宋" w:cs="Times New Roman"/>
                <w:kern w:val="0"/>
                <w:sz w:val="24"/>
                <w:szCs w:val="24"/>
              </w:rPr>
              <w:t>以罗霄山脉、九岭山脉沿线的明月山、宜丰县、铜鼓县、奉新县、靖安县等地为重点，依托独特的山地小气候环境和集中连片的富硒林地资源，发展富硒竹笋、富硒黄精、富硒茶叶、富硒水果等富硒林果经济；发挥富硒温泉、森林公园、天然氧吧等绿色生态优势，发展富硒生态康养与休闲农业产业，辐射带动整个西北部地区发展。</w:t>
            </w:r>
          </w:p>
          <w:p>
            <w:pPr>
              <w:widowControl/>
              <w:adjustRightInd w:val="0"/>
              <w:snapToGrid w:val="0"/>
              <w:spacing w:after="0" w:line="360" w:lineRule="exact"/>
              <w:ind w:firstLine="482" w:firstLineChars="200"/>
              <w:jc w:val="both"/>
              <w:rPr>
                <w:rFonts w:ascii="仿宋" w:hAnsi="仿宋" w:eastAsia="仿宋" w:cs="Times New Roman"/>
                <w:kern w:val="0"/>
                <w:sz w:val="24"/>
                <w:szCs w:val="24"/>
              </w:rPr>
            </w:pPr>
            <w:r>
              <w:rPr>
                <w:rFonts w:hint="eastAsia" w:ascii="仿宋" w:hAnsi="仿宋" w:eastAsia="仿宋" w:cs="Times New Roman"/>
                <w:b/>
                <w:kern w:val="0"/>
                <w:sz w:val="24"/>
                <w:szCs w:val="24"/>
              </w:rPr>
              <w:t>“三带驱动”</w:t>
            </w:r>
            <w:r>
              <w:rPr>
                <w:rFonts w:hint="eastAsia" w:ascii="仿宋" w:hAnsi="仿宋" w:eastAsia="仿宋" w:cs="Times New Roman"/>
                <w:kern w:val="0"/>
                <w:sz w:val="24"/>
                <w:szCs w:val="24"/>
              </w:rPr>
              <w:t>：</w:t>
            </w:r>
            <w:r>
              <w:rPr>
                <w:rFonts w:hint="eastAsia" w:ascii="仿宋" w:hAnsi="仿宋" w:eastAsia="仿宋" w:cs="Times New Roman"/>
                <w:b/>
                <w:kern w:val="0"/>
                <w:sz w:val="24"/>
                <w:szCs w:val="24"/>
              </w:rPr>
              <w:t>昌铜线富硒生态种植产业融合发展示范带。</w:t>
            </w:r>
            <w:r>
              <w:rPr>
                <w:rFonts w:hint="eastAsia" w:ascii="仿宋" w:hAnsi="仿宋" w:eastAsia="仿宋" w:cs="Times New Roman"/>
                <w:kern w:val="0"/>
                <w:sz w:val="24"/>
                <w:szCs w:val="24"/>
              </w:rPr>
              <w:t>以贯穿“昌铜四县”（靖安县、奉新县、宜丰县、铜鼓县）的昌铜高速等主要交通干线为纽带，辐射明月山、袁州区、万载县等地区，依托富硒黄精、富硒竹笋、富硒茶叶、富硒猕猴桃、富硒康养、休闲采摘等园区基地，发展绿色有机生态大健康产业，设计精品线路，办好“硒游记”等特色活动，开发富硒精制茶等具备营养保健功效的富硒功能食品与富硒药浴等富硒康养产品，打通富硒农业与富硒服务业的深度融合之路。</w:t>
            </w:r>
            <w:r>
              <w:rPr>
                <w:rFonts w:hint="eastAsia" w:ascii="仿宋" w:hAnsi="仿宋" w:eastAsia="仿宋" w:cs="Times New Roman"/>
                <w:b/>
                <w:kern w:val="0"/>
                <w:sz w:val="24"/>
                <w:szCs w:val="24"/>
              </w:rPr>
              <w:t>昌栗线富硒种养加工产业融合发展示范带。</w:t>
            </w:r>
            <w:r>
              <w:rPr>
                <w:rFonts w:hint="eastAsia" w:ascii="仿宋" w:hAnsi="仿宋" w:eastAsia="仿宋" w:cs="Times New Roman"/>
                <w:kern w:val="0"/>
                <w:sz w:val="24"/>
                <w:szCs w:val="24"/>
              </w:rPr>
              <w:t>依托昌栗高速等主要交通干线，以袁州区、万载县、上高县、高安市、奉新县、丰城市等地区为重点，建设仓储保鲜冷链物流体系，通过数字赋能，发展富硒果蔬和富硒禽蛋生鲜高效配送等服务；推动产业链由富硒初级种养向精深加工延伸发展，开发富硒果蔬饮品、富硒干果、富硒预制菜、富硒蛋黄粉、富硒蛋白粉等高附加值产品，实现富硒产品保价、增值、连供、畅销。</w:t>
            </w:r>
            <w:r>
              <w:rPr>
                <w:rFonts w:hint="eastAsia" w:ascii="仿宋" w:hAnsi="仿宋" w:eastAsia="仿宋" w:cs="Times New Roman"/>
                <w:b/>
                <w:kern w:val="0"/>
                <w:sz w:val="24"/>
                <w:szCs w:val="24"/>
              </w:rPr>
              <w:t>沪昆线富硒粮油农副产业融合发展示范带。</w:t>
            </w:r>
            <w:r>
              <w:rPr>
                <w:rFonts w:hint="eastAsia" w:ascii="仿宋" w:hAnsi="仿宋" w:eastAsia="仿宋" w:cs="Times New Roman"/>
                <w:kern w:val="0"/>
                <w:sz w:val="24"/>
                <w:szCs w:val="24"/>
              </w:rPr>
              <w:t>依托沪昆高速等主要交通干线，以袁州区、万载县、上高县、樟树市、丰城市、高安市等地为先行区，发挥富硒耕地资源、生物医药产业等特色优势，建设富硒大米仓储加工体系；开发富硒米乳、富硒米粉、富硒米线、富硒养生米糊、富硒八宝粥、富硒米多肽等富硒加工产品。在“三带”建设基础上，并入大广高速、宜井遂高速、樟吉高速等纵向交通干线，形成富硒产业发展网络，进一步打通宜春市全域富硒产业发展经络，开拓长株潭、粤港澳等重要市场，推动宜春富硒特色产品“走出去”。</w:t>
            </w:r>
          </w:p>
          <w:p>
            <w:pPr>
              <w:widowControl/>
              <w:adjustRightInd w:val="0"/>
              <w:snapToGrid w:val="0"/>
              <w:spacing w:after="0" w:line="360" w:lineRule="exact"/>
              <w:ind w:firstLine="482" w:firstLineChars="200"/>
              <w:jc w:val="left"/>
              <w:rPr>
                <w:rFonts w:ascii="仿宋" w:hAnsi="仿宋" w:eastAsia="仿宋" w:cs="Times New Roman"/>
                <w:kern w:val="0"/>
                <w:sz w:val="28"/>
                <w:szCs w:val="28"/>
              </w:rPr>
            </w:pPr>
            <w:r>
              <w:rPr>
                <w:rFonts w:hint="eastAsia" w:ascii="仿宋" w:hAnsi="仿宋" w:eastAsia="仿宋" w:cs="Times New Roman"/>
                <w:b/>
                <w:kern w:val="0"/>
                <w:sz w:val="24"/>
                <w:szCs w:val="24"/>
              </w:rPr>
              <w:t>“多区协同”：</w:t>
            </w:r>
            <w:r>
              <w:rPr>
                <w:rFonts w:hint="eastAsia" w:ascii="仿宋" w:hAnsi="仿宋" w:eastAsia="仿宋" w:cs="Times New Roman"/>
                <w:bCs/>
                <w:kern w:val="0"/>
                <w:sz w:val="24"/>
                <w:szCs w:val="24"/>
              </w:rPr>
              <w:t>按照“一主多辅、以强带弱、抱团发展”的原则，</w:t>
            </w:r>
            <w:r>
              <w:rPr>
                <w:rFonts w:hint="eastAsia" w:ascii="仿宋" w:hAnsi="仿宋" w:eastAsia="仿宋" w:cs="Times New Roman"/>
                <w:kern w:val="0"/>
                <w:sz w:val="24"/>
                <w:szCs w:val="24"/>
              </w:rPr>
              <w:t>做好“土特产”文章，开发多元富硒产品。以铜鼓县、上高县、丰城市、高安市等富硒禽蛋基地集聚区为重点，建设</w:t>
            </w:r>
            <w:r>
              <w:rPr>
                <w:rFonts w:hint="eastAsia" w:ascii="仿宋" w:hAnsi="仿宋" w:eastAsia="仿宋" w:cs="Times New Roman"/>
                <w:b/>
                <w:bCs/>
                <w:kern w:val="0"/>
                <w:sz w:val="24"/>
                <w:szCs w:val="24"/>
              </w:rPr>
              <w:t>富硒禽蛋产业园区</w:t>
            </w:r>
            <w:r>
              <w:rPr>
                <w:rFonts w:hint="eastAsia" w:ascii="仿宋" w:hAnsi="仿宋" w:eastAsia="仿宋" w:cs="Times New Roman"/>
                <w:kern w:val="0"/>
                <w:sz w:val="24"/>
                <w:szCs w:val="24"/>
              </w:rPr>
              <w:t>；以袁州区、奉新县、万载县、高安市等富硒果蔬基地集聚区为重点，打造</w:t>
            </w:r>
            <w:r>
              <w:rPr>
                <w:rFonts w:hint="eastAsia" w:ascii="仿宋" w:hAnsi="仿宋" w:eastAsia="仿宋" w:cs="Times New Roman"/>
                <w:b/>
                <w:bCs/>
                <w:kern w:val="0"/>
                <w:sz w:val="24"/>
                <w:szCs w:val="24"/>
              </w:rPr>
              <w:t>富硒果蔬产业园区</w:t>
            </w:r>
            <w:r>
              <w:rPr>
                <w:rFonts w:hint="eastAsia" w:ascii="仿宋" w:hAnsi="仿宋" w:eastAsia="仿宋" w:cs="Times New Roman"/>
                <w:kern w:val="0"/>
                <w:sz w:val="24"/>
                <w:szCs w:val="24"/>
              </w:rPr>
              <w:t>；以“昌铜四县”富硒竹笋基地集聚区为重点，打造</w:t>
            </w:r>
            <w:r>
              <w:rPr>
                <w:rFonts w:hint="eastAsia" w:ascii="仿宋" w:hAnsi="仿宋" w:eastAsia="仿宋" w:cs="Times New Roman"/>
                <w:b/>
                <w:bCs/>
                <w:kern w:val="0"/>
                <w:sz w:val="24"/>
                <w:szCs w:val="24"/>
              </w:rPr>
              <w:t>富硒竹笋产业园区</w:t>
            </w:r>
            <w:r>
              <w:rPr>
                <w:rFonts w:hint="eastAsia" w:ascii="仿宋" w:hAnsi="仿宋" w:eastAsia="仿宋" w:cs="Times New Roman"/>
                <w:kern w:val="0"/>
                <w:sz w:val="24"/>
                <w:szCs w:val="24"/>
              </w:rPr>
              <w:t>；以铜鼓县、靖安县等富硒茶叶基地集聚区为重点，打造</w:t>
            </w:r>
            <w:r>
              <w:rPr>
                <w:rFonts w:hint="eastAsia" w:ascii="仿宋" w:hAnsi="仿宋" w:eastAsia="仿宋" w:cs="Times New Roman"/>
                <w:b/>
                <w:bCs/>
                <w:kern w:val="0"/>
                <w:sz w:val="24"/>
                <w:szCs w:val="24"/>
              </w:rPr>
              <w:t>富硒茶叶产业园区</w:t>
            </w:r>
            <w:r>
              <w:rPr>
                <w:rFonts w:hint="eastAsia" w:ascii="仿宋" w:hAnsi="仿宋" w:eastAsia="仿宋" w:cs="Times New Roman"/>
                <w:kern w:val="0"/>
                <w:sz w:val="24"/>
                <w:szCs w:val="24"/>
              </w:rPr>
              <w:t>；以樟树市、铜鼓县等富硒中药材基地集聚区为重点，打造</w:t>
            </w:r>
            <w:r>
              <w:rPr>
                <w:rFonts w:hint="eastAsia" w:ascii="仿宋" w:hAnsi="仿宋" w:eastAsia="仿宋" w:cs="Times New Roman"/>
                <w:b/>
                <w:bCs/>
                <w:kern w:val="0"/>
                <w:sz w:val="24"/>
                <w:szCs w:val="24"/>
              </w:rPr>
              <w:t>富硒中药材产业园区</w:t>
            </w:r>
            <w:r>
              <w:rPr>
                <w:rFonts w:hint="eastAsia" w:ascii="仿宋" w:hAnsi="仿宋" w:eastAsia="仿宋" w:cs="Times New Roman"/>
                <w:kern w:val="0"/>
                <w:sz w:val="24"/>
                <w:szCs w:val="24"/>
              </w:rPr>
              <w:t>；以袁州区、高安市等地为重点，利用多样化的富硒农产品优势，依托现代农业园区与工业园区，建设</w:t>
            </w:r>
            <w:r>
              <w:rPr>
                <w:rFonts w:hint="eastAsia" w:ascii="仿宋" w:hAnsi="仿宋" w:eastAsia="仿宋" w:cs="Times New Roman"/>
                <w:b/>
                <w:bCs/>
                <w:kern w:val="0"/>
                <w:sz w:val="24"/>
                <w:szCs w:val="24"/>
              </w:rPr>
              <w:t>富硒食品加工产业园区</w:t>
            </w:r>
            <w:r>
              <w:rPr>
                <w:rFonts w:hint="eastAsia" w:ascii="仿宋" w:hAnsi="仿宋" w:eastAsia="仿宋" w:cs="Times New Roman"/>
                <w:kern w:val="0"/>
                <w:sz w:val="24"/>
                <w:szCs w:val="24"/>
              </w:rPr>
              <w:t>；依托森林公园、富硒温泉等资源优势，打造</w:t>
            </w:r>
            <w:r>
              <w:rPr>
                <w:rFonts w:hint="eastAsia" w:ascii="仿宋" w:hAnsi="仿宋" w:eastAsia="仿宋" w:cs="Times New Roman"/>
                <w:b/>
                <w:bCs/>
                <w:kern w:val="0"/>
                <w:sz w:val="24"/>
                <w:szCs w:val="24"/>
              </w:rPr>
              <w:t>富硒康养产业园区</w:t>
            </w:r>
            <w:r>
              <w:rPr>
                <w:rFonts w:hint="eastAsia" w:ascii="仿宋" w:hAnsi="仿宋" w:eastAsia="仿宋" w:cs="Times New Roman"/>
                <w:kern w:val="0"/>
                <w:sz w:val="24"/>
                <w:szCs w:val="24"/>
              </w:rPr>
              <w:t>。</w:t>
            </w:r>
          </w:p>
        </w:tc>
      </w:tr>
    </w:tbl>
    <w:p>
      <w:pPr>
        <w:widowControl/>
        <w:adjustRightInd w:val="0"/>
        <w:snapToGrid w:val="0"/>
        <w:spacing w:after="200"/>
        <w:jc w:val="left"/>
        <w:rPr>
          <w:rFonts w:ascii="Tahoma" w:hAnsi="Tahoma" w:eastAsia="微软雅黑" w:cs="Times New Roman"/>
          <w:kern w:val="0"/>
          <w:sz w:val="22"/>
          <w:szCs w:val="22"/>
        </w:rPr>
      </w:pP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757" w:name="_Toc25705158"/>
      <w:bookmarkStart w:id="758" w:name="_Toc19567065"/>
      <w:bookmarkStart w:id="759" w:name="_Toc19567355"/>
      <w:bookmarkStart w:id="760" w:name="_Toc151751519"/>
      <w:bookmarkStart w:id="761" w:name="_Toc13089"/>
      <w:bookmarkStart w:id="762" w:name="_Toc147677276"/>
      <w:r>
        <w:rPr>
          <w:rFonts w:hint="eastAsia" w:ascii="仿宋" w:hAnsi="仿宋" w:eastAsia="仿宋" w:cs="Times New Roman"/>
          <w:b/>
          <w:bCs/>
          <w:kern w:val="0"/>
          <w:sz w:val="32"/>
          <w:szCs w:val="32"/>
        </w:rPr>
        <w:t xml:space="preserve">第二节 </w:t>
      </w:r>
      <w:bookmarkEnd w:id="757"/>
      <w:bookmarkEnd w:id="758"/>
      <w:bookmarkEnd w:id="759"/>
      <w:r>
        <w:rPr>
          <w:rFonts w:hint="eastAsia" w:ascii="仿宋" w:hAnsi="仿宋" w:eastAsia="仿宋" w:cs="Times New Roman"/>
          <w:b/>
          <w:bCs/>
          <w:kern w:val="0"/>
          <w:sz w:val="32"/>
          <w:szCs w:val="32"/>
        </w:rPr>
        <w:t>产业布局</w:t>
      </w:r>
      <w:bookmarkEnd w:id="760"/>
      <w:bookmarkEnd w:id="761"/>
      <w:bookmarkEnd w:id="762"/>
    </w:p>
    <w:p>
      <w:pPr>
        <w:widowControl/>
        <w:adjustRightInd w:val="0"/>
        <w:snapToGrid w:val="0"/>
        <w:spacing w:after="0" w:line="560" w:lineRule="exact"/>
        <w:ind w:firstLine="562" w:firstLineChars="200"/>
        <w:jc w:val="left"/>
        <w:outlineLvl w:val="2"/>
        <w:rPr>
          <w:rFonts w:ascii="仿宋" w:hAnsi="仿宋" w:eastAsia="仿宋" w:cs="Times New Roman"/>
          <w:b/>
          <w:kern w:val="0"/>
          <w:sz w:val="28"/>
          <w:szCs w:val="28"/>
        </w:rPr>
      </w:pPr>
      <w:bookmarkStart w:id="763" w:name="_Toc151751520"/>
      <w:r>
        <w:rPr>
          <w:rFonts w:hint="eastAsia" w:ascii="仿宋" w:hAnsi="仿宋" w:eastAsia="仿宋" w:cs="Times New Roman"/>
          <w:b/>
          <w:kern w:val="0"/>
          <w:sz w:val="28"/>
          <w:szCs w:val="28"/>
        </w:rPr>
        <w:t>一、主导产业</w:t>
      </w:r>
      <w:bookmarkEnd w:id="763"/>
      <w:r>
        <w:rPr>
          <w:rFonts w:hint="eastAsia" w:ascii="仿宋" w:hAnsi="仿宋" w:eastAsia="仿宋" w:cs="Times New Roman"/>
          <w:b/>
          <w:kern w:val="0"/>
          <w:sz w:val="28"/>
          <w:szCs w:val="28"/>
        </w:rPr>
        <w:t>布局</w:t>
      </w:r>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依托富硒大米、富硒竹笋、富硒禽蛋、富硒果蔬、富硒茶叶、富硒中药材六个主导产业及富硒油茶、富硒水产、富硒食品加工、富硒康养等特色产业，</w:t>
      </w:r>
      <w:bookmarkStart w:id="764" w:name="_Toc32203"/>
      <w:r>
        <w:rPr>
          <w:rFonts w:hint="eastAsia" w:ascii="仿宋" w:hAnsi="仿宋" w:eastAsia="仿宋" w:cs="Times New Roman"/>
          <w:kern w:val="0"/>
          <w:sz w:val="28"/>
          <w:szCs w:val="28"/>
        </w:rPr>
        <w:t>构建</w:t>
      </w:r>
      <w:bookmarkEnd w:id="764"/>
      <w:r>
        <w:rPr>
          <w:rFonts w:hint="eastAsia" w:ascii="仿宋" w:hAnsi="仿宋" w:eastAsia="仿宋" w:cs="Times New Roman"/>
          <w:kern w:val="0"/>
          <w:sz w:val="28"/>
          <w:szCs w:val="28"/>
        </w:rPr>
        <w:t>“</w:t>
      </w:r>
      <w:r>
        <w:rPr>
          <w:rFonts w:ascii="仿宋" w:hAnsi="仿宋" w:eastAsia="仿宋" w:cs="Times New Roman"/>
          <w:kern w:val="0"/>
          <w:sz w:val="28"/>
          <w:szCs w:val="28"/>
        </w:rPr>
        <w:t>6</w:t>
      </w:r>
      <w:r>
        <w:rPr>
          <w:rFonts w:hint="eastAsia" w:ascii="仿宋" w:hAnsi="仿宋" w:eastAsia="仿宋" w:cs="Times New Roman"/>
          <w:kern w:val="0"/>
          <w:sz w:val="28"/>
          <w:szCs w:val="28"/>
        </w:rPr>
        <w:t>+X”富硒产业体系（见图4-2），形成“一主多辅、融合发展”的产业发展格局；培育壮大龙头企业，做大做优做强主导优势产业；写好“土特产”大文章，做特做精做活本土特色产业，促进富硒资源高效利用，丰富富硒产品市场供给，提升富硒产业综合实力。</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5862320" cy="3093720"/>
            <wp:effectExtent l="0" t="0" r="5080" b="11430"/>
            <wp:docPr id="75038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8671" name="图片 1"/>
                    <pic:cNvPicPr>
                      <a:picLocks noChangeAspect="1"/>
                    </pic:cNvPicPr>
                  </pic:nvPicPr>
                  <pic:blipFill>
                    <a:blip r:embed="rId8" cstate="print">
                      <a:extLst>
                        <a:ext uri="{28A0092B-C50C-407E-A947-70E740481C1C}">
                          <a14:useLocalDpi xmlns:a14="http://schemas.microsoft.com/office/drawing/2010/main" val="0"/>
                        </a:ext>
                      </a:extLst>
                    </a:blip>
                    <a:srcRect l="435" t="4701" r="1036" b="1448"/>
                    <a:stretch>
                      <a:fillRect/>
                    </a:stretch>
                  </pic:blipFill>
                  <pic:spPr>
                    <a:xfrm>
                      <a:off x="0" y="0"/>
                      <a:ext cx="5864654" cy="3095383"/>
                    </a:xfrm>
                    <a:prstGeom prst="rect">
                      <a:avLst/>
                    </a:prstGeom>
                    <a:ln>
                      <a:noFill/>
                    </a:ln>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2</w:t>
      </w:r>
      <w:r>
        <w:rPr>
          <w:rFonts w:ascii="仿宋" w:hAnsi="仿宋" w:eastAsia="仿宋" w:cs="Times New Roman"/>
          <w:b/>
          <w:bCs/>
          <w:sz w:val="24"/>
          <w:szCs w:val="24"/>
          <w:lang w:val="en-US" w:eastAsia="zh-CN" w:bidi="ar-SA"/>
        </w:rPr>
        <w:t xml:space="preserve"> </w:t>
      </w:r>
      <w:r>
        <w:rPr>
          <w:rFonts w:hint="eastAsia" w:ascii="仿宋" w:hAnsi="仿宋" w:eastAsia="仿宋" w:cs="Times New Roman"/>
          <w:b/>
          <w:bCs/>
          <w:sz w:val="24"/>
          <w:szCs w:val="24"/>
          <w:lang w:val="en-US" w:eastAsia="zh-CN" w:bidi="ar-SA"/>
        </w:rPr>
        <w:t xml:space="preserve"> 宜春市富硒产业体系布局图</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765" w:name="_Toc146743273"/>
      <w:bookmarkStart w:id="766" w:name="_Toc147505300"/>
      <w:bookmarkStart w:id="767" w:name="_Toc30815"/>
      <w:bookmarkStart w:id="768" w:name="_Toc146745863"/>
      <w:bookmarkStart w:id="769" w:name="_Toc147677277"/>
      <w:bookmarkStart w:id="770" w:name="_Toc151219516"/>
      <w:bookmarkStart w:id="771" w:name="_Toc147314287"/>
      <w:bookmarkStart w:id="772" w:name="_Toc149730117"/>
      <w:r>
        <w:rPr>
          <w:rFonts w:hint="eastAsia" w:ascii="仿宋" w:hAnsi="仿宋" w:eastAsia="仿宋" w:cs="Times New Roman"/>
          <w:b/>
          <w:bCs/>
          <w:kern w:val="0"/>
          <w:sz w:val="28"/>
          <w:szCs w:val="28"/>
        </w:rPr>
        <w:t>——富硒大米</w:t>
      </w:r>
      <w:bookmarkEnd w:id="765"/>
      <w:bookmarkEnd w:id="766"/>
      <w:bookmarkEnd w:id="767"/>
      <w:bookmarkEnd w:id="768"/>
      <w:bookmarkEnd w:id="769"/>
      <w:bookmarkEnd w:id="770"/>
      <w:bookmarkEnd w:id="771"/>
      <w:bookmarkEnd w:id="772"/>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以袁州区、丰城市、高安市、樟树市等地为富硒大米产业核心区，构建以骨干龙头企业为支撑的现代大米产业发展体系，积极推进富硒绿色有机大米产业生产规模化、基地化、标准化发展，加强富硒大米产品质量安全监管，实现大米生产过程可管控、可追溯、可量化。突出精深加工、循环利用、产业集聚，加快推进大米产业转型升级。做强“富硒绿色有机”品牌，建成全国优质高产粮食标准化生产基地。加大硬件配套设施投入，形成宜春市富硒大米精深加工产业集群。到2025年，力争“宜春大米”品牌产品年销售额突破100亿元，品牌价值突破500亿元，进入全国农产品区域公用品牌价值榜100强；扩大基地规模，“宜春大米”优质水稻标准化种植基地达到260万亩，其中富硒及含硒水稻180万亩；稻谷加工能力达130万吨。到2030年，富硒大米基地建成面积达到255万亩，“宜春大米”品牌产品年销售额突破200亿元。</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6120130" cy="4323715"/>
            <wp:effectExtent l="0" t="0" r="13970" b="635"/>
            <wp:docPr id="4688050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5075"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23715"/>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3  富硒大米产业发展布局图</w:t>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表4</w:t>
      </w:r>
      <w:r>
        <w:rPr>
          <w:rFonts w:ascii="仿宋" w:hAnsi="仿宋" w:eastAsia="仿宋" w:cs="Times New Roman"/>
          <w:b/>
          <w:bCs/>
          <w:sz w:val="24"/>
          <w:szCs w:val="24"/>
          <w:lang w:val="en-US" w:eastAsia="zh-CN" w:bidi="ar-SA"/>
        </w:rPr>
        <w:t>-1</w:t>
      </w:r>
      <w:r>
        <w:rPr>
          <w:rFonts w:hint="eastAsia" w:ascii="仿宋" w:hAnsi="仿宋" w:eastAsia="仿宋" w:cs="Times New Roman"/>
          <w:b/>
          <w:bCs/>
          <w:sz w:val="24"/>
          <w:szCs w:val="24"/>
          <w:lang w:val="en-US" w:eastAsia="zh-CN" w:bidi="ar-SA"/>
        </w:rPr>
        <w:t xml:space="preserve">  宜春市富硒大米基地建设发展规划目标（单位：万亩）</w:t>
      </w:r>
    </w:p>
    <w:tbl>
      <w:tblPr>
        <w:tblStyle w:val="3"/>
        <w:tblW w:w="5000" w:type="pct"/>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970"/>
        <w:gridCol w:w="1971"/>
        <w:gridCol w:w="1971"/>
        <w:gridCol w:w="1971"/>
        <w:gridCol w:w="1971"/>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blHeader/>
        </w:trPr>
        <w:tc>
          <w:tcPr>
            <w:tcW w:w="1000" w:type="pct"/>
            <w:shd w:val="clear" w:color="auto" w:fill="auto"/>
            <w:noWrap/>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县（市、区）</w:t>
            </w:r>
          </w:p>
        </w:tc>
        <w:tc>
          <w:tcPr>
            <w:tcW w:w="1000" w:type="pct"/>
            <w:shd w:val="clear" w:color="auto" w:fill="auto"/>
            <w:noWrap/>
            <w:vAlign w:val="center"/>
          </w:tcPr>
          <w:p>
            <w:pPr>
              <w:widowControl/>
              <w:adjustRightInd/>
              <w:snapToGrid/>
              <w:spacing w:after="0"/>
              <w:jc w:val="center"/>
              <w:rPr>
                <w:rFonts w:ascii="仿宋" w:hAnsi="仿宋" w:eastAsia="仿宋" w:cs="宋体"/>
                <w:b/>
                <w:kern w:val="0"/>
                <w:sz w:val="21"/>
                <w:szCs w:val="21"/>
              </w:rPr>
            </w:pPr>
            <w:r>
              <w:rPr>
                <w:rFonts w:ascii="仿宋" w:hAnsi="仿宋" w:eastAsia="仿宋" w:cs="宋体"/>
                <w:b/>
                <w:kern w:val="0"/>
                <w:sz w:val="21"/>
                <w:szCs w:val="21"/>
              </w:rPr>
              <w:t>2023</w:t>
            </w:r>
          </w:p>
        </w:tc>
        <w:tc>
          <w:tcPr>
            <w:tcW w:w="1000" w:type="pct"/>
            <w:shd w:val="clear" w:color="auto" w:fill="auto"/>
            <w:noWrap/>
            <w:vAlign w:val="center"/>
          </w:tcPr>
          <w:p>
            <w:pPr>
              <w:widowControl/>
              <w:adjustRightInd/>
              <w:snapToGrid/>
              <w:spacing w:after="0"/>
              <w:jc w:val="center"/>
              <w:rPr>
                <w:rFonts w:ascii="仿宋" w:hAnsi="仿宋" w:eastAsia="仿宋" w:cs="宋体"/>
                <w:b/>
                <w:kern w:val="0"/>
                <w:sz w:val="21"/>
                <w:szCs w:val="21"/>
              </w:rPr>
            </w:pPr>
            <w:r>
              <w:rPr>
                <w:rFonts w:ascii="仿宋" w:hAnsi="仿宋" w:eastAsia="仿宋" w:cs="宋体"/>
                <w:b/>
                <w:kern w:val="0"/>
                <w:sz w:val="21"/>
                <w:szCs w:val="21"/>
              </w:rPr>
              <w:t>2024</w:t>
            </w:r>
          </w:p>
        </w:tc>
        <w:tc>
          <w:tcPr>
            <w:tcW w:w="1000" w:type="pct"/>
            <w:shd w:val="clear" w:color="auto" w:fill="auto"/>
            <w:noWrap/>
            <w:vAlign w:val="center"/>
          </w:tcPr>
          <w:p>
            <w:pPr>
              <w:widowControl/>
              <w:adjustRightInd/>
              <w:snapToGrid/>
              <w:spacing w:after="0"/>
              <w:jc w:val="center"/>
              <w:rPr>
                <w:rFonts w:ascii="仿宋" w:hAnsi="仿宋" w:eastAsia="仿宋" w:cs="宋体"/>
                <w:b/>
                <w:kern w:val="0"/>
                <w:sz w:val="21"/>
                <w:szCs w:val="21"/>
              </w:rPr>
            </w:pPr>
            <w:r>
              <w:rPr>
                <w:rFonts w:ascii="仿宋" w:hAnsi="仿宋" w:eastAsia="仿宋" w:cs="宋体"/>
                <w:b/>
                <w:kern w:val="0"/>
                <w:sz w:val="21"/>
                <w:szCs w:val="21"/>
              </w:rPr>
              <w:t>2025</w:t>
            </w:r>
          </w:p>
        </w:tc>
        <w:tc>
          <w:tcPr>
            <w:tcW w:w="1000" w:type="pct"/>
            <w:shd w:val="clear" w:color="auto" w:fill="auto"/>
            <w:vAlign w:val="center"/>
          </w:tcPr>
          <w:p>
            <w:pPr>
              <w:widowControl/>
              <w:adjustRightInd/>
              <w:snapToGrid/>
              <w:spacing w:after="0"/>
              <w:jc w:val="center"/>
              <w:rPr>
                <w:rFonts w:ascii="仿宋" w:hAnsi="仿宋" w:eastAsia="仿宋" w:cs="宋体"/>
                <w:b/>
                <w:kern w:val="0"/>
                <w:sz w:val="21"/>
                <w:szCs w:val="21"/>
              </w:rPr>
            </w:pPr>
            <w:r>
              <w:rPr>
                <w:rFonts w:ascii="仿宋" w:hAnsi="仿宋" w:eastAsia="仿宋" w:cs="宋体"/>
                <w:b/>
                <w:kern w:val="0"/>
                <w:sz w:val="21"/>
                <w:szCs w:val="21"/>
              </w:rPr>
              <w:t>2030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袁州区</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27.20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29.</w:t>
            </w:r>
            <w:r>
              <w:rPr>
                <w:rFonts w:ascii="仿宋" w:hAnsi="仿宋" w:eastAsia="仿宋" w:cs="宋体"/>
                <w:bCs/>
                <w:kern w:val="0"/>
                <w:sz w:val="21"/>
                <w:szCs w:val="21"/>
              </w:rPr>
              <w:t>8</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32.</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46.43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樟树市</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14.00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15.30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21.</w:t>
            </w:r>
            <w:r>
              <w:rPr>
                <w:rFonts w:ascii="仿宋" w:hAnsi="仿宋" w:eastAsia="仿宋" w:cs="宋体"/>
                <w:bCs/>
                <w:kern w:val="0"/>
                <w:sz w:val="21"/>
                <w:szCs w:val="21"/>
              </w:rPr>
              <w:t>7</w:t>
            </w:r>
            <w:r>
              <w:rPr>
                <w:rFonts w:hint="eastAsia" w:ascii="仿宋" w:hAnsi="仿宋" w:eastAsia="仿宋" w:cs="宋体"/>
                <w:bCs/>
                <w:kern w:val="0"/>
                <w:sz w:val="21"/>
                <w:szCs w:val="21"/>
              </w:rPr>
              <w:t xml:space="preserve">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丰城市</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28.</w:t>
            </w:r>
            <w:r>
              <w:rPr>
                <w:rFonts w:ascii="仿宋" w:hAnsi="仿宋" w:eastAsia="仿宋" w:cs="宋体"/>
                <w:bCs/>
                <w:kern w:val="0"/>
                <w:sz w:val="21"/>
                <w:szCs w:val="21"/>
              </w:rPr>
              <w:t>8</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31.</w:t>
            </w:r>
            <w:r>
              <w:rPr>
                <w:rFonts w:ascii="仿宋" w:hAnsi="仿宋" w:eastAsia="仿宋" w:cs="宋体"/>
                <w:bCs/>
                <w:kern w:val="0"/>
                <w:sz w:val="21"/>
                <w:szCs w:val="21"/>
              </w:rPr>
              <w:t>7</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34.</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49.20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靖安县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r>
              <w:rPr>
                <w:rFonts w:ascii="仿宋" w:hAnsi="仿宋" w:eastAsia="仿宋" w:cs="宋体"/>
                <w:bCs/>
                <w:kern w:val="0"/>
                <w:sz w:val="21"/>
                <w:szCs w:val="21"/>
              </w:rPr>
              <w:t>4</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r>
              <w:rPr>
                <w:rFonts w:ascii="仿宋" w:hAnsi="仿宋" w:eastAsia="仿宋" w:cs="宋体"/>
                <w:bCs/>
                <w:kern w:val="0"/>
                <w:sz w:val="21"/>
                <w:szCs w:val="21"/>
              </w:rPr>
              <w:t>7</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3.00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4.27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奉新县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6.10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r>
              <w:rPr>
                <w:rFonts w:ascii="仿宋" w:hAnsi="仿宋" w:eastAsia="仿宋" w:cs="宋体"/>
                <w:bCs/>
                <w:kern w:val="0"/>
                <w:sz w:val="21"/>
                <w:szCs w:val="21"/>
              </w:rPr>
              <w:t>6</w:t>
            </w:r>
            <w:r>
              <w:rPr>
                <w:rFonts w:hint="eastAsia" w:ascii="仿宋" w:hAnsi="仿宋" w:eastAsia="仿宋" w:cs="宋体"/>
                <w:bCs/>
                <w:kern w:val="0"/>
                <w:sz w:val="21"/>
                <w:szCs w:val="21"/>
              </w:rPr>
              <w:t>0</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7.30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10.30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高安市</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29.20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32.10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35.00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49.50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上高县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w:t>
            </w:r>
            <w:r>
              <w:rPr>
                <w:rFonts w:ascii="仿宋" w:hAnsi="仿宋" w:eastAsia="仿宋" w:cs="宋体"/>
                <w:bCs/>
                <w:kern w:val="0"/>
                <w:sz w:val="21"/>
                <w:szCs w:val="21"/>
              </w:rPr>
              <w:t>5</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w:t>
            </w:r>
            <w:r>
              <w:rPr>
                <w:rFonts w:ascii="仿宋" w:hAnsi="仿宋" w:eastAsia="仿宋" w:cs="宋体"/>
                <w:bCs/>
                <w:kern w:val="0"/>
                <w:sz w:val="21"/>
                <w:szCs w:val="21"/>
              </w:rPr>
              <w:t>5</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w:t>
            </w:r>
            <w:r>
              <w:rPr>
                <w:rFonts w:ascii="仿宋" w:hAnsi="仿宋" w:eastAsia="仿宋" w:cs="宋体"/>
                <w:bCs/>
                <w:kern w:val="0"/>
                <w:sz w:val="21"/>
                <w:szCs w:val="21"/>
              </w:rPr>
              <w:t>8</w:t>
            </w:r>
            <w:r>
              <w:rPr>
                <w:rFonts w:hint="eastAsia" w:ascii="仿宋" w:hAnsi="仿宋" w:eastAsia="仿宋" w:cs="宋体"/>
                <w:bCs/>
                <w:kern w:val="0"/>
                <w:sz w:val="21"/>
                <w:szCs w:val="21"/>
              </w:rPr>
              <w:t xml:space="preserve">3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宜丰县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w:t>
            </w:r>
            <w:r>
              <w:rPr>
                <w:rFonts w:ascii="仿宋" w:hAnsi="仿宋" w:eastAsia="仿宋" w:cs="宋体"/>
                <w:bCs/>
                <w:kern w:val="0"/>
                <w:sz w:val="21"/>
                <w:szCs w:val="21"/>
              </w:rPr>
              <w:t>7</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16.30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24.</w:t>
            </w:r>
            <w:r>
              <w:rPr>
                <w:rFonts w:ascii="仿宋" w:hAnsi="仿宋" w:eastAsia="仿宋" w:cs="宋体"/>
                <w:bCs/>
                <w:kern w:val="0"/>
                <w:sz w:val="21"/>
                <w:szCs w:val="21"/>
              </w:rPr>
              <w:t>8</w:t>
            </w:r>
            <w:r>
              <w:rPr>
                <w:rFonts w:hint="eastAsia" w:ascii="仿宋" w:hAnsi="仿宋" w:eastAsia="仿宋" w:cs="宋体"/>
                <w:bCs/>
                <w:kern w:val="0"/>
                <w:sz w:val="21"/>
                <w:szCs w:val="21"/>
              </w:rPr>
              <w:t xml:space="preserve">7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铜鼓县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2.20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2.40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r>
              <w:rPr>
                <w:rFonts w:ascii="仿宋" w:hAnsi="仿宋" w:eastAsia="仿宋" w:cs="宋体"/>
                <w:bCs/>
                <w:kern w:val="0"/>
                <w:sz w:val="21"/>
                <w:szCs w:val="21"/>
              </w:rPr>
              <w:t>5</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r>
              <w:rPr>
                <w:rFonts w:ascii="仿宋" w:hAnsi="仿宋" w:eastAsia="仿宋" w:cs="宋体"/>
                <w:bCs/>
                <w:kern w:val="0"/>
                <w:sz w:val="21"/>
                <w:szCs w:val="21"/>
              </w:rPr>
              <w:t>5</w:t>
            </w:r>
            <w:r>
              <w:rPr>
                <w:rFonts w:hint="eastAsia" w:ascii="仿宋" w:hAnsi="仿宋" w:eastAsia="仿宋" w:cs="宋体"/>
                <w:bCs/>
                <w:kern w:val="0"/>
                <w:sz w:val="21"/>
                <w:szCs w:val="21"/>
              </w:rPr>
              <w:t xml:space="preserve">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万载县</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w:t>
            </w:r>
            <w:r>
              <w:rPr>
                <w:rFonts w:ascii="仿宋" w:hAnsi="仿宋" w:eastAsia="仿宋" w:cs="宋体"/>
                <w:bCs/>
                <w:kern w:val="0"/>
                <w:sz w:val="21"/>
                <w:szCs w:val="21"/>
              </w:rPr>
              <w:t>3</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r>
              <w:rPr>
                <w:rFonts w:ascii="仿宋" w:hAnsi="仿宋" w:eastAsia="仿宋" w:cs="宋体"/>
                <w:bCs/>
                <w:kern w:val="0"/>
                <w:sz w:val="21"/>
                <w:szCs w:val="21"/>
              </w:rPr>
              <w:t>8</w:t>
            </w:r>
            <w:r>
              <w:rPr>
                <w:rFonts w:hint="eastAsia" w:ascii="仿宋" w:hAnsi="仿宋" w:eastAsia="仿宋" w:cs="宋体"/>
                <w:bCs/>
                <w:kern w:val="0"/>
                <w:sz w:val="21"/>
                <w:szCs w:val="21"/>
              </w:rPr>
              <w:t xml:space="preserve">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r>
              <w:rPr>
                <w:rFonts w:ascii="仿宋" w:hAnsi="仿宋" w:eastAsia="仿宋" w:cs="宋体"/>
                <w:bCs/>
                <w:kern w:val="0"/>
                <w:sz w:val="21"/>
                <w:szCs w:val="21"/>
              </w:rPr>
              <w:t>3</w:t>
            </w:r>
            <w:r>
              <w:rPr>
                <w:rFonts w:hint="eastAsia" w:ascii="仿宋" w:hAnsi="仿宋" w:eastAsia="仿宋" w:cs="宋体"/>
                <w:bCs/>
                <w:kern w:val="0"/>
                <w:sz w:val="21"/>
                <w:szCs w:val="21"/>
              </w:rPr>
              <w:t xml:space="preserve">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25.</w:t>
            </w:r>
            <w:r>
              <w:rPr>
                <w:rFonts w:ascii="仿宋" w:hAnsi="仿宋" w:eastAsia="仿宋" w:cs="宋体"/>
                <w:bCs/>
                <w:kern w:val="0"/>
                <w:sz w:val="21"/>
                <w:szCs w:val="21"/>
              </w:rPr>
              <w:t>8</w:t>
            </w:r>
            <w:r>
              <w:rPr>
                <w:rFonts w:hint="eastAsia" w:ascii="仿宋" w:hAnsi="仿宋" w:eastAsia="仿宋" w:cs="宋体"/>
                <w:bCs/>
                <w:kern w:val="0"/>
                <w:sz w:val="21"/>
                <w:szCs w:val="21"/>
              </w:rPr>
              <w:t xml:space="preserve">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明月山</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1.10 </w:t>
            </w:r>
          </w:p>
        </w:tc>
        <w:tc>
          <w:tcPr>
            <w:tcW w:w="1000" w:type="pct"/>
            <w:shd w:val="clear" w:color="auto" w:fill="auto"/>
            <w:noWrap/>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1.20 </w:t>
            </w:r>
          </w:p>
        </w:tc>
        <w:tc>
          <w:tcPr>
            <w:tcW w:w="1000" w:type="pct"/>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r>
              <w:rPr>
                <w:rFonts w:ascii="仿宋" w:hAnsi="仿宋" w:eastAsia="仿宋" w:cs="宋体"/>
                <w:bCs/>
                <w:kern w:val="0"/>
                <w:sz w:val="21"/>
                <w:szCs w:val="21"/>
              </w:rPr>
              <w:t>6</w:t>
            </w:r>
            <w:r>
              <w:rPr>
                <w:rFonts w:hint="eastAsia" w:ascii="仿宋" w:hAnsi="仿宋" w:eastAsia="仿宋" w:cs="宋体"/>
                <w:bCs/>
                <w:kern w:val="0"/>
                <w:sz w:val="21"/>
                <w:szCs w:val="21"/>
              </w:rPr>
              <w:t xml:space="preserve">0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合  计</w:t>
            </w:r>
          </w:p>
        </w:tc>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150.00 </w:t>
            </w:r>
          </w:p>
        </w:tc>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165.00 </w:t>
            </w:r>
          </w:p>
        </w:tc>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180.00 </w:t>
            </w:r>
          </w:p>
        </w:tc>
        <w:tc>
          <w:tcPr>
            <w:tcW w:w="1000" w:type="pct"/>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255.00 </w:t>
            </w:r>
          </w:p>
        </w:tc>
      </w:tr>
    </w:tbl>
    <w:p>
      <w:pPr>
        <w:widowControl/>
        <w:adjustRightInd w:val="0"/>
        <w:snapToGrid w:val="0"/>
        <w:spacing w:after="0" w:line="360" w:lineRule="auto"/>
        <w:jc w:val="center"/>
        <w:rPr>
          <w:rFonts w:ascii="仿宋" w:hAnsi="仿宋" w:eastAsia="仿宋" w:cs="Times New Roman"/>
          <w:kern w:val="0"/>
          <w:sz w:val="28"/>
          <w:szCs w:val="28"/>
        </w:rPr>
      </w:pP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773" w:name="_Toc151219517"/>
      <w:bookmarkStart w:id="774" w:name="_Toc147677278"/>
      <w:bookmarkStart w:id="775" w:name="_Toc146743274"/>
      <w:bookmarkStart w:id="776" w:name="_Toc149730118"/>
      <w:bookmarkStart w:id="777" w:name="_Toc147505301"/>
      <w:bookmarkStart w:id="778" w:name="_Toc544"/>
      <w:bookmarkStart w:id="779" w:name="_Toc147314288"/>
      <w:bookmarkStart w:id="780" w:name="_Toc146745864"/>
      <w:r>
        <w:rPr>
          <w:rFonts w:hint="eastAsia" w:ascii="仿宋" w:hAnsi="仿宋" w:eastAsia="仿宋" w:cs="Times New Roman"/>
          <w:b/>
          <w:bCs/>
          <w:kern w:val="0"/>
          <w:sz w:val="28"/>
          <w:szCs w:val="28"/>
        </w:rPr>
        <w:t>——富硒禽蛋</w:t>
      </w:r>
      <w:bookmarkEnd w:id="773"/>
      <w:bookmarkEnd w:id="774"/>
      <w:bookmarkEnd w:id="775"/>
      <w:bookmarkEnd w:id="776"/>
      <w:bookmarkEnd w:id="777"/>
      <w:bookmarkEnd w:id="778"/>
      <w:bookmarkEnd w:id="779"/>
      <w:bookmarkEnd w:id="780"/>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按照“规模养殖、产业融合、品牌打造、绿色发展”的思路，全面构建现代富硒禽蛋产业发展体系。推进规范化生产，建设一批生产高效、环境友好、产品安全、管理规范的标准化养殖基地。引育一批禽蛋精深加工企业，生产富硒蛋白粉、蛋黄粉、溶菌酶、蛋液等产品，加快传统酱卤、腌制、熏烤等生产技术改造升级，开发一批高附加值富硒禽蛋产品。实施标准化生产，创建一批特色鲜明、质量过关、具有市场辨识度的“宜春禽蛋”品牌，提升富硒禽蛋产品知名度和竞争力。打造富硒禽蛋“123”产业布局。“1”即“一中心”：在铜鼓县建设1个设施先进、管理科学的良种繁育中心（基地）；“2”即“两园”：在上高县、丰城市分别打造1个加工水平高、产业链条完整、一二三产融合的现代富硒禽蛋产业园；“3”即“300个标准化养殖场”：新改扩建和技改万羽以上蛋禽标准化养殖场300个。到2025年，力争蛋禽养殖规模超3200万羽，禽蛋产量达32万吨，形成禽蛋养殖、加工、仓储、冷链物流、数字化交易中心、肉禽屠宰加工、有机肥生产的全产业体系，全产业链综合产值突破100亿元，产业龙头企业达到30家。到2030年，力争蛋禽养殖规模6030万羽，禽蛋产量达60万吨，全产业链综合产值达到200亿元，产业龙头企业达到60家。</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6120130" cy="4327525"/>
            <wp:effectExtent l="0" t="0" r="13970" b="15875"/>
            <wp:docPr id="3783946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94695"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4  富硒禽蛋产业发展布局图</w:t>
      </w:r>
    </w:p>
    <w:p>
      <w:pPr>
        <w:spacing w:after="0" w:line="360" w:lineRule="auto"/>
        <w:rPr>
          <w:rFonts w:ascii="仿宋" w:hAnsi="仿宋" w:eastAsia="仿宋"/>
          <w:sz w:val="28"/>
          <w:szCs w:val="28"/>
        </w:rPr>
        <w:sectPr>
          <w:footerReference r:id="rId3" w:type="default"/>
          <w:pgSz w:w="11906" w:h="16838"/>
          <w:pgMar w:top="1134" w:right="1134" w:bottom="1134" w:left="1134" w:header="851" w:footer="851" w:gutter="0"/>
          <w:pgNumType w:start="1"/>
          <w:cols w:space="425" w:num="1"/>
          <w:docGrid w:type="lines" w:linePitch="312" w:charSpace="0"/>
        </w:sectPr>
      </w:pP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表4</w:t>
      </w:r>
      <w:r>
        <w:rPr>
          <w:rFonts w:ascii="仿宋" w:hAnsi="仿宋" w:eastAsia="仿宋" w:cs="Times New Roman"/>
          <w:b/>
          <w:bCs/>
          <w:sz w:val="24"/>
          <w:szCs w:val="24"/>
          <w:lang w:val="en-US" w:eastAsia="zh-CN" w:bidi="ar-SA"/>
        </w:rPr>
        <w:t>-2</w:t>
      </w:r>
      <w:r>
        <w:rPr>
          <w:rFonts w:hint="eastAsia" w:ascii="仿宋" w:hAnsi="仿宋" w:eastAsia="仿宋" w:cs="Times New Roman"/>
          <w:b/>
          <w:bCs/>
          <w:sz w:val="24"/>
          <w:szCs w:val="24"/>
          <w:lang w:val="en-US" w:eastAsia="zh-CN" w:bidi="ar-SA"/>
        </w:rPr>
        <w:t xml:space="preserve">  宜春市富硒禽蛋产业发展规划目标（一）</w:t>
      </w:r>
    </w:p>
    <w:tbl>
      <w:tblPr>
        <w:tblStyle w:val="3"/>
        <w:tblW w:w="5000" w:type="pct"/>
        <w:tblInd w:w="0" w:type="dxa"/>
        <w:tblLayout w:type="fixed"/>
        <w:tblCellMar>
          <w:top w:w="0" w:type="dxa"/>
          <w:left w:w="0" w:type="dxa"/>
          <w:bottom w:w="0" w:type="dxa"/>
          <w:right w:w="0" w:type="dxa"/>
        </w:tblCellMar>
      </w:tblPr>
      <w:tblGrid>
        <w:gridCol w:w="723"/>
        <w:gridCol w:w="850"/>
        <w:gridCol w:w="707"/>
        <w:gridCol w:w="850"/>
        <w:gridCol w:w="1136"/>
        <w:gridCol w:w="853"/>
        <w:gridCol w:w="1133"/>
        <w:gridCol w:w="891"/>
        <w:gridCol w:w="1285"/>
        <w:gridCol w:w="1086"/>
        <w:gridCol w:w="964"/>
        <w:gridCol w:w="867"/>
        <w:gridCol w:w="867"/>
        <w:gridCol w:w="867"/>
        <w:gridCol w:w="867"/>
        <w:gridCol w:w="654"/>
      </w:tblGrid>
      <w:tr>
        <w:tblPrEx>
          <w:tblCellMar>
            <w:top w:w="0" w:type="dxa"/>
            <w:left w:w="0" w:type="dxa"/>
            <w:bottom w:w="0" w:type="dxa"/>
            <w:right w:w="0" w:type="dxa"/>
          </w:tblCellMar>
        </w:tblPrEx>
        <w:trPr>
          <w:trHeight w:val="300" w:hRule="atLeast"/>
          <w:tblHeader/>
        </w:trPr>
        <w:tc>
          <w:tcPr>
            <w:tcW w:w="248" w:type="pct"/>
            <w:vMerge w:val="restart"/>
            <w:tcBorders>
              <w:top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县市区</w:t>
            </w:r>
          </w:p>
        </w:tc>
        <w:tc>
          <w:tcPr>
            <w:tcW w:w="1505" w:type="pct"/>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禽蛋产业综合产值（亿元）</w:t>
            </w:r>
          </w:p>
        </w:tc>
        <w:tc>
          <w:tcPr>
            <w:tcW w:w="1835" w:type="pct"/>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蛋禽养殖规模（万羽）</w:t>
            </w:r>
          </w:p>
        </w:tc>
        <w:tc>
          <w:tcPr>
            <w:tcW w:w="1412" w:type="pct"/>
            <w:gridSpan w:val="5"/>
            <w:tcBorders>
              <w:top w:val="single" w:color="000000" w:sz="8" w:space="0"/>
              <w:left w:val="single" w:color="000000" w:sz="8" w:space="0"/>
              <w:bottom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禽蛋产量（万吨）</w:t>
            </w:r>
          </w:p>
        </w:tc>
      </w:tr>
      <w:tr>
        <w:tblPrEx>
          <w:tblCellMar>
            <w:top w:w="0" w:type="dxa"/>
            <w:left w:w="0" w:type="dxa"/>
            <w:bottom w:w="0" w:type="dxa"/>
            <w:right w:w="0" w:type="dxa"/>
          </w:tblCellMar>
        </w:tblPrEx>
        <w:trPr>
          <w:trHeight w:val="330" w:hRule="atLeast"/>
          <w:tblHeader/>
        </w:trPr>
        <w:tc>
          <w:tcPr>
            <w:tcW w:w="248" w:type="pct"/>
            <w:vMerge w:val="continue"/>
            <w:tcBorders>
              <w:top w:val="single" w:color="000000" w:sz="8" w:space="0"/>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21"/>
                <w:szCs w:val="21"/>
              </w:rPr>
            </w:pP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2022</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2023</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2024</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2025</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2030</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2022</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2023</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2024</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2025</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2030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2025</w:t>
            </w:r>
          </w:p>
        </w:tc>
        <w:tc>
          <w:tcPr>
            <w:tcW w:w="224" w:type="pct"/>
            <w:tcBorders>
              <w:top w:val="nil"/>
              <w:left w:val="nil"/>
              <w:bottom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kern w:val="0"/>
                <w:sz w:val="21"/>
                <w:szCs w:val="21"/>
              </w:rPr>
            </w:pPr>
            <w:r>
              <w:rPr>
                <w:rFonts w:ascii="仿宋" w:hAnsi="仿宋" w:eastAsia="仿宋" w:cs="宋体"/>
                <w:kern w:val="0"/>
                <w:sz w:val="21"/>
                <w:szCs w:val="21"/>
              </w:rPr>
              <w:t>2030</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袁州区</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3.00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4.00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5.00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9.49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75.00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99.00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129.00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159.00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298.80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0.75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0.99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1.29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1.59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2.99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樟树市</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3.30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4.40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5.80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13.91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110.00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146.00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190.00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234.00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440.40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1.10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1.46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1.90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2.34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4.40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丰城市</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16.30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21.80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29.10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36.30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69.62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544.00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726.00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944.00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1162.00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2190.80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5.44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7.26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9.44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11.62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21.91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靖安县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0.60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0.80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2.92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20.00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27.00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35.00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43.00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81.30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0.20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0.27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0.35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0.43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0.81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奉新县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0.70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0.90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2.83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40.00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49.00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92.30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0.23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0.31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0.40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0.49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0.92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高安市</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4.60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6.10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8.20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10.20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21.56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153.00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204.00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265.00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326.00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614.00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1.53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2.04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2.65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3.26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6.14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上高县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9.40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12.50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16.70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20.90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42.03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313.00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417.00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542.00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667.00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1256.30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3.13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4.17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5.42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6.67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12.56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宜丰县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5.40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9.70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12.10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23.25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181.00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242.00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314.00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387.00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729.50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1.81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2.42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3.14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3.87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7.00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铜鼓县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1.40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1.90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2.50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3.10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7.93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47.00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63.00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82.00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100.00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188.70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0.47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0.63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0.82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1.00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1.89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万载县</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1.00 </w:t>
            </w:r>
          </w:p>
        </w:tc>
        <w:tc>
          <w:tcPr>
            <w:tcW w:w="24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1.80 </w:t>
            </w:r>
          </w:p>
        </w:tc>
        <w:tc>
          <w:tcPr>
            <w:tcW w:w="38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2.30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6.46 </w:t>
            </w:r>
          </w:p>
        </w:tc>
        <w:tc>
          <w:tcPr>
            <w:tcW w:w="388"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34.00 </w:t>
            </w:r>
          </w:p>
        </w:tc>
        <w:tc>
          <w:tcPr>
            <w:tcW w:w="305"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45.00 </w:t>
            </w:r>
          </w:p>
        </w:tc>
        <w:tc>
          <w:tcPr>
            <w:tcW w:w="44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59.00 </w:t>
            </w:r>
          </w:p>
        </w:tc>
        <w:tc>
          <w:tcPr>
            <w:tcW w:w="372"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73.00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137.90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0.34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0.45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0.59 </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0.73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 xml:space="preserve">1.38 </w:t>
            </w:r>
          </w:p>
        </w:tc>
      </w:tr>
      <w:tr>
        <w:tblPrEx>
          <w:tblCellMar>
            <w:top w:w="0" w:type="dxa"/>
            <w:left w:w="0" w:type="dxa"/>
            <w:bottom w:w="0" w:type="dxa"/>
            <w:right w:w="0" w:type="dxa"/>
          </w:tblCellMar>
        </w:tblPrEx>
        <w:trPr>
          <w:trHeight w:val="330" w:hRule="atLeast"/>
        </w:trPr>
        <w:tc>
          <w:tcPr>
            <w:tcW w:w="248"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合  计</w:t>
            </w:r>
          </w:p>
        </w:tc>
        <w:tc>
          <w:tcPr>
            <w:tcW w:w="29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45.00 </w:t>
            </w:r>
          </w:p>
        </w:tc>
        <w:tc>
          <w:tcPr>
            <w:tcW w:w="242"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60.00 </w:t>
            </w:r>
          </w:p>
        </w:tc>
        <w:tc>
          <w:tcPr>
            <w:tcW w:w="29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80.00 </w:t>
            </w:r>
          </w:p>
        </w:tc>
        <w:tc>
          <w:tcPr>
            <w:tcW w:w="389"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100.00 </w:t>
            </w:r>
          </w:p>
        </w:tc>
        <w:tc>
          <w:tcPr>
            <w:tcW w:w="29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200.00 </w:t>
            </w:r>
          </w:p>
        </w:tc>
        <w:tc>
          <w:tcPr>
            <w:tcW w:w="388"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1500.00 </w:t>
            </w:r>
          </w:p>
        </w:tc>
        <w:tc>
          <w:tcPr>
            <w:tcW w:w="305"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2000.00 </w:t>
            </w:r>
          </w:p>
        </w:tc>
        <w:tc>
          <w:tcPr>
            <w:tcW w:w="440"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2600.00 </w:t>
            </w:r>
          </w:p>
        </w:tc>
        <w:tc>
          <w:tcPr>
            <w:tcW w:w="372"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3200.00 </w:t>
            </w:r>
          </w:p>
        </w:tc>
        <w:tc>
          <w:tcPr>
            <w:tcW w:w="330"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6030.00 </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15.00 </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20.00 </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26.00 </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32.00 </w:t>
            </w:r>
          </w:p>
        </w:tc>
        <w:tc>
          <w:tcPr>
            <w:tcW w:w="224"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 xml:space="preserve">60.00 </w:t>
            </w:r>
          </w:p>
        </w:tc>
      </w:tr>
    </w:tbl>
    <w:p>
      <w:pPr>
        <w:widowControl/>
        <w:adjustRightInd w:val="0"/>
        <w:snapToGrid w:val="0"/>
        <w:spacing w:after="0" w:line="360" w:lineRule="auto"/>
        <w:jc w:val="center"/>
        <w:rPr>
          <w:rFonts w:ascii="仿宋" w:hAnsi="仿宋" w:eastAsia="仿宋" w:cs="Times New Roman"/>
          <w:kern w:val="0"/>
          <w:sz w:val="28"/>
          <w:szCs w:val="28"/>
        </w:rPr>
      </w:pPr>
    </w:p>
    <w:p>
      <w:pPr>
        <w:widowControl/>
        <w:adjustRightInd/>
        <w:snapToGrid/>
        <w:spacing w:after="0"/>
        <w:jc w:val="left"/>
        <w:rPr>
          <w:rFonts w:ascii="仿宋" w:hAnsi="仿宋" w:eastAsia="仿宋" w:cs="Times New Roman"/>
          <w:kern w:val="0"/>
          <w:sz w:val="28"/>
          <w:szCs w:val="28"/>
        </w:rPr>
      </w:pPr>
      <w:r>
        <w:rPr>
          <w:rFonts w:ascii="仿宋" w:hAnsi="仿宋" w:eastAsia="仿宋" w:cs="Times New Roman"/>
          <w:kern w:val="0"/>
          <w:sz w:val="28"/>
          <w:szCs w:val="28"/>
        </w:rPr>
        <w:br w:type="page"/>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表4</w:t>
      </w:r>
      <w:r>
        <w:rPr>
          <w:rFonts w:ascii="仿宋" w:hAnsi="仿宋" w:eastAsia="仿宋" w:cs="Times New Roman"/>
          <w:b/>
          <w:bCs/>
          <w:sz w:val="24"/>
          <w:szCs w:val="24"/>
          <w:lang w:val="en-US" w:eastAsia="zh-CN" w:bidi="ar-SA"/>
        </w:rPr>
        <w:t>-3</w:t>
      </w:r>
      <w:r>
        <w:rPr>
          <w:rFonts w:hint="eastAsia" w:ascii="仿宋" w:hAnsi="仿宋" w:eastAsia="仿宋" w:cs="Times New Roman"/>
          <w:b/>
          <w:bCs/>
          <w:sz w:val="24"/>
          <w:szCs w:val="24"/>
          <w:lang w:val="en-US" w:eastAsia="zh-CN" w:bidi="ar-SA"/>
        </w:rPr>
        <w:t xml:space="preserve">  宜春市富硒禽蛋产业发展规划目标（二）</w:t>
      </w:r>
    </w:p>
    <w:tbl>
      <w:tblPr>
        <w:tblStyle w:val="3"/>
        <w:tblW w:w="5000" w:type="pct"/>
        <w:tblInd w:w="0" w:type="dxa"/>
        <w:tblLayout w:type="autofit"/>
        <w:tblCellMar>
          <w:top w:w="0" w:type="dxa"/>
          <w:left w:w="0" w:type="dxa"/>
          <w:bottom w:w="0" w:type="dxa"/>
          <w:right w:w="0" w:type="dxa"/>
        </w:tblCellMar>
      </w:tblPr>
      <w:tblGrid>
        <w:gridCol w:w="1267"/>
        <w:gridCol w:w="1054"/>
        <w:gridCol w:w="1054"/>
        <w:gridCol w:w="1054"/>
        <w:gridCol w:w="1054"/>
        <w:gridCol w:w="1054"/>
        <w:gridCol w:w="867"/>
        <w:gridCol w:w="867"/>
        <w:gridCol w:w="867"/>
        <w:gridCol w:w="867"/>
        <w:gridCol w:w="873"/>
        <w:gridCol w:w="748"/>
        <w:gridCol w:w="748"/>
        <w:gridCol w:w="748"/>
        <w:gridCol w:w="748"/>
        <w:gridCol w:w="730"/>
      </w:tblGrid>
      <w:tr>
        <w:tblPrEx>
          <w:tblCellMar>
            <w:top w:w="0" w:type="dxa"/>
            <w:left w:w="0" w:type="dxa"/>
            <w:bottom w:w="0" w:type="dxa"/>
            <w:right w:w="0" w:type="dxa"/>
          </w:tblCellMar>
        </w:tblPrEx>
        <w:trPr>
          <w:trHeight w:val="300" w:hRule="atLeast"/>
        </w:trPr>
        <w:tc>
          <w:tcPr>
            <w:tcW w:w="434" w:type="pct"/>
            <w:vMerge w:val="restart"/>
            <w:tcBorders>
              <w:top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县市区</w:t>
            </w:r>
          </w:p>
        </w:tc>
        <w:tc>
          <w:tcPr>
            <w:tcW w:w="1805" w:type="pct"/>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b/>
                <w:kern w:val="0"/>
                <w:sz w:val="21"/>
                <w:szCs w:val="21"/>
              </w:rPr>
            </w:pPr>
            <w:r>
              <w:rPr>
                <w:rFonts w:ascii="仿宋" w:hAnsi="仿宋" w:eastAsia="仿宋" w:cs="Times New Roman"/>
                <w:b/>
                <w:kern w:val="0"/>
                <w:sz w:val="21"/>
                <w:szCs w:val="21"/>
              </w:rPr>
              <w:t>1</w:t>
            </w:r>
            <w:r>
              <w:rPr>
                <w:rFonts w:hint="eastAsia" w:ascii="仿宋" w:hAnsi="仿宋" w:eastAsia="仿宋" w:cs="Times New Roman"/>
                <w:b/>
                <w:kern w:val="0"/>
                <w:sz w:val="21"/>
                <w:szCs w:val="21"/>
              </w:rPr>
              <w:t>万≤存栏量＜</w:t>
            </w:r>
            <w:r>
              <w:rPr>
                <w:rFonts w:ascii="仿宋" w:hAnsi="仿宋" w:eastAsia="仿宋" w:cs="Times New Roman"/>
                <w:b/>
                <w:kern w:val="0"/>
                <w:sz w:val="21"/>
                <w:szCs w:val="21"/>
              </w:rPr>
              <w:t>5</w:t>
            </w:r>
            <w:r>
              <w:rPr>
                <w:rFonts w:hint="eastAsia" w:ascii="仿宋" w:hAnsi="仿宋" w:eastAsia="仿宋" w:cs="Times New Roman"/>
                <w:b/>
                <w:kern w:val="0"/>
                <w:sz w:val="21"/>
                <w:szCs w:val="21"/>
              </w:rPr>
              <w:t>万羽蛋禽养殖场（个）</w:t>
            </w:r>
          </w:p>
        </w:tc>
        <w:tc>
          <w:tcPr>
            <w:tcW w:w="1487" w:type="pct"/>
            <w:gridSpan w:val="5"/>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存栏量≥</w:t>
            </w:r>
            <w:r>
              <w:rPr>
                <w:rFonts w:ascii="仿宋" w:hAnsi="仿宋" w:eastAsia="仿宋" w:cs="Times New Roman"/>
                <w:b/>
                <w:kern w:val="0"/>
                <w:sz w:val="21"/>
                <w:szCs w:val="21"/>
              </w:rPr>
              <w:t>5</w:t>
            </w:r>
            <w:r>
              <w:rPr>
                <w:rFonts w:hint="eastAsia" w:ascii="仿宋" w:hAnsi="仿宋" w:eastAsia="仿宋" w:cs="宋体"/>
                <w:b/>
                <w:kern w:val="0"/>
                <w:sz w:val="21"/>
                <w:szCs w:val="21"/>
              </w:rPr>
              <w:t>万羽以上蛋禽养殖场</w:t>
            </w:r>
            <w:r>
              <w:rPr>
                <w:rFonts w:hint="eastAsia" w:ascii="仿宋" w:hAnsi="仿宋" w:eastAsia="仿宋" w:cs="宋体"/>
                <w:b/>
                <w:bCs/>
                <w:kern w:val="0"/>
                <w:sz w:val="21"/>
                <w:szCs w:val="21"/>
              </w:rPr>
              <w:t>（个）</w:t>
            </w:r>
          </w:p>
        </w:tc>
        <w:tc>
          <w:tcPr>
            <w:tcW w:w="1275" w:type="pct"/>
            <w:gridSpan w:val="5"/>
            <w:tcBorders>
              <w:top w:val="single" w:color="000000" w:sz="8" w:space="0"/>
              <w:left w:val="single" w:color="000000" w:sz="8" w:space="0"/>
              <w:bottom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产业龙头企业（家）</w:t>
            </w:r>
          </w:p>
        </w:tc>
      </w:tr>
      <w:tr>
        <w:tblPrEx>
          <w:tblCellMar>
            <w:top w:w="0" w:type="dxa"/>
            <w:left w:w="0" w:type="dxa"/>
            <w:bottom w:w="0" w:type="dxa"/>
            <w:right w:w="0" w:type="dxa"/>
          </w:tblCellMar>
        </w:tblPrEx>
        <w:trPr>
          <w:trHeight w:val="300" w:hRule="atLeast"/>
        </w:trPr>
        <w:tc>
          <w:tcPr>
            <w:tcW w:w="434" w:type="pct"/>
            <w:vMerge w:val="continue"/>
            <w:tcBorders>
              <w:top w:val="single" w:color="000000" w:sz="8" w:space="0"/>
              <w:bottom w:val="single" w:color="000000" w:sz="8" w:space="0"/>
              <w:right w:val="single" w:color="000000" w:sz="8" w:space="0"/>
            </w:tcBorders>
            <w:shd w:val="clear" w:color="auto" w:fill="auto"/>
            <w:vAlign w:val="center"/>
          </w:tcPr>
          <w:p>
            <w:pPr>
              <w:widowControl/>
              <w:adjustRightInd/>
              <w:snapToGrid/>
              <w:spacing w:after="0"/>
              <w:jc w:val="left"/>
              <w:rPr>
                <w:rFonts w:ascii="仿宋" w:hAnsi="仿宋" w:eastAsia="仿宋" w:cs="宋体"/>
                <w:kern w:val="0"/>
                <w:sz w:val="21"/>
                <w:szCs w:val="21"/>
              </w:rPr>
            </w:pP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2023</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2024</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2030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2025</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2030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2023</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2025</w:t>
            </w:r>
          </w:p>
        </w:tc>
        <w:tc>
          <w:tcPr>
            <w:tcW w:w="250" w:type="pct"/>
            <w:tcBorders>
              <w:top w:val="nil"/>
              <w:left w:val="nil"/>
              <w:bottom w:val="single" w:color="000000" w:sz="8" w:space="0"/>
            </w:tcBorders>
            <w:shd w:val="clear" w:color="auto" w:fill="auto"/>
            <w:tcMar>
              <w:top w:w="15" w:type="dxa"/>
              <w:left w:w="15" w:type="dxa"/>
              <w:bottom w:w="0" w:type="dxa"/>
              <w:right w:w="15" w:type="dxa"/>
            </w:tcMar>
            <w:vAlign w:val="center"/>
          </w:tcPr>
          <w:p>
            <w:pPr>
              <w:widowControl/>
              <w:adjustRightInd/>
              <w:snapToGrid/>
              <w:spacing w:after="0"/>
              <w:jc w:val="center"/>
              <w:rPr>
                <w:rFonts w:ascii="仿宋" w:hAnsi="仿宋" w:eastAsia="仿宋" w:cs="Times New Roman"/>
                <w:kern w:val="0"/>
                <w:sz w:val="21"/>
                <w:szCs w:val="21"/>
              </w:rPr>
            </w:pPr>
            <w:r>
              <w:rPr>
                <w:rFonts w:ascii="仿宋" w:hAnsi="仿宋" w:eastAsia="仿宋" w:cs="Times New Roman"/>
                <w:kern w:val="0"/>
                <w:sz w:val="21"/>
                <w:szCs w:val="21"/>
              </w:rPr>
              <w:t>2030</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袁州区</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樟树市</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丰城市</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68</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靖安县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奉新县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高安市</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29</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上高县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22</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41</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109</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宜丰县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21</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55</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铜鼓县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万载县</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97"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6"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0" w:type="dxa"/>
            <w:bottom w:w="0" w:type="dxa"/>
            <w:right w:w="0" w:type="dxa"/>
          </w:tblCellMar>
        </w:tblPrEx>
        <w:trPr>
          <w:trHeight w:val="300" w:hRule="atLeast"/>
        </w:trPr>
        <w:tc>
          <w:tcPr>
            <w:tcW w:w="434" w:type="pct"/>
            <w:tcBorders>
              <w:top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合  计</w:t>
            </w:r>
          </w:p>
        </w:tc>
        <w:tc>
          <w:tcPr>
            <w:tcW w:w="36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w:t>
            </w:r>
          </w:p>
        </w:tc>
        <w:tc>
          <w:tcPr>
            <w:tcW w:w="36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140</w:t>
            </w:r>
          </w:p>
        </w:tc>
        <w:tc>
          <w:tcPr>
            <w:tcW w:w="36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180</w:t>
            </w:r>
          </w:p>
        </w:tc>
        <w:tc>
          <w:tcPr>
            <w:tcW w:w="361"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230</w:t>
            </w:r>
          </w:p>
        </w:tc>
        <w:tc>
          <w:tcPr>
            <w:tcW w:w="361"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439</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50</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60</w:t>
            </w:r>
          </w:p>
        </w:tc>
        <w:tc>
          <w:tcPr>
            <w:tcW w:w="297"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w:t>
            </w:r>
          </w:p>
        </w:tc>
        <w:tc>
          <w:tcPr>
            <w:tcW w:w="299" w:type="pct"/>
            <w:tcBorders>
              <w:top w:val="nil"/>
              <w:left w:val="nil"/>
              <w:bottom w:val="single" w:color="000000" w:sz="8" w:space="0"/>
              <w:right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122</w:t>
            </w:r>
          </w:p>
        </w:tc>
        <w:tc>
          <w:tcPr>
            <w:tcW w:w="256"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w:t>
            </w:r>
          </w:p>
        </w:tc>
        <w:tc>
          <w:tcPr>
            <w:tcW w:w="256"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256"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25</w:t>
            </w:r>
          </w:p>
        </w:tc>
        <w:tc>
          <w:tcPr>
            <w:tcW w:w="256" w:type="pct"/>
            <w:tcBorders>
              <w:top w:val="nil"/>
              <w:left w:val="nil"/>
              <w:bottom w:val="single" w:color="000000" w:sz="8" w:space="0"/>
              <w:right w:val="single" w:color="000000" w:sz="8" w:space="0"/>
            </w:tcBorders>
            <w:shd w:val="clear" w:color="auto" w:fill="auto"/>
            <w:noWrap/>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w:t>
            </w:r>
          </w:p>
        </w:tc>
        <w:tc>
          <w:tcPr>
            <w:tcW w:w="250" w:type="pct"/>
            <w:tcBorders>
              <w:top w:val="nil"/>
              <w:left w:val="nil"/>
              <w:bottom w:val="single" w:color="000000" w:sz="8" w:space="0"/>
            </w:tcBorders>
            <w:shd w:val="clear" w:color="auto" w:fill="auto"/>
            <w:tcMar>
              <w:top w:w="15" w:type="dxa"/>
              <w:left w:w="15" w:type="dxa"/>
              <w:bottom w:w="0" w:type="dxa"/>
              <w:right w:w="15" w:type="dxa"/>
            </w:tcMar>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60</w:t>
            </w:r>
          </w:p>
        </w:tc>
      </w:tr>
    </w:tbl>
    <w:p>
      <w:pPr>
        <w:widowControl/>
        <w:adjustRightInd w:val="0"/>
        <w:snapToGrid w:val="0"/>
        <w:spacing w:after="0" w:line="360" w:lineRule="auto"/>
        <w:jc w:val="center"/>
        <w:rPr>
          <w:rFonts w:ascii="仿宋" w:hAnsi="仿宋" w:eastAsia="仿宋" w:cs="Times New Roman"/>
          <w:kern w:val="0"/>
          <w:sz w:val="28"/>
          <w:szCs w:val="28"/>
        </w:rPr>
      </w:pPr>
    </w:p>
    <w:p>
      <w:pPr>
        <w:widowControl/>
        <w:adjustRightInd/>
        <w:snapToGrid/>
        <w:spacing w:after="0"/>
        <w:jc w:val="left"/>
        <w:rPr>
          <w:rFonts w:ascii="仿宋" w:hAnsi="仿宋" w:eastAsia="仿宋" w:cs="Times New Roman"/>
          <w:kern w:val="0"/>
          <w:sz w:val="28"/>
          <w:szCs w:val="28"/>
        </w:rPr>
      </w:pPr>
      <w:r>
        <w:rPr>
          <w:rFonts w:ascii="仿宋" w:hAnsi="仿宋" w:eastAsia="仿宋" w:cs="Times New Roman"/>
          <w:kern w:val="0"/>
          <w:sz w:val="28"/>
          <w:szCs w:val="28"/>
        </w:rPr>
        <w:br w:type="page"/>
      </w:r>
    </w:p>
    <w:p>
      <w:pPr>
        <w:adjustRightInd/>
        <w:snapToGrid/>
        <w:spacing w:after="0"/>
        <w:rPr>
          <w:rFonts w:ascii="仿宋" w:hAnsi="仿宋" w:eastAsia="仿宋"/>
          <w:sz w:val="28"/>
          <w:szCs w:val="28"/>
        </w:rPr>
        <w:sectPr>
          <w:pgSz w:w="16838" w:h="11906" w:orient="landscape"/>
          <w:pgMar w:top="1134" w:right="1134" w:bottom="1134" w:left="1134" w:header="851" w:footer="851" w:gutter="0"/>
          <w:cols w:space="425" w:num="1"/>
          <w:docGrid w:type="lines" w:linePitch="312" w:charSpace="0"/>
        </w:sectPr>
      </w:pP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781" w:name="_Toc7376"/>
      <w:bookmarkStart w:id="782" w:name="_Toc147677279"/>
      <w:bookmarkStart w:id="783" w:name="_Toc151219518"/>
      <w:bookmarkStart w:id="784" w:name="_Toc147505302"/>
      <w:bookmarkStart w:id="785" w:name="_Toc146743275"/>
      <w:bookmarkStart w:id="786" w:name="_Toc146745865"/>
      <w:bookmarkStart w:id="787" w:name="_Toc149730119"/>
      <w:bookmarkStart w:id="788" w:name="_Toc147314289"/>
      <w:r>
        <w:rPr>
          <w:rFonts w:hint="eastAsia" w:ascii="仿宋" w:hAnsi="仿宋" w:eastAsia="仿宋" w:cs="Times New Roman"/>
          <w:b/>
          <w:kern w:val="0"/>
          <w:sz w:val="28"/>
          <w:szCs w:val="28"/>
        </w:rPr>
        <w:t>——富硒竹笋</w:t>
      </w:r>
      <w:bookmarkEnd w:id="781"/>
      <w:bookmarkEnd w:id="782"/>
      <w:bookmarkEnd w:id="783"/>
      <w:bookmarkEnd w:id="784"/>
      <w:bookmarkEnd w:id="785"/>
      <w:bookmarkEnd w:id="786"/>
      <w:bookmarkEnd w:id="787"/>
      <w:bookmarkEnd w:id="788"/>
      <w:r>
        <w:rPr>
          <w:rFonts w:hint="eastAsia" w:ascii="仿宋" w:hAnsi="仿宋" w:eastAsia="仿宋" w:cs="Times New Roman"/>
          <w:b/>
          <w:kern w:val="0"/>
          <w:sz w:val="28"/>
          <w:szCs w:val="28"/>
        </w:rPr>
        <w:t>。</w:t>
      </w:r>
      <w:r>
        <w:rPr>
          <w:rFonts w:hint="eastAsia" w:ascii="仿宋" w:hAnsi="仿宋" w:eastAsia="仿宋" w:cs="Times New Roman"/>
          <w:kern w:val="0"/>
          <w:sz w:val="28"/>
          <w:szCs w:val="28"/>
        </w:rPr>
        <w:t>全面开展富硒笋用林、笋材两用林基地建设。注重引育富硒竹笋龙头企业，发展竹笋储藏物流业和精深加工业，开发高附加值的竹笋产品。构建覆盖富硒竹笋采挖、加工、仓储、物流、品质、包装全过程管理标准体系。推进竹笋产业与文化教育、乡村旅游深度结合。按照“6</w:t>
      </w:r>
      <w:r>
        <w:rPr>
          <w:rFonts w:ascii="仿宋" w:hAnsi="仿宋" w:eastAsia="仿宋" w:cs="Times New Roman"/>
          <w:kern w:val="0"/>
          <w:sz w:val="28"/>
          <w:szCs w:val="28"/>
        </w:rPr>
        <w:t>32</w:t>
      </w:r>
      <w:r>
        <w:rPr>
          <w:rFonts w:hint="eastAsia" w:ascii="仿宋" w:hAnsi="仿宋" w:eastAsia="仿宋" w:cs="Times New Roman"/>
          <w:kern w:val="0"/>
          <w:sz w:val="28"/>
          <w:szCs w:val="28"/>
        </w:rPr>
        <w:t>”产业体系，“6”即六区：在“昌铜四县”及万载县、袁州区打造富硒竹笋产业发展先行示范区。“</w:t>
      </w:r>
      <w:r>
        <w:rPr>
          <w:rFonts w:ascii="仿宋" w:hAnsi="仿宋" w:eastAsia="仿宋" w:cs="Times New Roman"/>
          <w:kern w:val="0"/>
          <w:sz w:val="28"/>
          <w:szCs w:val="28"/>
        </w:rPr>
        <w:t>3</w:t>
      </w:r>
      <w:r>
        <w:rPr>
          <w:rFonts w:hint="eastAsia" w:ascii="仿宋" w:hAnsi="仿宋" w:eastAsia="仿宋" w:cs="Times New Roman"/>
          <w:kern w:val="0"/>
          <w:sz w:val="28"/>
          <w:szCs w:val="28"/>
        </w:rPr>
        <w:t>”即“三园”：在宜丰县、铜鼓县、奉新县分别打造1个现代富硒竹笋产业园。“</w:t>
      </w:r>
      <w:r>
        <w:rPr>
          <w:rFonts w:ascii="仿宋" w:hAnsi="仿宋" w:eastAsia="仿宋" w:cs="Times New Roman"/>
          <w:kern w:val="0"/>
          <w:sz w:val="28"/>
          <w:szCs w:val="28"/>
        </w:rPr>
        <w:t>2</w:t>
      </w:r>
      <w:r>
        <w:rPr>
          <w:rFonts w:hint="eastAsia" w:ascii="仿宋" w:hAnsi="仿宋" w:eastAsia="仿宋" w:cs="Times New Roman"/>
          <w:kern w:val="0"/>
          <w:sz w:val="28"/>
          <w:szCs w:val="28"/>
        </w:rPr>
        <w:t>”即依据产业基础和资源条件，打造</w:t>
      </w:r>
      <w:r>
        <w:rPr>
          <w:rFonts w:ascii="仿宋" w:hAnsi="仿宋" w:eastAsia="仿宋" w:cs="Times New Roman"/>
          <w:kern w:val="0"/>
          <w:sz w:val="28"/>
          <w:szCs w:val="28"/>
        </w:rPr>
        <w:t>20</w:t>
      </w:r>
      <w:r>
        <w:rPr>
          <w:rFonts w:hint="eastAsia" w:ascii="仿宋" w:hAnsi="仿宋" w:eastAsia="仿宋" w:cs="Times New Roman"/>
          <w:kern w:val="0"/>
          <w:sz w:val="28"/>
          <w:szCs w:val="28"/>
        </w:rPr>
        <w:t>0个以上有规模、有实力的富硒竹笋示范基地。到2025年，构建完备的富硒竹笋产业标准化生产、品牌化营销、产业化发展体系，实现富硒鲜竹笋年产量超85万吨，力争1-2个富硒竹笋品牌进入全国农产品区域公用品牌价值榜100强，打造1-2个产值超10亿元的富硒竹笋产业园，全市富硒竹笋产业综合产值突破100亿元。到2030年，力争富硒竹笋标准基地面积达到291.5万亩，富硒竹笋龙头企业达到36家，全市富硒竹笋产业综合产值达到183.5亿元。</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6120130" cy="4327525"/>
            <wp:effectExtent l="0" t="0" r="13970" b="15875"/>
            <wp:docPr id="19963865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86547"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pPr>
        <w:adjustRightInd w:val="0"/>
        <w:snapToGrid w:val="0"/>
        <w:spacing w:after="200"/>
        <w:jc w:val="center"/>
        <w:rPr>
          <w:rFonts w:ascii="仿宋" w:hAnsi="仿宋" w:eastAsia="仿宋" w:cs="Times New Roman"/>
          <w:sz w:val="28"/>
          <w:szCs w:val="28"/>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5  富硒竹笋产业发展布局图</w:t>
      </w:r>
    </w:p>
    <w:p>
      <w:pPr>
        <w:spacing w:after="0" w:line="360" w:lineRule="auto"/>
        <w:ind w:firstLine="560" w:firstLineChars="200"/>
        <w:jc w:val="both"/>
        <w:rPr>
          <w:rFonts w:ascii="仿宋" w:hAnsi="仿宋" w:eastAsia="仿宋"/>
          <w:sz w:val="28"/>
          <w:szCs w:val="28"/>
        </w:rPr>
        <w:sectPr>
          <w:pgSz w:w="11906" w:h="16838"/>
          <w:pgMar w:top="1134" w:right="1134" w:bottom="1134" w:left="1134" w:header="851" w:footer="851" w:gutter="0"/>
          <w:cols w:space="425" w:num="1"/>
          <w:docGrid w:type="lines" w:linePitch="312" w:charSpace="0"/>
        </w:sectPr>
      </w:pP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表4</w:t>
      </w:r>
      <w:r>
        <w:rPr>
          <w:rFonts w:ascii="仿宋" w:hAnsi="仿宋" w:eastAsia="仿宋" w:cs="Times New Roman"/>
          <w:b/>
          <w:bCs/>
          <w:sz w:val="24"/>
          <w:szCs w:val="24"/>
          <w:lang w:val="en-US" w:eastAsia="zh-CN" w:bidi="ar-SA"/>
        </w:rPr>
        <w:t>-4</w:t>
      </w:r>
      <w:r>
        <w:rPr>
          <w:rFonts w:hint="eastAsia" w:ascii="仿宋" w:hAnsi="仿宋" w:eastAsia="仿宋" w:cs="Times New Roman"/>
          <w:b/>
          <w:bCs/>
          <w:sz w:val="24"/>
          <w:szCs w:val="24"/>
          <w:lang w:val="en-US" w:eastAsia="zh-CN" w:bidi="ar-SA"/>
        </w:rPr>
        <w:t xml:space="preserve">  宜春市富硒竹笋产业发展规划目标</w:t>
      </w:r>
    </w:p>
    <w:tbl>
      <w:tblPr>
        <w:tblStyle w:val="3"/>
        <w:tblW w:w="0" w:type="auto"/>
        <w:tblInd w:w="0" w:type="dxa"/>
        <w:tblLayout w:type="fixed"/>
        <w:tblCellMar>
          <w:top w:w="0" w:type="dxa"/>
          <w:left w:w="108" w:type="dxa"/>
          <w:bottom w:w="0" w:type="dxa"/>
          <w:right w:w="108" w:type="dxa"/>
        </w:tblCellMar>
      </w:tblPr>
      <w:tblGrid>
        <w:gridCol w:w="959"/>
        <w:gridCol w:w="793"/>
        <w:gridCol w:w="936"/>
        <w:gridCol w:w="935"/>
        <w:gridCol w:w="936"/>
        <w:gridCol w:w="936"/>
        <w:gridCol w:w="878"/>
        <w:gridCol w:w="879"/>
        <w:gridCol w:w="879"/>
        <w:gridCol w:w="879"/>
        <w:gridCol w:w="879"/>
        <w:gridCol w:w="709"/>
        <w:gridCol w:w="709"/>
        <w:gridCol w:w="708"/>
        <w:gridCol w:w="709"/>
        <w:gridCol w:w="709"/>
        <w:gridCol w:w="709"/>
        <w:gridCol w:w="644"/>
      </w:tblGrid>
      <w:tr>
        <w:tblPrEx>
          <w:tblCellMar>
            <w:top w:w="0" w:type="dxa"/>
            <w:left w:w="108" w:type="dxa"/>
            <w:bottom w:w="0" w:type="dxa"/>
            <w:right w:w="108" w:type="dxa"/>
          </w:tblCellMar>
        </w:tblPrEx>
        <w:trPr>
          <w:trHeight w:val="570" w:hRule="atLeast"/>
        </w:trPr>
        <w:tc>
          <w:tcPr>
            <w:tcW w:w="959" w:type="dxa"/>
            <w:vMerge w:val="restart"/>
            <w:tcBorders>
              <w:top w:val="single" w:color="000000" w:sz="8" w:space="0"/>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县市区</w:t>
            </w:r>
          </w:p>
        </w:tc>
        <w:tc>
          <w:tcPr>
            <w:tcW w:w="4536" w:type="dxa"/>
            <w:gridSpan w:val="5"/>
            <w:tcBorders>
              <w:top w:val="single" w:color="000000" w:sz="8" w:space="0"/>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富硒竹笋产业综合产值（亿元）</w:t>
            </w:r>
          </w:p>
        </w:tc>
        <w:tc>
          <w:tcPr>
            <w:tcW w:w="4394" w:type="dxa"/>
            <w:gridSpan w:val="5"/>
            <w:tcBorders>
              <w:top w:val="single" w:color="000000" w:sz="8" w:space="0"/>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富硒竹笋</w:t>
            </w:r>
            <w:r>
              <w:rPr>
                <w:rFonts w:hint="eastAsia" w:ascii="仿宋" w:hAnsi="仿宋" w:eastAsia="仿宋" w:cs="宋体"/>
                <w:b/>
                <w:bCs/>
                <w:kern w:val="0"/>
                <w:sz w:val="18"/>
                <w:szCs w:val="18"/>
              </w:rPr>
              <w:t>标准基地面积（万亩）</w:t>
            </w:r>
          </w:p>
        </w:tc>
        <w:tc>
          <w:tcPr>
            <w:tcW w:w="3544" w:type="dxa"/>
            <w:gridSpan w:val="5"/>
            <w:tcBorders>
              <w:top w:val="single" w:color="000000" w:sz="8" w:space="0"/>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千亩以上示范基地数（个）</w:t>
            </w:r>
          </w:p>
        </w:tc>
        <w:tc>
          <w:tcPr>
            <w:tcW w:w="1353" w:type="dxa"/>
            <w:gridSpan w:val="2"/>
            <w:tcBorders>
              <w:top w:val="single" w:color="000000" w:sz="8" w:space="0"/>
              <w:left w:val="nil"/>
              <w:bottom w:val="single" w:color="000000" w:sz="8" w:space="0"/>
            </w:tcBorders>
            <w:shd w:val="clear" w:color="auto" w:fill="auto"/>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富硒竹笋产业龙头企业（家）</w:t>
            </w:r>
          </w:p>
        </w:tc>
      </w:tr>
      <w:tr>
        <w:tblPrEx>
          <w:tblCellMar>
            <w:top w:w="0" w:type="dxa"/>
            <w:left w:w="108" w:type="dxa"/>
            <w:bottom w:w="0" w:type="dxa"/>
            <w:right w:w="108" w:type="dxa"/>
          </w:tblCellMar>
        </w:tblPrEx>
        <w:trPr>
          <w:trHeight w:val="330" w:hRule="atLeast"/>
        </w:trPr>
        <w:tc>
          <w:tcPr>
            <w:tcW w:w="959" w:type="dxa"/>
            <w:vMerge w:val="continue"/>
            <w:tcBorders>
              <w:top w:val="single" w:color="000000" w:sz="8" w:space="0"/>
              <w:bottom w:val="single" w:color="000000" w:sz="8" w:space="0"/>
              <w:right w:val="single" w:color="000000" w:sz="8" w:space="0"/>
            </w:tcBorders>
            <w:shd w:val="clear" w:color="auto" w:fill="auto"/>
            <w:vAlign w:val="center"/>
          </w:tcPr>
          <w:p>
            <w:pPr>
              <w:widowControl/>
              <w:adjustRightInd/>
              <w:snapToGrid/>
              <w:spacing w:after="0"/>
              <w:jc w:val="left"/>
              <w:rPr>
                <w:rFonts w:ascii="仿宋" w:hAnsi="仿宋" w:eastAsia="仿宋" w:cs="宋体"/>
                <w:b/>
                <w:kern w:val="0"/>
                <w:sz w:val="18"/>
                <w:szCs w:val="18"/>
              </w:rPr>
            </w:pPr>
          </w:p>
        </w:tc>
        <w:tc>
          <w:tcPr>
            <w:tcW w:w="793"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2022</w:t>
            </w:r>
          </w:p>
        </w:tc>
        <w:tc>
          <w:tcPr>
            <w:tcW w:w="936"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2023</w:t>
            </w:r>
          </w:p>
        </w:tc>
        <w:tc>
          <w:tcPr>
            <w:tcW w:w="935"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2024</w:t>
            </w:r>
          </w:p>
        </w:tc>
        <w:tc>
          <w:tcPr>
            <w:tcW w:w="936"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2025</w:t>
            </w:r>
            <w:r>
              <w:rPr>
                <w:rFonts w:ascii="Calibri" w:hAnsi="Calibri" w:eastAsia="仿宋" w:cs="Calibri"/>
                <w:kern w:val="0"/>
                <w:sz w:val="18"/>
                <w:szCs w:val="18"/>
              </w:rPr>
              <w:t> </w:t>
            </w:r>
          </w:p>
        </w:tc>
        <w:tc>
          <w:tcPr>
            <w:tcW w:w="936"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2030</w:t>
            </w:r>
          </w:p>
        </w:tc>
        <w:tc>
          <w:tcPr>
            <w:tcW w:w="878"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2022</w:t>
            </w:r>
          </w:p>
        </w:tc>
        <w:tc>
          <w:tcPr>
            <w:tcW w:w="87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2023</w:t>
            </w:r>
          </w:p>
        </w:tc>
        <w:tc>
          <w:tcPr>
            <w:tcW w:w="87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2024</w:t>
            </w:r>
          </w:p>
        </w:tc>
        <w:tc>
          <w:tcPr>
            <w:tcW w:w="87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2025</w:t>
            </w:r>
          </w:p>
        </w:tc>
        <w:tc>
          <w:tcPr>
            <w:tcW w:w="87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2030</w:t>
            </w:r>
          </w:p>
        </w:tc>
        <w:tc>
          <w:tcPr>
            <w:tcW w:w="70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2022</w:t>
            </w:r>
          </w:p>
        </w:tc>
        <w:tc>
          <w:tcPr>
            <w:tcW w:w="70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2023</w:t>
            </w:r>
          </w:p>
        </w:tc>
        <w:tc>
          <w:tcPr>
            <w:tcW w:w="708"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2024</w:t>
            </w:r>
          </w:p>
        </w:tc>
        <w:tc>
          <w:tcPr>
            <w:tcW w:w="70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2025</w:t>
            </w:r>
          </w:p>
        </w:tc>
        <w:tc>
          <w:tcPr>
            <w:tcW w:w="70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2030</w:t>
            </w:r>
          </w:p>
        </w:tc>
        <w:tc>
          <w:tcPr>
            <w:tcW w:w="709" w:type="dxa"/>
            <w:tcBorders>
              <w:top w:val="nil"/>
              <w:left w:val="nil"/>
              <w:bottom w:val="single" w:color="000000" w:sz="8" w:space="0"/>
              <w:right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2025</w:t>
            </w:r>
          </w:p>
        </w:tc>
        <w:tc>
          <w:tcPr>
            <w:tcW w:w="644" w:type="dxa"/>
            <w:tcBorders>
              <w:top w:val="nil"/>
              <w:left w:val="nil"/>
              <w:bottom w:val="single" w:color="000000" w:sz="8" w:space="0"/>
            </w:tcBorders>
            <w:shd w:val="clear" w:color="auto" w:fill="auto"/>
            <w:vAlign w:val="center"/>
          </w:tcPr>
          <w:p>
            <w:pPr>
              <w:widowControl/>
              <w:adjustRightInd/>
              <w:snapToGrid/>
              <w:spacing w:after="0"/>
              <w:jc w:val="center"/>
              <w:rPr>
                <w:rFonts w:ascii="仿宋" w:hAnsi="仿宋" w:eastAsia="仿宋" w:cs="Times New Roman"/>
                <w:kern w:val="0"/>
                <w:sz w:val="18"/>
                <w:szCs w:val="18"/>
              </w:rPr>
            </w:pPr>
            <w:r>
              <w:rPr>
                <w:rFonts w:ascii="仿宋" w:hAnsi="仿宋" w:eastAsia="仿宋" w:cs="Times New Roman"/>
                <w:kern w:val="0"/>
                <w:sz w:val="18"/>
                <w:szCs w:val="18"/>
              </w:rPr>
              <w:t>2030</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袁州区</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18.35</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8.45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10.08</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18.84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樟树市</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4.20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5.10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11.01</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1.95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2.33</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5.37</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丰城市</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4.90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5.95</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12.85</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5.20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6.20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12.10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靖安县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7.70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9.35</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20.19</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16.25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19.38</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21.00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35.90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26</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奉新县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10.50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12.75</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27.53</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22.10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26.40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29.00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49.82</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ascii="仿宋" w:hAnsi="仿宋" w:eastAsia="仿宋" w:cs="宋体"/>
                <w:bCs/>
                <w:kern w:val="0"/>
                <w:sz w:val="21"/>
                <w:szCs w:val="21"/>
              </w:rPr>
              <w:t>33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高安市</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3.50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4.25</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9.18</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1.95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2.32</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5.36</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上高县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0.83</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3.96</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0.65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0.77</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1.78</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宜丰县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9.80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11.90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14.00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25.69</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22.50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29.25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34.88</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37.00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62.84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48</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铜鼓县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11.20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13.60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29.36</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16.25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19.38</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21.00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35.89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27</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万载县</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5.17</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7.00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8.50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18.06</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16.00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20.80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24.80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27.00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46.20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6</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9</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13</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明月山</w:t>
            </w:r>
          </w:p>
        </w:tc>
        <w:tc>
          <w:tcPr>
            <w:tcW w:w="793"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2.80</w:t>
            </w:r>
          </w:p>
        </w:tc>
        <w:tc>
          <w:tcPr>
            <w:tcW w:w="935"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3.40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7.32</w:t>
            </w:r>
          </w:p>
        </w:tc>
        <w:tc>
          <w:tcPr>
            <w:tcW w:w="87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5.50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7.15</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8.46</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10.00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17.40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c>
          <w:tcPr>
            <w:tcW w:w="708"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4</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5</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12</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1</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Cs/>
                <w:kern w:val="0"/>
                <w:sz w:val="21"/>
                <w:szCs w:val="21"/>
              </w:rPr>
            </w:pPr>
            <w:r>
              <w:rPr>
                <w:rFonts w:hint="eastAsia" w:ascii="仿宋" w:hAnsi="仿宋" w:eastAsia="仿宋" w:cs="宋体"/>
                <w:bCs/>
                <w:kern w:val="0"/>
                <w:sz w:val="21"/>
                <w:szCs w:val="21"/>
              </w:rPr>
              <w:t>2</w:t>
            </w:r>
          </w:p>
        </w:tc>
      </w:tr>
      <w:tr>
        <w:tblPrEx>
          <w:tblCellMar>
            <w:top w:w="0" w:type="dxa"/>
            <w:left w:w="108" w:type="dxa"/>
            <w:bottom w:w="0" w:type="dxa"/>
            <w:right w:w="108" w:type="dxa"/>
          </w:tblCellMar>
        </w:tblPrEx>
        <w:trPr>
          <w:trHeight w:val="330" w:hRule="atLeast"/>
        </w:trPr>
        <w:tc>
          <w:tcPr>
            <w:tcW w:w="959" w:type="dxa"/>
            <w:tcBorders>
              <w:top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合  计</w:t>
            </w:r>
          </w:p>
        </w:tc>
        <w:tc>
          <w:tcPr>
            <w:tcW w:w="793"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50.00</w:t>
            </w:r>
          </w:p>
        </w:tc>
        <w:tc>
          <w:tcPr>
            <w:tcW w:w="936"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70.00</w:t>
            </w:r>
          </w:p>
        </w:tc>
        <w:tc>
          <w:tcPr>
            <w:tcW w:w="935"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85.00</w:t>
            </w:r>
          </w:p>
        </w:tc>
        <w:tc>
          <w:tcPr>
            <w:tcW w:w="936"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100.00</w:t>
            </w:r>
          </w:p>
        </w:tc>
        <w:tc>
          <w:tcPr>
            <w:tcW w:w="936"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183.50</w:t>
            </w:r>
          </w:p>
        </w:tc>
        <w:tc>
          <w:tcPr>
            <w:tcW w:w="878"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100.00</w:t>
            </w:r>
          </w:p>
        </w:tc>
        <w:tc>
          <w:tcPr>
            <w:tcW w:w="87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130.00</w:t>
            </w:r>
          </w:p>
        </w:tc>
        <w:tc>
          <w:tcPr>
            <w:tcW w:w="87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155.00</w:t>
            </w:r>
          </w:p>
        </w:tc>
        <w:tc>
          <w:tcPr>
            <w:tcW w:w="87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170.00</w:t>
            </w:r>
          </w:p>
        </w:tc>
        <w:tc>
          <w:tcPr>
            <w:tcW w:w="87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291.50</w:t>
            </w:r>
          </w:p>
        </w:tc>
        <w:tc>
          <w:tcPr>
            <w:tcW w:w="70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20</w:t>
            </w:r>
          </w:p>
        </w:tc>
        <w:tc>
          <w:tcPr>
            <w:tcW w:w="70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40</w:t>
            </w:r>
          </w:p>
        </w:tc>
        <w:tc>
          <w:tcPr>
            <w:tcW w:w="708"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70</w:t>
            </w:r>
          </w:p>
        </w:tc>
        <w:tc>
          <w:tcPr>
            <w:tcW w:w="70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100</w:t>
            </w:r>
          </w:p>
        </w:tc>
        <w:tc>
          <w:tcPr>
            <w:tcW w:w="709" w:type="dxa"/>
            <w:tcBorders>
              <w:top w:val="nil"/>
              <w:left w:val="nil"/>
              <w:bottom w:val="single" w:color="000000" w:sz="8" w:space="0"/>
              <w:right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23</w:t>
            </w:r>
            <w:r>
              <w:rPr>
                <w:rFonts w:ascii="仿宋" w:hAnsi="仿宋" w:eastAsia="仿宋" w:cs="宋体"/>
                <w:b/>
                <w:kern w:val="0"/>
                <w:sz w:val="21"/>
                <w:szCs w:val="21"/>
              </w:rPr>
              <w:t>0</w:t>
            </w:r>
          </w:p>
        </w:tc>
        <w:tc>
          <w:tcPr>
            <w:tcW w:w="709" w:type="dxa"/>
            <w:tcBorders>
              <w:top w:val="nil"/>
              <w:left w:val="nil"/>
              <w:bottom w:val="single" w:color="000000" w:sz="8" w:space="0"/>
              <w:right w:val="single" w:color="000000" w:sz="8" w:space="0"/>
            </w:tcBorders>
            <w:shd w:val="clear" w:color="auto" w:fill="auto"/>
            <w:noWrap/>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15</w:t>
            </w:r>
          </w:p>
        </w:tc>
        <w:tc>
          <w:tcPr>
            <w:tcW w:w="644" w:type="dxa"/>
            <w:tcBorders>
              <w:top w:val="nil"/>
              <w:left w:val="nil"/>
              <w:bottom w:val="single" w:color="000000" w:sz="8" w:space="0"/>
            </w:tcBorders>
            <w:shd w:val="clear" w:color="auto" w:fill="auto"/>
          </w:tcPr>
          <w:p>
            <w:pPr>
              <w:widowControl/>
              <w:adjustRightInd/>
              <w:snapToGrid/>
              <w:spacing w:after="0"/>
              <w:jc w:val="center"/>
              <w:rPr>
                <w:rFonts w:ascii="仿宋" w:hAnsi="仿宋" w:eastAsia="仿宋" w:cs="宋体"/>
                <w:b/>
                <w:kern w:val="0"/>
                <w:sz w:val="21"/>
                <w:szCs w:val="21"/>
              </w:rPr>
            </w:pPr>
            <w:r>
              <w:rPr>
                <w:rFonts w:hint="eastAsia" w:ascii="仿宋" w:hAnsi="仿宋" w:eastAsia="仿宋" w:cs="宋体"/>
                <w:b/>
                <w:kern w:val="0"/>
                <w:sz w:val="21"/>
                <w:szCs w:val="21"/>
              </w:rPr>
              <w:t>36</w:t>
            </w:r>
          </w:p>
        </w:tc>
      </w:tr>
    </w:tbl>
    <w:p>
      <w:pPr>
        <w:spacing w:after="0" w:line="360" w:lineRule="auto"/>
        <w:ind w:firstLine="560" w:firstLineChars="200"/>
        <w:jc w:val="both"/>
        <w:rPr>
          <w:rFonts w:ascii="仿宋" w:hAnsi="仿宋" w:eastAsia="仿宋"/>
          <w:sz w:val="28"/>
          <w:szCs w:val="28"/>
        </w:rPr>
        <w:sectPr>
          <w:pgSz w:w="16838" w:h="11906" w:orient="landscape"/>
          <w:pgMar w:top="1134" w:right="1134" w:bottom="1134" w:left="1134" w:header="851" w:footer="851" w:gutter="0"/>
          <w:cols w:space="425" w:num="1"/>
          <w:docGrid w:type="lines" w:linePitch="312" w:charSpace="0"/>
        </w:sectPr>
      </w:pP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789" w:name="_Toc151219519"/>
      <w:bookmarkStart w:id="790" w:name="_Toc147677280"/>
      <w:bookmarkStart w:id="791" w:name="_Toc147505303"/>
      <w:bookmarkStart w:id="792" w:name="_Toc146745866"/>
      <w:bookmarkStart w:id="793" w:name="_Toc149730120"/>
      <w:bookmarkStart w:id="794" w:name="_Toc147314290"/>
      <w:bookmarkStart w:id="795" w:name="_Toc146743276"/>
      <w:bookmarkStart w:id="796" w:name="_Hlk146743199"/>
      <w:bookmarkStart w:id="797" w:name="_Toc30610"/>
      <w:r>
        <w:rPr>
          <w:rFonts w:hint="eastAsia" w:ascii="仿宋" w:hAnsi="仿宋" w:eastAsia="仿宋" w:cs="Times New Roman"/>
          <w:b/>
          <w:kern w:val="0"/>
          <w:sz w:val="28"/>
          <w:szCs w:val="28"/>
        </w:rPr>
        <w:t>——富硒果蔬</w:t>
      </w:r>
      <w:bookmarkEnd w:id="789"/>
      <w:bookmarkEnd w:id="790"/>
      <w:bookmarkEnd w:id="791"/>
      <w:bookmarkEnd w:id="792"/>
      <w:bookmarkEnd w:id="793"/>
      <w:bookmarkEnd w:id="794"/>
      <w:bookmarkEnd w:id="795"/>
      <w:bookmarkEnd w:id="796"/>
      <w:bookmarkEnd w:id="797"/>
      <w:r>
        <w:rPr>
          <w:rFonts w:hint="eastAsia" w:ascii="仿宋" w:hAnsi="仿宋" w:eastAsia="仿宋" w:cs="Times New Roman"/>
          <w:b/>
          <w:kern w:val="0"/>
          <w:sz w:val="28"/>
          <w:szCs w:val="28"/>
        </w:rPr>
        <w:t>。</w:t>
      </w:r>
      <w:r>
        <w:rPr>
          <w:rFonts w:hint="eastAsia" w:ascii="仿宋" w:hAnsi="仿宋" w:eastAsia="仿宋" w:cs="Times New Roman"/>
          <w:kern w:val="0"/>
          <w:sz w:val="28"/>
          <w:szCs w:val="28"/>
        </w:rPr>
        <w:t>主攻优质化、精品化、市场化，加快果蔬适销品种培育、复壮和引进，持续推进设施蔬菜和标准生态果园建设，加大林下蔬菜开发，推进脐橙、甜柚、蜜橘、猕猴桃、辣椒、百合等产业高质量发展，打造一批果蔬加销一体化企业，加快构建完备的果蔬产业标准化生产、品牌化营销、产业化发展体系。</w:t>
      </w:r>
      <w:r>
        <w:rPr>
          <w:rFonts w:hint="eastAsia" w:ascii="仿宋" w:hAnsi="仿宋" w:eastAsia="仿宋" w:cs="Times New Roman"/>
          <w:bCs/>
          <w:kern w:val="0"/>
          <w:sz w:val="28"/>
          <w:szCs w:val="28"/>
        </w:rPr>
        <w:t>按照“4</w:t>
      </w:r>
      <w:r>
        <w:rPr>
          <w:rFonts w:ascii="仿宋" w:hAnsi="仿宋" w:eastAsia="仿宋" w:cs="Times New Roman"/>
          <w:bCs/>
          <w:kern w:val="0"/>
          <w:sz w:val="28"/>
          <w:szCs w:val="28"/>
        </w:rPr>
        <w:t>41</w:t>
      </w:r>
      <w:r>
        <w:rPr>
          <w:rFonts w:hint="eastAsia" w:ascii="仿宋" w:hAnsi="仿宋" w:eastAsia="仿宋" w:cs="Times New Roman"/>
          <w:bCs/>
          <w:kern w:val="0"/>
          <w:sz w:val="28"/>
          <w:szCs w:val="28"/>
        </w:rPr>
        <w:t>”产业发展体系，第一个“4”即在</w:t>
      </w:r>
      <w:r>
        <w:rPr>
          <w:rFonts w:hint="eastAsia" w:ascii="仿宋" w:hAnsi="仿宋" w:eastAsia="仿宋" w:cs="Times New Roman"/>
          <w:kern w:val="0"/>
          <w:sz w:val="28"/>
          <w:szCs w:val="28"/>
        </w:rPr>
        <w:t>奉新县、袁州区、高安市、万载县等四个县（市、区）富硒果园、耕地集中连片地区重点布局；</w:t>
      </w:r>
      <w:r>
        <w:rPr>
          <w:rFonts w:hint="eastAsia" w:ascii="仿宋" w:hAnsi="仿宋" w:eastAsia="仿宋" w:cs="Times New Roman"/>
          <w:bCs/>
          <w:kern w:val="0"/>
          <w:sz w:val="28"/>
          <w:szCs w:val="28"/>
        </w:rPr>
        <w:t>第二个“4”即</w:t>
      </w:r>
      <w:r>
        <w:rPr>
          <w:rFonts w:hint="eastAsia" w:ascii="仿宋" w:hAnsi="仿宋" w:eastAsia="仿宋" w:cs="Times New Roman"/>
          <w:kern w:val="0"/>
          <w:sz w:val="28"/>
          <w:szCs w:val="28"/>
        </w:rPr>
        <w:t>围绕富硒猕猴桃、富硒脐橙、富硒辣椒、富硒百合等四大产业打造现代化的富硒果蔬产业园区；“1”即打造1</w:t>
      </w:r>
      <w:r>
        <w:rPr>
          <w:rFonts w:ascii="仿宋" w:hAnsi="仿宋" w:eastAsia="仿宋" w:cs="Times New Roman"/>
          <w:kern w:val="0"/>
          <w:sz w:val="28"/>
          <w:szCs w:val="28"/>
        </w:rPr>
        <w:t>00</w:t>
      </w:r>
      <w:r>
        <w:rPr>
          <w:rFonts w:hint="eastAsia" w:ascii="仿宋" w:hAnsi="仿宋" w:eastAsia="仿宋" w:cs="Times New Roman"/>
          <w:kern w:val="0"/>
          <w:sz w:val="28"/>
          <w:szCs w:val="28"/>
        </w:rPr>
        <w:t>个以上的富硒果蔬基地。力争到2025年，1-2个富硒果蔬品牌进入全国农产品区域公用品牌价值榜100强，打造1-2个产值超10亿元的富硒果蔬产业园，全市果蔬产业综合产值达到</w:t>
      </w:r>
      <w:r>
        <w:rPr>
          <w:rFonts w:ascii="仿宋" w:hAnsi="仿宋" w:eastAsia="仿宋" w:cs="Times New Roman"/>
          <w:kern w:val="0"/>
          <w:sz w:val="28"/>
          <w:szCs w:val="28"/>
        </w:rPr>
        <w:t>10</w:t>
      </w:r>
      <w:r>
        <w:rPr>
          <w:rFonts w:hint="eastAsia" w:ascii="仿宋" w:hAnsi="仿宋" w:eastAsia="仿宋" w:cs="Times New Roman"/>
          <w:kern w:val="0"/>
          <w:sz w:val="28"/>
          <w:szCs w:val="28"/>
        </w:rPr>
        <w:t>0亿元。到2030年，全市富硒果蔬产业基地达到78.35万亩，全市富硒果蔬产业综合产值达到</w:t>
      </w:r>
      <w:r>
        <w:rPr>
          <w:rFonts w:ascii="仿宋" w:hAnsi="仿宋" w:eastAsia="仿宋" w:cs="Times New Roman"/>
          <w:kern w:val="0"/>
          <w:sz w:val="28"/>
          <w:szCs w:val="28"/>
        </w:rPr>
        <w:t>15</w:t>
      </w:r>
      <w:r>
        <w:rPr>
          <w:rFonts w:hint="eastAsia" w:ascii="仿宋" w:hAnsi="仿宋" w:eastAsia="仿宋" w:cs="Times New Roman"/>
          <w:kern w:val="0"/>
          <w:sz w:val="28"/>
          <w:szCs w:val="28"/>
        </w:rPr>
        <w:t>0亿元。</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6119495" cy="4327525"/>
            <wp:effectExtent l="0" t="0" r="14605" b="15875"/>
            <wp:docPr id="1318203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328"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908" cy="4327525"/>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6  富硒果蔬产业发展布局图</w:t>
      </w:r>
    </w:p>
    <w:p>
      <w:pPr>
        <w:widowControl/>
        <w:adjustRightInd w:val="0"/>
        <w:snapToGrid w:val="0"/>
        <w:spacing w:after="0" w:line="360" w:lineRule="auto"/>
        <w:jc w:val="center"/>
        <w:rPr>
          <w:rFonts w:ascii="仿宋" w:hAnsi="仿宋" w:eastAsia="仿宋" w:cs="Times New Roman"/>
          <w:kern w:val="0"/>
          <w:sz w:val="28"/>
          <w:szCs w:val="28"/>
        </w:rPr>
      </w:pP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表4</w:t>
      </w:r>
      <w:r>
        <w:rPr>
          <w:rFonts w:ascii="仿宋" w:hAnsi="仿宋" w:eastAsia="仿宋" w:cs="Times New Roman"/>
          <w:b/>
          <w:bCs/>
          <w:sz w:val="24"/>
          <w:szCs w:val="24"/>
          <w:lang w:val="en-US" w:eastAsia="zh-CN" w:bidi="ar-SA"/>
        </w:rPr>
        <w:t>-5</w:t>
      </w:r>
      <w:r>
        <w:rPr>
          <w:rFonts w:hint="eastAsia" w:ascii="仿宋" w:hAnsi="仿宋" w:eastAsia="仿宋" w:cs="Times New Roman"/>
          <w:b/>
          <w:bCs/>
          <w:sz w:val="24"/>
          <w:szCs w:val="24"/>
          <w:lang w:val="en-US" w:eastAsia="zh-CN" w:bidi="ar-SA"/>
        </w:rPr>
        <w:t xml:space="preserve">  宜春市富硒果蔬产业发展规划目标（单位：万亩）</w:t>
      </w:r>
    </w:p>
    <w:tbl>
      <w:tblPr>
        <w:tblStyle w:val="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971"/>
        <w:gridCol w:w="1971"/>
        <w:gridCol w:w="1971"/>
        <w:gridCol w:w="19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vAlign w:val="center"/>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县（市、区）</w:t>
            </w:r>
          </w:p>
        </w:tc>
        <w:tc>
          <w:tcPr>
            <w:tcW w:w="1000" w:type="pct"/>
            <w:shd w:val="clear" w:color="auto" w:fill="auto"/>
            <w:noWrap/>
            <w:vAlign w:val="center"/>
          </w:tcPr>
          <w:p>
            <w:pPr>
              <w:widowControl/>
              <w:adjustRightInd/>
              <w:snapToGrid/>
              <w:spacing w:after="0"/>
              <w:jc w:val="center"/>
              <w:rPr>
                <w:rFonts w:ascii="仿宋" w:hAnsi="仿宋" w:eastAsia="仿宋" w:cs="Times New Roman"/>
                <w:b/>
                <w:kern w:val="0"/>
                <w:sz w:val="18"/>
                <w:szCs w:val="18"/>
              </w:rPr>
            </w:pPr>
            <w:r>
              <w:rPr>
                <w:rFonts w:ascii="仿宋" w:hAnsi="仿宋" w:eastAsia="仿宋" w:cs="Times New Roman"/>
                <w:b/>
                <w:kern w:val="0"/>
                <w:sz w:val="18"/>
                <w:szCs w:val="18"/>
              </w:rPr>
              <w:t>2023</w:t>
            </w:r>
          </w:p>
        </w:tc>
        <w:tc>
          <w:tcPr>
            <w:tcW w:w="1000" w:type="pct"/>
            <w:shd w:val="clear" w:color="auto" w:fill="auto"/>
            <w:noWrap/>
            <w:vAlign w:val="center"/>
          </w:tcPr>
          <w:p>
            <w:pPr>
              <w:widowControl/>
              <w:adjustRightInd/>
              <w:snapToGrid/>
              <w:spacing w:after="0"/>
              <w:jc w:val="center"/>
              <w:rPr>
                <w:rFonts w:ascii="仿宋" w:hAnsi="仿宋" w:eastAsia="仿宋" w:cs="Times New Roman"/>
                <w:b/>
                <w:kern w:val="0"/>
                <w:sz w:val="18"/>
                <w:szCs w:val="18"/>
              </w:rPr>
            </w:pPr>
            <w:r>
              <w:rPr>
                <w:rFonts w:ascii="仿宋" w:hAnsi="仿宋" w:eastAsia="仿宋" w:cs="Times New Roman"/>
                <w:b/>
                <w:kern w:val="0"/>
                <w:sz w:val="18"/>
                <w:szCs w:val="18"/>
              </w:rPr>
              <w:t>2024</w:t>
            </w:r>
          </w:p>
        </w:tc>
        <w:tc>
          <w:tcPr>
            <w:tcW w:w="1000" w:type="pct"/>
            <w:shd w:val="clear" w:color="auto" w:fill="auto"/>
            <w:noWrap/>
            <w:vAlign w:val="center"/>
          </w:tcPr>
          <w:p>
            <w:pPr>
              <w:widowControl/>
              <w:adjustRightInd/>
              <w:snapToGrid/>
              <w:spacing w:after="0"/>
              <w:jc w:val="center"/>
              <w:rPr>
                <w:rFonts w:ascii="仿宋" w:hAnsi="仿宋" w:eastAsia="仿宋" w:cs="Times New Roman"/>
                <w:b/>
                <w:kern w:val="0"/>
                <w:sz w:val="18"/>
                <w:szCs w:val="18"/>
              </w:rPr>
            </w:pPr>
            <w:r>
              <w:rPr>
                <w:rFonts w:ascii="仿宋" w:hAnsi="仿宋" w:eastAsia="仿宋" w:cs="Times New Roman"/>
                <w:b/>
                <w:kern w:val="0"/>
                <w:sz w:val="18"/>
                <w:szCs w:val="18"/>
              </w:rPr>
              <w:t>2025</w:t>
            </w:r>
          </w:p>
        </w:tc>
        <w:tc>
          <w:tcPr>
            <w:tcW w:w="1000" w:type="pct"/>
            <w:shd w:val="clear" w:color="auto" w:fill="auto"/>
            <w:vAlign w:val="center"/>
          </w:tcPr>
          <w:p>
            <w:pPr>
              <w:widowControl/>
              <w:adjustRightInd/>
              <w:snapToGrid/>
              <w:spacing w:after="0"/>
              <w:jc w:val="center"/>
              <w:rPr>
                <w:rFonts w:ascii="仿宋" w:hAnsi="仿宋" w:eastAsia="仿宋" w:cs="Times New Roman"/>
                <w:b/>
                <w:kern w:val="0"/>
                <w:sz w:val="18"/>
                <w:szCs w:val="18"/>
              </w:rPr>
            </w:pPr>
            <w:r>
              <w:rPr>
                <w:rFonts w:ascii="仿宋" w:hAnsi="仿宋" w:eastAsia="仿宋" w:cs="Times New Roman"/>
                <w:b/>
                <w:kern w:val="0"/>
                <w:sz w:val="18"/>
                <w:szCs w:val="18"/>
              </w:rPr>
              <w:t>2030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袁州区</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3.84</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樟树市</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2.00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7.00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丰城市</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4.75</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靖安县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0.30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奉新县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3.50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4.50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高安市</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7.00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10.00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上高县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7.00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8.00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11.00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宜丰县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5.50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6.50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7.00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铜鼓县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0.50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0.70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万载县</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12.00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13.00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15.00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17.00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明月山</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0.30</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0.35</w:t>
            </w:r>
          </w:p>
        </w:tc>
        <w:tc>
          <w:tcPr>
            <w:tcW w:w="1000" w:type="pct"/>
            <w:shd w:val="clear" w:color="auto" w:fill="auto"/>
            <w:noWrap/>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0.50</w:t>
            </w:r>
          </w:p>
        </w:tc>
        <w:tc>
          <w:tcPr>
            <w:tcW w:w="1000" w:type="pct"/>
            <w:shd w:val="clear" w:color="auto" w:fill="auto"/>
          </w:tcPr>
          <w:p>
            <w:pPr>
              <w:widowControl/>
              <w:adjustRightInd/>
              <w:snapToGrid/>
              <w:spacing w:after="0"/>
              <w:jc w:val="center"/>
              <w:rPr>
                <w:rFonts w:ascii="仿宋" w:hAnsi="仿宋" w:eastAsia="仿宋" w:cs="宋体"/>
                <w:bCs/>
                <w:kern w:val="0"/>
                <w:sz w:val="18"/>
                <w:szCs w:val="18"/>
              </w:rPr>
            </w:pPr>
            <w:r>
              <w:rPr>
                <w:rFonts w:hint="eastAsia" w:ascii="仿宋" w:hAnsi="仿宋" w:eastAsia="仿宋" w:cs="宋体"/>
                <w:bCs/>
                <w:kern w:val="0"/>
                <w:sz w:val="18"/>
                <w:szCs w:val="18"/>
              </w:rPr>
              <w:t>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 xml:space="preserve">合 </w:t>
            </w:r>
            <w:r>
              <w:rPr>
                <w:rFonts w:ascii="仿宋" w:hAnsi="仿宋" w:eastAsia="仿宋" w:cs="宋体"/>
                <w:b/>
                <w:kern w:val="0"/>
                <w:sz w:val="18"/>
                <w:szCs w:val="18"/>
              </w:rPr>
              <w:t xml:space="preserve"> </w:t>
            </w:r>
            <w:r>
              <w:rPr>
                <w:rFonts w:hint="eastAsia" w:ascii="仿宋" w:hAnsi="仿宋" w:eastAsia="仿宋" w:cs="宋体"/>
                <w:b/>
                <w:kern w:val="0"/>
                <w:sz w:val="18"/>
                <w:szCs w:val="18"/>
              </w:rPr>
              <w:t>计</w:t>
            </w:r>
          </w:p>
        </w:tc>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36.60</w:t>
            </w:r>
          </w:p>
        </w:tc>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47.55</w:t>
            </w:r>
          </w:p>
        </w:tc>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63.09</w:t>
            </w:r>
          </w:p>
        </w:tc>
        <w:tc>
          <w:tcPr>
            <w:tcW w:w="1000" w:type="pct"/>
            <w:shd w:val="clear" w:color="auto" w:fill="auto"/>
            <w:noWrap/>
          </w:tcPr>
          <w:p>
            <w:pPr>
              <w:widowControl/>
              <w:adjustRightInd/>
              <w:snapToGrid/>
              <w:spacing w:after="0"/>
              <w:jc w:val="center"/>
              <w:rPr>
                <w:rFonts w:ascii="仿宋" w:hAnsi="仿宋" w:eastAsia="仿宋" w:cs="宋体"/>
                <w:b/>
                <w:kern w:val="0"/>
                <w:sz w:val="18"/>
                <w:szCs w:val="18"/>
              </w:rPr>
            </w:pPr>
            <w:r>
              <w:rPr>
                <w:rFonts w:hint="eastAsia" w:ascii="仿宋" w:hAnsi="仿宋" w:eastAsia="仿宋" w:cs="宋体"/>
                <w:b/>
                <w:kern w:val="0"/>
                <w:sz w:val="18"/>
                <w:szCs w:val="18"/>
              </w:rPr>
              <w:t>78.35</w:t>
            </w:r>
          </w:p>
        </w:tc>
      </w:tr>
    </w:tbl>
    <w:p>
      <w:pPr>
        <w:widowControl/>
        <w:adjustRightInd w:val="0"/>
        <w:snapToGrid w:val="0"/>
        <w:spacing w:after="0" w:line="560" w:lineRule="exact"/>
        <w:ind w:firstLine="562" w:firstLineChars="200"/>
        <w:jc w:val="both"/>
        <w:rPr>
          <w:rFonts w:ascii="仿宋" w:hAnsi="仿宋" w:eastAsia="仿宋" w:cs="Times New Roman"/>
          <w:bCs/>
          <w:kern w:val="0"/>
          <w:sz w:val="28"/>
          <w:szCs w:val="28"/>
        </w:rPr>
      </w:pPr>
      <w:bookmarkStart w:id="798" w:name="_Toc149730121"/>
      <w:bookmarkStart w:id="799" w:name="_Toc151219520"/>
      <w:bookmarkStart w:id="800" w:name="_Toc147314291"/>
      <w:bookmarkStart w:id="801" w:name="_Toc147505304"/>
      <w:bookmarkStart w:id="802" w:name="_Toc146743277"/>
      <w:bookmarkStart w:id="803" w:name="_Toc147677281"/>
      <w:bookmarkStart w:id="804" w:name="_Toc146745867"/>
      <w:r>
        <w:rPr>
          <w:rFonts w:hint="eastAsia" w:ascii="仿宋" w:hAnsi="仿宋" w:eastAsia="仿宋" w:cs="Times New Roman"/>
          <w:b/>
          <w:kern w:val="0"/>
          <w:sz w:val="28"/>
          <w:szCs w:val="28"/>
        </w:rPr>
        <w:t>——富硒茶叶</w:t>
      </w:r>
      <w:bookmarkEnd w:id="798"/>
      <w:bookmarkEnd w:id="799"/>
      <w:r>
        <w:rPr>
          <w:rFonts w:hint="eastAsia" w:ascii="仿宋" w:hAnsi="仿宋" w:eastAsia="仿宋" w:cs="Times New Roman"/>
          <w:b/>
          <w:kern w:val="0"/>
          <w:sz w:val="28"/>
          <w:szCs w:val="28"/>
        </w:rPr>
        <w:t>。</w:t>
      </w:r>
      <w:r>
        <w:rPr>
          <w:rFonts w:hint="eastAsia" w:ascii="仿宋" w:hAnsi="仿宋" w:eastAsia="仿宋" w:cs="Times New Roman"/>
          <w:bCs/>
          <w:kern w:val="0"/>
          <w:sz w:val="28"/>
          <w:szCs w:val="28"/>
        </w:rPr>
        <w:t>推进富硒茶叶品种培优、强化富硒茶园种植管理、开展富硒茶叶加工工艺技术攻关，加速传统老化茶园改造进程，加快标准化富硒茶叶基地建设。应用减量化、资源化、再循环、再利用、再制造等环保技术，发展绿色、低碳、清洁、高效、节能的生产模式，推进智能化、现代化生态富硒茶叶园区建设。针对不同消费群体，加强产品设计，开发不同功效的富硒茶叶加工产品。加强富硒茶叶产业与文旅康养产业融合，形成绿色生态富硒茶文化品牌。打造“4</w:t>
      </w:r>
      <w:r>
        <w:rPr>
          <w:rFonts w:ascii="仿宋" w:hAnsi="仿宋" w:eastAsia="仿宋" w:cs="Times New Roman"/>
          <w:bCs/>
          <w:kern w:val="0"/>
          <w:sz w:val="28"/>
          <w:szCs w:val="28"/>
        </w:rPr>
        <w:t>42</w:t>
      </w:r>
      <w:r>
        <w:rPr>
          <w:rFonts w:hint="eastAsia" w:ascii="仿宋" w:hAnsi="仿宋" w:eastAsia="仿宋" w:cs="Times New Roman"/>
          <w:bCs/>
          <w:kern w:val="0"/>
          <w:sz w:val="28"/>
          <w:szCs w:val="28"/>
        </w:rPr>
        <w:t>”富硒茶叶产业布局体系</w:t>
      </w:r>
      <w:r>
        <w:rPr>
          <w:rFonts w:hint="eastAsia" w:ascii="仿宋" w:hAnsi="仿宋" w:eastAsia="仿宋" w:cs="Times New Roman"/>
          <w:kern w:val="0"/>
          <w:sz w:val="28"/>
          <w:szCs w:val="28"/>
        </w:rPr>
        <w:t>，第一个“4”即以富硒白茶、富硒红茶、富硒绿茶、富硒皇菊为重点品种。第二个“</w:t>
      </w:r>
      <w:r>
        <w:rPr>
          <w:rFonts w:ascii="仿宋" w:hAnsi="仿宋" w:eastAsia="仿宋" w:cs="Times New Roman"/>
          <w:kern w:val="0"/>
          <w:sz w:val="28"/>
          <w:szCs w:val="28"/>
        </w:rPr>
        <w:t>4</w:t>
      </w:r>
      <w:r>
        <w:rPr>
          <w:rFonts w:hint="eastAsia" w:ascii="仿宋" w:hAnsi="仿宋" w:eastAsia="仿宋" w:cs="Times New Roman"/>
          <w:kern w:val="0"/>
          <w:sz w:val="28"/>
          <w:szCs w:val="28"/>
        </w:rPr>
        <w:t>”即以靖安县、铜鼓县、高安市、丰城市等地区为重点打造富硒茶叶核心产区。“2”即整合“靖安白茶”“铜鼓宁红茶”等2个知名品牌，打造“宜春富硒好茶”富硒茶叶区域公用品牌。</w:t>
      </w:r>
      <w:r>
        <w:rPr>
          <w:rFonts w:hint="eastAsia" w:ascii="仿宋" w:hAnsi="仿宋" w:eastAsia="仿宋" w:cs="Times New Roman"/>
          <w:bCs/>
          <w:kern w:val="0"/>
          <w:sz w:val="28"/>
          <w:szCs w:val="28"/>
        </w:rPr>
        <w:t>到2</w:t>
      </w:r>
      <w:r>
        <w:rPr>
          <w:rFonts w:ascii="仿宋" w:hAnsi="仿宋" w:eastAsia="仿宋" w:cs="Times New Roman"/>
          <w:bCs/>
          <w:kern w:val="0"/>
          <w:sz w:val="28"/>
          <w:szCs w:val="28"/>
        </w:rPr>
        <w:t>025</w:t>
      </w:r>
      <w:r>
        <w:rPr>
          <w:rFonts w:hint="eastAsia" w:ascii="仿宋" w:hAnsi="仿宋" w:eastAsia="仿宋" w:cs="Times New Roman"/>
          <w:bCs/>
          <w:kern w:val="0"/>
          <w:sz w:val="28"/>
          <w:szCs w:val="28"/>
        </w:rPr>
        <w:t>年，累计建成标准化的富硒茶叶基地1</w:t>
      </w:r>
      <w:r>
        <w:rPr>
          <w:rFonts w:ascii="仿宋" w:hAnsi="仿宋" w:eastAsia="仿宋" w:cs="Times New Roman"/>
          <w:bCs/>
          <w:kern w:val="0"/>
          <w:sz w:val="28"/>
          <w:szCs w:val="28"/>
        </w:rPr>
        <w:t>0</w:t>
      </w:r>
      <w:r>
        <w:rPr>
          <w:rFonts w:hint="eastAsia" w:ascii="仿宋" w:hAnsi="仿宋" w:eastAsia="仿宋" w:cs="Times New Roman"/>
          <w:bCs/>
          <w:kern w:val="0"/>
          <w:sz w:val="28"/>
          <w:szCs w:val="28"/>
        </w:rPr>
        <w:t>万亩。到2</w:t>
      </w:r>
      <w:r>
        <w:rPr>
          <w:rFonts w:ascii="仿宋" w:hAnsi="仿宋" w:eastAsia="仿宋" w:cs="Times New Roman"/>
          <w:bCs/>
          <w:kern w:val="0"/>
          <w:sz w:val="28"/>
          <w:szCs w:val="28"/>
        </w:rPr>
        <w:t>030</w:t>
      </w:r>
      <w:r>
        <w:rPr>
          <w:rFonts w:hint="eastAsia" w:ascii="仿宋" w:hAnsi="仿宋" w:eastAsia="仿宋" w:cs="Times New Roman"/>
          <w:bCs/>
          <w:kern w:val="0"/>
          <w:sz w:val="28"/>
          <w:szCs w:val="28"/>
        </w:rPr>
        <w:t>年，累计建成现代化的富硒茶叶基地1</w:t>
      </w:r>
      <w:r>
        <w:rPr>
          <w:rFonts w:ascii="仿宋" w:hAnsi="仿宋" w:eastAsia="仿宋" w:cs="Times New Roman"/>
          <w:bCs/>
          <w:kern w:val="0"/>
          <w:sz w:val="28"/>
          <w:szCs w:val="28"/>
        </w:rPr>
        <w:t>3</w:t>
      </w:r>
      <w:r>
        <w:rPr>
          <w:rFonts w:hint="eastAsia" w:ascii="仿宋" w:hAnsi="仿宋" w:eastAsia="仿宋" w:cs="Times New Roman"/>
          <w:bCs/>
          <w:kern w:val="0"/>
          <w:sz w:val="28"/>
          <w:szCs w:val="28"/>
        </w:rPr>
        <w:t>万亩，绿色低碳、智能高效的富硒产业生产模式得到全面普及，富硒茶包、富硒茶饮等加工富硒茶产品体系进一步完善，茶旅融合进一步深入。</w:t>
      </w:r>
    </w:p>
    <w:p>
      <w:pPr>
        <w:widowControl/>
        <w:adjustRightInd w:val="0"/>
        <w:snapToGrid w:val="0"/>
        <w:spacing w:after="0" w:line="360" w:lineRule="auto"/>
        <w:ind w:firstLine="560" w:firstLineChars="200"/>
        <w:jc w:val="both"/>
        <w:rPr>
          <w:rFonts w:ascii="仿宋" w:hAnsi="仿宋" w:eastAsia="仿宋" w:cs="Times New Roman"/>
          <w:kern w:val="0"/>
          <w:sz w:val="28"/>
          <w:szCs w:val="28"/>
        </w:rPr>
      </w:pPr>
    </w:p>
    <w:p>
      <w:pPr>
        <w:widowControl/>
        <w:adjustRightInd w:val="0"/>
        <w:snapToGrid w:val="0"/>
        <w:spacing w:after="0"/>
        <w:jc w:val="center"/>
        <w:rPr>
          <w:rFonts w:ascii="仿宋" w:hAnsi="仿宋" w:eastAsia="仿宋" w:cs="Times New Roman"/>
          <w:kern w:val="0"/>
          <w:sz w:val="28"/>
          <w:szCs w:val="28"/>
          <w:highlight w:val="yellow"/>
        </w:rPr>
      </w:pPr>
      <w:r>
        <w:rPr>
          <w:rFonts w:hint="eastAsia" w:ascii="仿宋" w:hAnsi="仿宋" w:eastAsia="仿宋" w:cs="Times New Roman"/>
          <w:kern w:val="0"/>
          <w:sz w:val="28"/>
          <w:szCs w:val="28"/>
        </w:rPr>
        <w:drawing>
          <wp:inline distT="0" distB="0" distL="0" distR="0">
            <wp:extent cx="6119495" cy="4327525"/>
            <wp:effectExtent l="0" t="0" r="14605" b="15875"/>
            <wp:docPr id="200221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1964"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908" cy="4327525"/>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w:t>
      </w:r>
      <w:r>
        <w:rPr>
          <w:rFonts w:hint="eastAsia" w:ascii="仿宋" w:hAnsi="仿宋" w:eastAsia="仿宋" w:cs="Times New Roman"/>
          <w:b/>
          <w:bCs/>
          <w:sz w:val="24"/>
          <w:szCs w:val="24"/>
          <w:lang w:val="en-US" w:eastAsia="zh-CN" w:bidi="ar-SA"/>
        </w:rPr>
        <w:t>7  富硒茶叶产业发展布局图</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805" w:name="_Toc149730122"/>
      <w:bookmarkStart w:id="806" w:name="_Toc151219521"/>
      <w:r>
        <w:rPr>
          <w:rFonts w:hint="eastAsia" w:ascii="仿宋" w:hAnsi="仿宋" w:eastAsia="仿宋" w:cs="Times New Roman"/>
          <w:b/>
          <w:bCs/>
          <w:kern w:val="0"/>
          <w:sz w:val="28"/>
          <w:szCs w:val="28"/>
        </w:rPr>
        <w:t>——富硒中药材</w:t>
      </w:r>
      <w:bookmarkEnd w:id="805"/>
      <w:bookmarkEnd w:id="806"/>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利用好硒对特定中药材品种增效提质的特性，重点鼓励富硒黄精、富硒百合、富硒金银花、富硒黄栀子等药食同源富硒中药材品种种植。加快加工技术创新，开发即食富硒保健冲饮、代餐</w:t>
      </w:r>
      <w:r>
        <w:rPr>
          <w:rFonts w:hint="eastAsia" w:ascii="仿宋" w:hAnsi="仿宋" w:eastAsia="仿宋" w:cs="Times New Roman"/>
          <w:bCs/>
          <w:kern w:val="0"/>
          <w:sz w:val="28"/>
          <w:szCs w:val="28"/>
        </w:rPr>
        <w:t>、糕点等</w:t>
      </w:r>
      <w:r>
        <w:rPr>
          <w:rFonts w:hint="eastAsia" w:ascii="仿宋" w:hAnsi="仿宋" w:eastAsia="仿宋" w:cs="Times New Roman"/>
          <w:kern w:val="0"/>
          <w:sz w:val="28"/>
          <w:szCs w:val="28"/>
        </w:rPr>
        <w:t>产品。推动富硒中药材标准制定，打造标准化富硒中药材产业链。以“中国黄精之乡”“中国药都”等知名招牌为引领，打造国家级富硒中药材“单品冠军”。按照“</w:t>
      </w:r>
      <w:r>
        <w:rPr>
          <w:rFonts w:ascii="仿宋" w:hAnsi="仿宋" w:eastAsia="仿宋" w:cs="Times New Roman"/>
          <w:kern w:val="0"/>
          <w:sz w:val="28"/>
          <w:szCs w:val="28"/>
        </w:rPr>
        <w:t>421</w:t>
      </w:r>
      <w:r>
        <w:rPr>
          <w:rFonts w:hint="eastAsia" w:ascii="仿宋" w:hAnsi="仿宋" w:eastAsia="仿宋" w:cs="Times New Roman"/>
          <w:kern w:val="0"/>
          <w:sz w:val="28"/>
          <w:szCs w:val="28"/>
        </w:rPr>
        <w:t>”产业发展布局体系，“4”即将铜鼓县、樟树市、袁州区、丰城市等地打造为富硒中药材先行示范区，“2”即在铜鼓县、樟树市各建设一个富硒中药材产业园区。“1”即建成1</w:t>
      </w:r>
      <w:r>
        <w:rPr>
          <w:rFonts w:ascii="仿宋" w:hAnsi="仿宋" w:eastAsia="仿宋" w:cs="Times New Roman"/>
          <w:kern w:val="0"/>
          <w:sz w:val="28"/>
          <w:szCs w:val="28"/>
        </w:rPr>
        <w:t>00</w:t>
      </w:r>
      <w:r>
        <w:rPr>
          <w:rFonts w:hint="eastAsia" w:ascii="仿宋" w:hAnsi="仿宋" w:eastAsia="仿宋" w:cs="Times New Roman"/>
          <w:kern w:val="0"/>
          <w:sz w:val="28"/>
          <w:szCs w:val="28"/>
        </w:rPr>
        <w:t>个标准化富硒中药材基地。到2</w:t>
      </w:r>
      <w:r>
        <w:rPr>
          <w:rFonts w:ascii="仿宋" w:hAnsi="仿宋" w:eastAsia="仿宋" w:cs="Times New Roman"/>
          <w:kern w:val="0"/>
          <w:sz w:val="28"/>
          <w:szCs w:val="28"/>
        </w:rPr>
        <w:t>025</w:t>
      </w:r>
      <w:r>
        <w:rPr>
          <w:rFonts w:hint="eastAsia" w:ascii="仿宋" w:hAnsi="仿宋" w:eastAsia="仿宋" w:cs="Times New Roman"/>
          <w:kern w:val="0"/>
          <w:sz w:val="28"/>
          <w:szCs w:val="28"/>
        </w:rPr>
        <w:t>年，建成富硒中药材示范基地面积</w:t>
      </w:r>
      <w:r>
        <w:rPr>
          <w:rFonts w:ascii="仿宋" w:hAnsi="仿宋" w:eastAsia="仿宋" w:cs="Times New Roman"/>
          <w:kern w:val="0"/>
          <w:sz w:val="28"/>
          <w:szCs w:val="28"/>
        </w:rPr>
        <w:t>62</w:t>
      </w:r>
      <w:r>
        <w:rPr>
          <w:rFonts w:hint="eastAsia" w:ascii="仿宋" w:hAnsi="仿宋" w:eastAsia="仿宋" w:cs="Times New Roman"/>
          <w:kern w:val="0"/>
          <w:sz w:val="28"/>
          <w:szCs w:val="28"/>
        </w:rPr>
        <w:t>万亩，实现富硒中药材种植规模化种植、智能化管理、标准化生产。到2</w:t>
      </w:r>
      <w:r>
        <w:rPr>
          <w:rFonts w:ascii="仿宋" w:hAnsi="仿宋" w:eastAsia="仿宋" w:cs="Times New Roman"/>
          <w:kern w:val="0"/>
          <w:sz w:val="28"/>
          <w:szCs w:val="28"/>
        </w:rPr>
        <w:t>030</w:t>
      </w:r>
      <w:r>
        <w:rPr>
          <w:rFonts w:hint="eastAsia" w:ascii="仿宋" w:hAnsi="仿宋" w:eastAsia="仿宋" w:cs="Times New Roman"/>
          <w:kern w:val="0"/>
          <w:sz w:val="28"/>
          <w:szCs w:val="28"/>
        </w:rPr>
        <w:t>年，累计建成富硒中药材示范基地面积</w:t>
      </w:r>
      <w:r>
        <w:rPr>
          <w:rFonts w:ascii="仿宋" w:hAnsi="仿宋" w:eastAsia="仿宋" w:cs="Times New Roman"/>
          <w:kern w:val="0"/>
          <w:sz w:val="28"/>
          <w:szCs w:val="28"/>
        </w:rPr>
        <w:t>80</w:t>
      </w:r>
      <w:r>
        <w:rPr>
          <w:rFonts w:hint="eastAsia" w:ascii="仿宋" w:hAnsi="仿宋" w:eastAsia="仿宋" w:cs="Times New Roman"/>
          <w:kern w:val="0"/>
          <w:sz w:val="28"/>
          <w:szCs w:val="28"/>
        </w:rPr>
        <w:t>万亩，富硒中药材加工能力进一步提升，药食同源富硒代餐、冲饮等功能保健产品体系进一步完善，富硒中药材产业与传统中医养生文化相结合，富硒中药材产业与康养产业实现深度融合。</w:t>
      </w:r>
    </w:p>
    <w:p>
      <w:pPr>
        <w:widowControl/>
        <w:adjustRightInd w:val="0"/>
        <w:snapToGrid w:val="0"/>
        <w:spacing w:after="0"/>
        <w:jc w:val="center"/>
        <w:rPr>
          <w:rFonts w:ascii="仿宋" w:hAnsi="仿宋" w:eastAsia="仿宋" w:cs="Times New Roman"/>
          <w:kern w:val="0"/>
          <w:sz w:val="28"/>
          <w:szCs w:val="28"/>
          <w:highlight w:val="yellow"/>
        </w:rPr>
      </w:pPr>
      <w:r>
        <w:rPr>
          <w:rFonts w:hint="eastAsia" w:ascii="仿宋" w:hAnsi="仿宋" w:eastAsia="仿宋" w:cs="Times New Roman"/>
          <w:kern w:val="0"/>
          <w:sz w:val="28"/>
          <w:szCs w:val="28"/>
          <w:highlight w:val="yellow"/>
        </w:rPr>
        <w:drawing>
          <wp:inline distT="0" distB="0" distL="0" distR="0">
            <wp:extent cx="6119495" cy="4326890"/>
            <wp:effectExtent l="0" t="0" r="14605" b="16510"/>
            <wp:docPr id="840092232" name="图片 84009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92232" name="图片 8400922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908" cy="4327524"/>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-8</w:t>
      </w:r>
      <w:r>
        <w:rPr>
          <w:rFonts w:hint="eastAsia" w:ascii="仿宋" w:hAnsi="仿宋" w:eastAsia="仿宋" w:cs="Times New Roman"/>
          <w:b/>
          <w:bCs/>
          <w:sz w:val="24"/>
          <w:szCs w:val="24"/>
          <w:lang w:val="en-US" w:eastAsia="zh-CN" w:bidi="ar-SA"/>
        </w:rPr>
        <w:t xml:space="preserve">  富硒中药材产业发展布局图</w:t>
      </w:r>
    </w:p>
    <w:p>
      <w:pPr>
        <w:widowControl/>
        <w:adjustRightInd w:val="0"/>
        <w:snapToGrid w:val="0"/>
        <w:spacing w:after="0" w:line="560" w:lineRule="exact"/>
        <w:ind w:firstLine="562" w:firstLineChars="200"/>
        <w:jc w:val="left"/>
        <w:outlineLvl w:val="2"/>
        <w:rPr>
          <w:rFonts w:ascii="仿宋" w:hAnsi="仿宋" w:eastAsia="仿宋" w:cs="Times New Roman"/>
          <w:b/>
          <w:kern w:val="0"/>
          <w:sz w:val="28"/>
          <w:szCs w:val="28"/>
        </w:rPr>
      </w:pPr>
      <w:bookmarkStart w:id="807" w:name="_Toc149730123"/>
      <w:bookmarkStart w:id="808" w:name="_Toc151751521"/>
      <w:bookmarkStart w:id="809" w:name="_Toc151219522"/>
      <w:r>
        <w:rPr>
          <w:rFonts w:hint="eastAsia" w:ascii="仿宋" w:hAnsi="仿宋" w:eastAsia="仿宋" w:cs="Times New Roman"/>
          <w:b/>
          <w:kern w:val="0"/>
          <w:sz w:val="28"/>
          <w:szCs w:val="28"/>
        </w:rPr>
        <w:t>二、特色产业</w:t>
      </w:r>
      <w:bookmarkEnd w:id="800"/>
      <w:bookmarkEnd w:id="801"/>
      <w:bookmarkEnd w:id="802"/>
      <w:bookmarkEnd w:id="803"/>
      <w:bookmarkEnd w:id="804"/>
      <w:bookmarkEnd w:id="807"/>
      <w:bookmarkEnd w:id="808"/>
      <w:bookmarkEnd w:id="809"/>
      <w:r>
        <w:rPr>
          <w:rFonts w:hint="eastAsia" w:ascii="仿宋" w:hAnsi="仿宋" w:eastAsia="仿宋" w:cs="Times New Roman"/>
          <w:b/>
          <w:kern w:val="0"/>
          <w:sz w:val="28"/>
          <w:szCs w:val="28"/>
        </w:rPr>
        <w:t>布局</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——富硒油茶。</w:t>
      </w:r>
      <w:r>
        <w:rPr>
          <w:rFonts w:hint="eastAsia" w:ascii="仿宋" w:hAnsi="仿宋" w:eastAsia="仿宋" w:cs="Times New Roman"/>
          <w:kern w:val="0"/>
          <w:sz w:val="28"/>
          <w:szCs w:val="28"/>
        </w:rPr>
        <w:t xml:space="preserve">以袁州区、万载县等地为重点，大力发展富硒油茶产业。通过引种示范推广高产稳产新品种，试点新农艺技术，发展油茶林下套种、林下养蜂等生态农业模式，促进富硒油茶增硒保果丰产，进一步推进富硒油茶产业发展。 </w:t>
      </w:r>
    </w:p>
    <w:p>
      <w:pPr>
        <w:widowControl/>
        <w:adjustRightInd w:val="0"/>
        <w:snapToGrid w:val="0"/>
        <w:spacing w:after="0"/>
        <w:jc w:val="center"/>
        <w:rPr>
          <w:rFonts w:ascii="仿宋" w:hAnsi="仿宋" w:eastAsia="仿宋" w:cs="Times New Roman"/>
          <w:kern w:val="0"/>
          <w:sz w:val="28"/>
          <w:szCs w:val="28"/>
        </w:rPr>
      </w:pPr>
      <w:r>
        <w:rPr>
          <w:rFonts w:ascii="仿宋" w:hAnsi="仿宋" w:eastAsia="仿宋" w:cs="Times New Roman"/>
          <w:kern w:val="0"/>
          <w:sz w:val="28"/>
          <w:szCs w:val="28"/>
        </w:rPr>
        <w:drawing>
          <wp:inline distT="0" distB="0" distL="0" distR="0">
            <wp:extent cx="6120130" cy="4327525"/>
            <wp:effectExtent l="0" t="0" r="13970" b="15875"/>
            <wp:docPr id="1800372037" name="图片 18003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72037" name="图片 18003720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pPr>
        <w:adjustRightInd w:val="0"/>
        <w:snapToGrid w:val="0"/>
        <w:spacing w:after="200"/>
        <w:jc w:val="center"/>
        <w:rPr>
          <w:rFonts w:ascii="仿宋" w:hAnsi="仿宋" w:eastAsia="仿宋" w:cs="Times New Roman"/>
          <w:b/>
          <w:bCs/>
          <w:sz w:val="24"/>
          <w:szCs w:val="24"/>
          <w:lang w:val="en-US" w:eastAsia="zh-CN" w:bidi="ar-SA"/>
        </w:rPr>
      </w:pPr>
      <w:r>
        <w:rPr>
          <w:rFonts w:hint="eastAsia" w:ascii="仿宋" w:hAnsi="仿宋" w:eastAsia="仿宋" w:cs="Times New Roman"/>
          <w:b/>
          <w:bCs/>
          <w:sz w:val="24"/>
          <w:szCs w:val="24"/>
          <w:lang w:val="en-US" w:eastAsia="zh-CN" w:bidi="ar-SA"/>
        </w:rPr>
        <w:t>图4</w:t>
      </w:r>
      <w:r>
        <w:rPr>
          <w:rFonts w:ascii="仿宋" w:hAnsi="仿宋" w:eastAsia="仿宋" w:cs="Times New Roman"/>
          <w:b/>
          <w:bCs/>
          <w:sz w:val="24"/>
          <w:szCs w:val="24"/>
          <w:lang w:val="en-US" w:eastAsia="zh-CN" w:bidi="ar-SA"/>
        </w:rPr>
        <w:t>-9</w:t>
      </w:r>
      <w:r>
        <w:rPr>
          <w:rFonts w:hint="eastAsia" w:ascii="仿宋" w:hAnsi="仿宋" w:eastAsia="仿宋" w:cs="Times New Roman"/>
          <w:b/>
          <w:bCs/>
          <w:sz w:val="24"/>
          <w:szCs w:val="24"/>
          <w:lang w:val="en-US" w:eastAsia="zh-CN" w:bidi="ar-SA"/>
        </w:rPr>
        <w:t xml:space="preserve">  富硒油茶产业发展布局图</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——富硒水产。</w:t>
      </w:r>
      <w:r>
        <w:rPr>
          <w:rFonts w:hint="eastAsia" w:ascii="仿宋" w:hAnsi="仿宋" w:eastAsia="仿宋" w:cs="Times New Roman"/>
          <w:kern w:val="0"/>
          <w:sz w:val="28"/>
          <w:szCs w:val="28"/>
        </w:rPr>
        <w:t>以丰城市为重点，围绕提质、增效、创优、创特推动富硒水产产业发展，大力发展陆基养殖，推进绿色高标准池塘改造行动，加快设施渔业、大水面生态渔业、稻渔（蛙、螺、鳅、虾等）综合种养模式创新与推广。</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——富硒食品加工。</w:t>
      </w:r>
      <w:r>
        <w:rPr>
          <w:rFonts w:hint="eastAsia" w:ascii="仿宋" w:hAnsi="仿宋" w:eastAsia="仿宋" w:cs="Times New Roman"/>
          <w:kern w:val="0"/>
          <w:sz w:val="28"/>
          <w:szCs w:val="28"/>
        </w:rPr>
        <w:t>以高安市、袁州区等地为重点，鼓励富硒食品加工园区与富硒种养基地加强合作，组建富硒食品加工产业创新联合体，围绕产业链建设，开发富硒预制菜、富硒饮料、富硒保健食品等多元化的高附加值富硒食品；引入先进设备技术，优化富硒食品加工工艺，提升硒元素转化利用效率，提升富硒食品品质，提高富硒产品附加值；依托江西省富硒食品质量检验检测中心（宜春），加强富硒加工食品质量监管，打造宜春富硒加工食品质量品牌。</w:t>
      </w:r>
    </w:p>
    <w:p>
      <w:pPr>
        <w:widowControl/>
        <w:adjustRightInd w:val="0"/>
        <w:snapToGrid w:val="0"/>
        <w:spacing w:after="0" w:line="560" w:lineRule="exact"/>
        <w:ind w:firstLine="562" w:firstLineChars="200"/>
        <w:jc w:val="both"/>
        <w:rPr>
          <w:rFonts w:ascii="仿宋" w:hAnsi="仿宋" w:eastAsia="仿宋" w:cs="Times New Roman"/>
          <w:kern w:val="0"/>
          <w:sz w:val="22"/>
          <w:szCs w:val="22"/>
        </w:rPr>
      </w:pPr>
      <w:r>
        <w:rPr>
          <w:rFonts w:hint="eastAsia" w:ascii="仿宋" w:hAnsi="仿宋" w:eastAsia="仿宋" w:cs="Times New Roman"/>
          <w:b/>
          <w:kern w:val="0"/>
          <w:sz w:val="28"/>
          <w:szCs w:val="28"/>
        </w:rPr>
        <w:t>——富硒康养。</w:t>
      </w:r>
      <w:r>
        <w:rPr>
          <w:rFonts w:hint="eastAsia" w:ascii="仿宋" w:hAnsi="仿宋" w:eastAsia="仿宋" w:cs="Times New Roman"/>
          <w:kern w:val="0"/>
          <w:sz w:val="28"/>
          <w:szCs w:val="28"/>
        </w:rPr>
        <w:t>以明月山、万载县、铜鼓县、丰城市为载体，建设集农、旅、养融合的富硒生态康养旅游产业集群，打造集富硒康复疗养区、富硒研学体验区、富硒休闲度假区、富硒文化展示区、富硒温泉娱乐区、富硒美食餐饮区等于一体的富硒生态康养产业集群。</w:t>
      </w:r>
      <w:r>
        <w:rPr>
          <w:rFonts w:ascii="仿宋" w:hAnsi="仿宋" w:eastAsia="仿宋" w:cs="Times New Roman"/>
          <w:kern w:val="0"/>
          <w:sz w:val="22"/>
          <w:szCs w:val="22"/>
        </w:rPr>
        <w:br w:type="page"/>
      </w:r>
    </w:p>
    <w:p>
      <w:pPr>
        <w:widowControl/>
        <w:adjustRightInd/>
        <w:snapToGrid/>
        <w:spacing w:after="0"/>
        <w:jc w:val="left"/>
        <w:rPr>
          <w:rFonts w:ascii="仿宋" w:hAnsi="仿宋" w:eastAsia="仿宋" w:cs="Times New Roman"/>
          <w:kern w:val="0"/>
          <w:sz w:val="28"/>
          <w:szCs w:val="28"/>
        </w:rPr>
      </w:pPr>
      <w:bookmarkStart w:id="810" w:name="_Toc25969"/>
    </w:p>
    <w:p>
      <w:pPr>
        <w:widowControl/>
        <w:adjustRightInd w:val="0"/>
        <w:snapToGrid w:val="0"/>
        <w:spacing w:after="312" w:afterLines="100"/>
        <w:jc w:val="center"/>
        <w:outlineLvl w:val="0"/>
        <w:rPr>
          <w:rFonts w:ascii="仿宋" w:hAnsi="仿宋" w:eastAsia="仿宋" w:cs="Times New Roman"/>
          <w:b/>
          <w:bCs/>
          <w:kern w:val="0"/>
          <w:sz w:val="36"/>
          <w:szCs w:val="36"/>
        </w:rPr>
      </w:pPr>
      <w:bookmarkStart w:id="811" w:name="_Toc147677282"/>
      <w:bookmarkStart w:id="812" w:name="_Toc151751522"/>
      <w:r>
        <w:rPr>
          <w:rFonts w:hint="eastAsia" w:ascii="仿宋" w:hAnsi="仿宋" w:eastAsia="仿宋" w:cs="Times New Roman"/>
          <w:b/>
          <w:bCs/>
          <w:kern w:val="0"/>
          <w:sz w:val="36"/>
          <w:szCs w:val="36"/>
        </w:rPr>
        <w:t xml:space="preserve">第四章 </w:t>
      </w:r>
      <w:bookmarkStart w:id="813" w:name="_Toc19567081"/>
      <w:bookmarkStart w:id="814" w:name="_Toc19567371"/>
      <w:bookmarkStart w:id="815" w:name="_Toc25705174"/>
      <w:r>
        <w:rPr>
          <w:rFonts w:hint="eastAsia" w:ascii="仿宋" w:hAnsi="仿宋" w:eastAsia="仿宋" w:cs="Times New Roman"/>
          <w:b/>
          <w:bCs/>
          <w:kern w:val="0"/>
          <w:sz w:val="36"/>
          <w:szCs w:val="36"/>
        </w:rPr>
        <w:t>重大任务与重点</w:t>
      </w:r>
      <w:bookmarkEnd w:id="810"/>
      <w:bookmarkEnd w:id="811"/>
      <w:bookmarkEnd w:id="813"/>
      <w:bookmarkEnd w:id="814"/>
      <w:bookmarkEnd w:id="815"/>
      <w:r>
        <w:rPr>
          <w:rFonts w:hint="eastAsia" w:ascii="仿宋" w:hAnsi="仿宋" w:eastAsia="仿宋" w:cs="Times New Roman"/>
          <w:b/>
          <w:bCs/>
          <w:kern w:val="0"/>
          <w:sz w:val="36"/>
          <w:szCs w:val="36"/>
        </w:rPr>
        <w:t>行动</w:t>
      </w:r>
      <w:bookmarkEnd w:id="812"/>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加快大基地、大</w:t>
      </w:r>
      <w:r>
        <w:rPr>
          <w:rFonts w:hint="eastAsia" w:ascii="仿宋" w:hAnsi="仿宋" w:eastAsia="仿宋" w:cs="Times New Roman"/>
          <w:kern w:val="0"/>
          <w:sz w:val="28"/>
          <w:szCs w:val="28"/>
          <w:lang w:val="en-US" w:eastAsia="zh-CN"/>
        </w:rPr>
        <w:t>龙头</w:t>
      </w:r>
      <w:r>
        <w:rPr>
          <w:rFonts w:hint="eastAsia" w:ascii="仿宋" w:hAnsi="仿宋" w:eastAsia="仿宋" w:cs="Times New Roman"/>
          <w:kern w:val="0"/>
          <w:sz w:val="28"/>
          <w:szCs w:val="28"/>
        </w:rPr>
        <w:t>、大</w:t>
      </w:r>
      <w:r>
        <w:rPr>
          <w:rFonts w:hint="eastAsia" w:ascii="仿宋" w:hAnsi="仿宋" w:eastAsia="仿宋" w:cs="Times New Roman"/>
          <w:kern w:val="0"/>
          <w:sz w:val="28"/>
          <w:szCs w:val="28"/>
          <w:lang w:val="en-US" w:eastAsia="zh-CN"/>
        </w:rPr>
        <w:t>市场</w:t>
      </w:r>
      <w:r>
        <w:rPr>
          <w:rFonts w:hint="eastAsia" w:ascii="仿宋" w:hAnsi="仿宋" w:eastAsia="仿宋" w:cs="Times New Roman"/>
          <w:kern w:val="0"/>
          <w:sz w:val="28"/>
          <w:szCs w:val="28"/>
        </w:rPr>
        <w:t>建设。依托“现代特色农业+富硒产业”基础条件，贯彻好“富硒+生态+大健康”的发展思路，逐步走上以“硒”为产品核心、产业主导的“硒+</w:t>
      </w:r>
      <w:r>
        <w:rPr>
          <w:rFonts w:ascii="仿宋" w:hAnsi="仿宋" w:eastAsia="仿宋" w:cs="Times New Roman"/>
          <w:kern w:val="0"/>
          <w:sz w:val="28"/>
          <w:szCs w:val="28"/>
        </w:rPr>
        <w:t>X</w:t>
      </w:r>
      <w:r>
        <w:rPr>
          <w:rFonts w:hint="eastAsia" w:ascii="仿宋" w:hAnsi="仿宋" w:eastAsia="仿宋" w:cs="Times New Roman"/>
          <w:kern w:val="0"/>
          <w:sz w:val="28"/>
          <w:szCs w:val="28"/>
        </w:rPr>
        <w:t>”产业模式，根据不同发展区域、不同发展阶段，有重点、有计划、分步骤实施。</w:t>
      </w:r>
      <w:bookmarkStart w:id="816" w:name="_Hlk146744778"/>
      <w:r>
        <w:rPr>
          <w:rFonts w:hint="eastAsia" w:ascii="仿宋" w:hAnsi="仿宋" w:eastAsia="仿宋" w:cs="Times New Roman"/>
          <w:kern w:val="0"/>
          <w:sz w:val="28"/>
          <w:szCs w:val="28"/>
        </w:rPr>
        <w:t>开展农产品生产保护区建设、富硒科技创新质量提升、龙头企业壮大示范引领、富硒品牌创建宣传推广、富硒全产业示范区建设</w:t>
      </w:r>
      <w:bookmarkEnd w:id="816"/>
      <w:r>
        <w:rPr>
          <w:rFonts w:hint="eastAsia" w:ascii="仿宋" w:hAnsi="仿宋" w:eastAsia="仿宋" w:cs="Times New Roman"/>
          <w:kern w:val="0"/>
          <w:sz w:val="28"/>
          <w:szCs w:val="28"/>
        </w:rPr>
        <w:t>、现代富硒产业体系建设、富硒产业质量整体提升、富硒产业保障体系构建等八项重点行动，聚焦“走在前、勇争先、善作为”目标要求，加快推进宜春富硒产业高质量跨越式发展。</w:t>
      </w:r>
    </w:p>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17" w:name="_Toc144921137"/>
      <w:bookmarkStart w:id="818" w:name="_Toc147505307"/>
      <w:bookmarkStart w:id="819" w:name="_Toc147677284"/>
      <w:bookmarkStart w:id="820" w:name="_Toc27342"/>
      <w:bookmarkStart w:id="821" w:name="_Toc145858170"/>
      <w:bookmarkStart w:id="822" w:name="_Toc146743280"/>
      <w:bookmarkStart w:id="823" w:name="_Toc146745870"/>
      <w:bookmarkStart w:id="824" w:name="_Toc147314294"/>
      <w:bookmarkStart w:id="825" w:name="_Toc151219524"/>
      <w:bookmarkStart w:id="826" w:name="_Toc151751523"/>
      <w:bookmarkStart w:id="827" w:name="_Toc149730126"/>
      <w:bookmarkStart w:id="828" w:name="_Toc468289147"/>
      <w:bookmarkStart w:id="829" w:name="_Toc17150532"/>
      <w:bookmarkStart w:id="830" w:name="_Toc25705176"/>
      <w:bookmarkStart w:id="831" w:name="_Toc468350424"/>
      <w:bookmarkStart w:id="832" w:name="_Toc468290440"/>
      <w:bookmarkStart w:id="833" w:name="_Toc467615203"/>
      <w:bookmarkStart w:id="834" w:name="_Toc461146973"/>
      <w:bookmarkStart w:id="835" w:name="_Toc19692402"/>
      <w:bookmarkStart w:id="836" w:name="_Toc467614948"/>
      <w:bookmarkStart w:id="837" w:name="_Toc467706432"/>
      <w:bookmarkStart w:id="838" w:name="_Toc19567373"/>
      <w:bookmarkStart w:id="839" w:name="_Toc471505719"/>
      <w:bookmarkStart w:id="840" w:name="_Toc19567083"/>
      <w:bookmarkStart w:id="841" w:name="_Toc80624812"/>
      <w:bookmarkStart w:id="842" w:name="_Toc467615543"/>
      <w:bookmarkStart w:id="843" w:name="_Toc462220241"/>
      <w:r>
        <w:rPr>
          <w:rFonts w:hint="eastAsia" w:ascii="仿宋" w:hAnsi="仿宋" w:eastAsia="仿宋" w:cs="Times New Roman"/>
          <w:b/>
          <w:bCs/>
          <w:kern w:val="0"/>
          <w:sz w:val="32"/>
          <w:szCs w:val="32"/>
        </w:rPr>
        <w:t>第一节 大力推进富硒农产品</w:t>
      </w:r>
      <w:bookmarkEnd w:id="817"/>
      <w:bookmarkEnd w:id="818"/>
      <w:bookmarkEnd w:id="819"/>
      <w:bookmarkEnd w:id="820"/>
      <w:bookmarkEnd w:id="821"/>
      <w:bookmarkEnd w:id="822"/>
      <w:bookmarkEnd w:id="823"/>
      <w:bookmarkEnd w:id="824"/>
      <w:r>
        <w:rPr>
          <w:rFonts w:hint="eastAsia" w:ascii="仿宋" w:hAnsi="仿宋" w:eastAsia="仿宋" w:cs="Times New Roman"/>
          <w:b/>
          <w:bCs/>
          <w:kern w:val="0"/>
          <w:sz w:val="32"/>
          <w:szCs w:val="32"/>
        </w:rPr>
        <w:t>生产区保护</w:t>
      </w:r>
      <w:bookmarkEnd w:id="825"/>
      <w:bookmarkEnd w:id="826"/>
      <w:bookmarkEnd w:id="827"/>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以袁州区、上高县、高安市、万载县、丰城市等清洁富硒耕地面积集中连片区为重点，开展富硒农产品生产保护区建设。推进保护区内富硒高标准农田建设，完善农业基础设施。优化农业种养结构，鼓励富硒绿色有机农产品标准化生产。规范保护区内富硒农产品生产投入，维护富硒农业生产安全。建立保护区界碑标识，推动富硒农产品生产保护区监管建章立制。开展富硒土壤详细调查、富硒产品调查认证、天然富硒土地申报和富硒土壤质量提升四项重点工作。明确“天然富硒土地”空间分布，圈定富硒产业发展适宜区域。加快制定天然富硒土壤保护相关法规政策，为富硒产业可持续发展提供安全保障。</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w:t>
            </w:r>
            <w:r>
              <w:rPr>
                <w:rFonts w:ascii="仿宋" w:hAnsi="仿宋" w:eastAsia="仿宋" w:cs="Times New Roman"/>
                <w:b/>
                <w:kern w:val="0"/>
                <w:sz w:val="28"/>
                <w:szCs w:val="28"/>
              </w:rPr>
              <w:t>3</w:t>
            </w:r>
            <w:r>
              <w:rPr>
                <w:rFonts w:hint="eastAsia" w:ascii="仿宋" w:hAnsi="仿宋" w:eastAsia="仿宋" w:cs="Times New Roman"/>
                <w:b/>
                <w:kern w:val="0"/>
                <w:sz w:val="28"/>
                <w:szCs w:val="28"/>
              </w:rPr>
              <w:t xml:space="preserve">  大力推进富硒农产品生产区保护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——富硒土壤资源详查工程：</w:t>
            </w:r>
            <w:r>
              <w:rPr>
                <w:rFonts w:hint="eastAsia" w:ascii="仿宋" w:hAnsi="仿宋" w:eastAsia="仿宋" w:cs="Times New Roman"/>
                <w:kern w:val="0"/>
                <w:sz w:val="28"/>
                <w:szCs w:val="28"/>
              </w:rPr>
              <w:t>结合全国第三次土壤普查，鼓励开展1:5万土地质量地球化学调查。根据实际生产需要，针对重点区域开展1:1万、1:2000富硒土壤资源调查，建立科学、系统、完整的数字化硒资源数据库。鼓励开展天然富硒土地申报认证工作，圈定天然富硒土壤保护区。</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——富硒产品调查认证工程：</w:t>
            </w:r>
            <w:r>
              <w:rPr>
                <w:rFonts w:hint="eastAsia" w:ascii="仿宋" w:hAnsi="仿宋" w:eastAsia="仿宋" w:cs="Times New Roman"/>
                <w:kern w:val="0"/>
                <w:sz w:val="28"/>
                <w:szCs w:val="28"/>
              </w:rPr>
              <w:t>建立统一规范的富硒产品送检登记认证制度。送检产品标注采样地经纬度坐标、采样地点、生产商、采样人员、采样人员联系方式、采样时间、产品类型、产品品种等基本信息，方便长期跟踪检测和抽检工作。构建分类清晰、品类齐全的富硒产品空间数据库。</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——富硒耕地资源保护工程：</w:t>
            </w:r>
            <w:r>
              <w:rPr>
                <w:rFonts w:hint="eastAsia" w:ascii="仿宋" w:hAnsi="仿宋" w:eastAsia="仿宋" w:cs="Times New Roman"/>
                <w:kern w:val="0"/>
                <w:sz w:val="28"/>
                <w:szCs w:val="28"/>
              </w:rPr>
              <w:t>将集中连片、长期稳定的富硒耕地优先划入永久基本农田保护区、粮食生产功能区、主要农产品生产保护区，坚持新增建设和改造提升并重，开展富硒高标准农田建设。加强富硒耕地保护监管，加大违法行为的查处打击力度，适时出台《宜春市富硒耕地资源保护条例》。</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——富硒耕地质量提升工程：</w:t>
            </w:r>
            <w:r>
              <w:rPr>
                <w:rFonts w:hint="eastAsia" w:ascii="仿宋" w:hAnsi="仿宋" w:eastAsia="仿宋" w:cs="Times New Roman"/>
                <w:kern w:val="0"/>
                <w:sz w:val="28"/>
                <w:szCs w:val="28"/>
              </w:rPr>
              <w:t>优先在富硒、潜在富硒土壤集中连片区开展土壤保护修复提升工程，加强农业清洁生产管理，严控农业外源性污染影响，通过农田土壤改良、生态修复，改善土壤环境，提升有效硒含量，为提高农产品中硒含量、提升农产品品质创造条件。</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44" w:name="_Toc151751524"/>
      <w:bookmarkStart w:id="845" w:name="_Toc151219525"/>
      <w:bookmarkStart w:id="846" w:name="_Toc149730127"/>
      <w:r>
        <w:rPr>
          <w:rFonts w:hint="eastAsia" w:ascii="仿宋" w:hAnsi="仿宋" w:eastAsia="仿宋" w:cs="Times New Roman"/>
          <w:b/>
          <w:bCs/>
          <w:kern w:val="0"/>
          <w:sz w:val="32"/>
          <w:szCs w:val="32"/>
        </w:rPr>
        <w:t>第二节 大力推进富硒科技创新能力提升</w:t>
      </w:r>
      <w:bookmarkEnd w:id="844"/>
      <w:bookmarkEnd w:id="845"/>
      <w:bookmarkEnd w:id="846"/>
    </w:p>
    <w:p>
      <w:pPr>
        <w:widowControl/>
        <w:adjustRightInd w:val="0"/>
        <w:snapToGrid w:val="0"/>
        <w:spacing w:after="0" w:line="560" w:lineRule="exact"/>
        <w:ind w:firstLine="560" w:firstLineChars="200"/>
        <w:jc w:val="left"/>
        <w:rPr>
          <w:rFonts w:ascii="仿宋" w:hAnsi="仿宋" w:eastAsia="仿宋" w:cs="Times New Roman"/>
          <w:kern w:val="0"/>
          <w:sz w:val="28"/>
          <w:szCs w:val="28"/>
        </w:rPr>
      </w:pPr>
      <w:r>
        <w:rPr>
          <w:rFonts w:hint="eastAsia" w:ascii="仿宋" w:hAnsi="仿宋" w:eastAsia="仿宋" w:cs="Times New Roman"/>
          <w:kern w:val="0"/>
          <w:sz w:val="28"/>
          <w:szCs w:val="28"/>
        </w:rPr>
        <w:t>努力打造集“科技应用、产品研发、成果转化”于一体的科研平台，将宜春市建成富硒产业研发领域人才集聚、高层次科研成果孵化的重要基地。统筹科研创新平台建设，针对富硒产业关键技术开展联合攻关。</w:t>
      </w:r>
      <w:bookmarkStart w:id="847" w:name="_Toc147314295"/>
      <w:bookmarkStart w:id="848" w:name="_Toc18634"/>
      <w:bookmarkStart w:id="849" w:name="_Toc145858171"/>
      <w:bookmarkStart w:id="850" w:name="_Toc147677285"/>
      <w:bookmarkStart w:id="851" w:name="_Toc146745871"/>
      <w:bookmarkStart w:id="852" w:name="_Toc147505308"/>
      <w:bookmarkStart w:id="853" w:name="_Toc144921138"/>
      <w:bookmarkStart w:id="854" w:name="_Toc146743281"/>
      <w:r>
        <w:rPr>
          <w:rFonts w:hint="eastAsia" w:ascii="仿宋" w:hAnsi="仿宋" w:eastAsia="仿宋" w:cs="Times New Roman"/>
          <w:kern w:val="0"/>
          <w:sz w:val="28"/>
          <w:szCs w:val="28"/>
        </w:rPr>
        <w:t>围绕富硒主导产业，聚焦富硒产业“卡脖子”工程，</w:t>
      </w:r>
      <w:r>
        <w:rPr>
          <w:rFonts w:ascii="仿宋" w:hAnsi="仿宋" w:eastAsia="仿宋" w:cs="Times New Roman"/>
          <w:kern w:val="0"/>
          <w:sz w:val="28"/>
          <w:szCs w:val="28"/>
        </w:rPr>
        <w:t>开展</w:t>
      </w:r>
      <w:r>
        <w:rPr>
          <w:rFonts w:hint="eastAsia" w:ascii="仿宋" w:hAnsi="仿宋" w:eastAsia="仿宋" w:cs="Times New Roman"/>
          <w:kern w:val="0"/>
          <w:sz w:val="28"/>
          <w:szCs w:val="28"/>
        </w:rPr>
        <w:t>示范专项研究。加强人才引进与本土培养相结合，不断激发科技人才的创新潜力，以创新带增量，构建强有力的富硒科技支撑体系。力争到2030年创建1-2个国家级、省级富硒食品质检中心与富硒工程研究中心，突破富硒产业关键技术1-2项。</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 xml:space="preserve">专栏4  </w:t>
            </w:r>
            <w:r>
              <w:rPr>
                <w:rFonts w:hint="eastAsia" w:ascii="仿宋" w:hAnsi="仿宋" w:eastAsia="仿宋" w:cs="Times New Roman"/>
                <w:b/>
                <w:bCs/>
                <w:kern w:val="0"/>
                <w:sz w:val="28"/>
                <w:szCs w:val="28"/>
              </w:rPr>
              <w:t>大力推进富硒科技创新能力提升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——富硒科技平台建设工程：</w:t>
            </w:r>
            <w:r>
              <w:rPr>
                <w:rFonts w:hint="eastAsia" w:ascii="仿宋" w:hAnsi="仿宋" w:eastAsia="仿宋" w:cs="Times New Roman"/>
                <w:kern w:val="0"/>
                <w:sz w:val="28"/>
                <w:szCs w:val="28"/>
              </w:rPr>
              <w:t>加强江西省植物硒强化及评价技术工程研究中心、江西富硒产业研究院、江西富硒产业创新联盟、江西省高等学校硒农业工程技术研究中心、赵其国院士工作站、中国营养学会宜春服务站、江西省富硒食品质量检验检测中心（宜春）等平台建设。推动科研院所联合富硒产业龙头企业，建设宜春富硒科研工作站（科技小院）、院士工作站、海智计划工作站、博士后科研工作站、博士后创新实践基地，形成高位推进、区域联动、分工协作、开放共享的工作机制，打造集“科研、检测、认证、展示、销售、监管”于一体的富硒科技创新平台。</w:t>
            </w:r>
          </w:p>
          <w:p>
            <w:pPr>
              <w:widowControl/>
              <w:adjustRightInd/>
              <w:snapToGrid/>
              <w:spacing w:after="0" w:line="44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w:t>
            </w:r>
            <w:r>
              <w:rPr>
                <w:rFonts w:hint="eastAsia" w:ascii="仿宋" w:hAnsi="仿宋" w:eastAsia="仿宋" w:cs="Times New Roman"/>
                <w:b/>
                <w:kern w:val="0"/>
                <w:sz w:val="28"/>
                <w:szCs w:val="28"/>
              </w:rPr>
              <w:t>富硒专门人才培育工程：</w:t>
            </w:r>
            <w:r>
              <w:rPr>
                <w:rFonts w:hint="eastAsia" w:ascii="仿宋" w:hAnsi="仿宋" w:eastAsia="仿宋" w:cs="Times New Roman"/>
                <w:kern w:val="0"/>
                <w:sz w:val="28"/>
                <w:szCs w:val="28"/>
              </w:rPr>
              <w:t>构建全方位的人才引育机制，为富硒产业发展构建专门的人才招聘服务、人才培训服务、人才创业服务等人才延伸服务。发挥科研院所研学优势，与企业资源优势互补，在富硒资源集中地区，依托宜春市农业农村局富硒农业科技服务团设立“富硒产业专业实践教学基地”，培养高级应用型人才；依托宜春学院等高校平台，每年引进一批博士和博士后，加快富硒研究型专业人才培养；加快设立富硒科研工作站，汇集富硒管理人才、科技人才、金融人才，推广新品种、新技术，培训基层科技人员和新型职业农民，助力示范基地和产业园区建设。</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——富硒关键技术攻关工程：</w:t>
            </w:r>
            <w:r>
              <w:rPr>
                <w:rFonts w:hint="eastAsia" w:ascii="仿宋" w:hAnsi="仿宋" w:eastAsia="仿宋" w:cs="Times New Roman"/>
                <w:kern w:val="0"/>
                <w:sz w:val="28"/>
                <w:szCs w:val="28"/>
              </w:rPr>
              <w:t>统筹宜春市科研力量，加强与省内外富硒科研单位合作搭建富硒产业创新联盟，重点对产品硒含量稳定性与标准化生产技术、富硒阻镉等重金属伴生的有效控制技术、富硒农产品精深加工技术等技术瓶颈开展联合攻关与示范专项研究。开展富硒产业应用基础研究和前瞻性研究。开展土壤、农作物硒形态与含量快速精准检测技术攻关。开展土壤-作物系统硒元素迁移机理研究、农产品富硒分子机制研究，解决将土壤富硒转化为农产品富硒等重大关键技术难题。</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55" w:name="_Toc151751525"/>
      <w:bookmarkStart w:id="856" w:name="_Toc149730128"/>
      <w:bookmarkStart w:id="857" w:name="_Toc151219526"/>
      <w:r>
        <w:rPr>
          <w:rFonts w:hint="eastAsia" w:ascii="仿宋" w:hAnsi="仿宋" w:eastAsia="仿宋" w:cs="Times New Roman"/>
          <w:b/>
          <w:bCs/>
          <w:kern w:val="0"/>
          <w:sz w:val="32"/>
          <w:szCs w:val="32"/>
        </w:rPr>
        <w:t>第三节 大力推进龙头企业壮大引领示范</w:t>
      </w:r>
      <w:bookmarkEnd w:id="855"/>
      <w:bookmarkEnd w:id="856"/>
      <w:bookmarkEnd w:id="857"/>
    </w:p>
    <w:p>
      <w:pPr>
        <w:widowControl/>
        <w:adjustRightInd w:val="0"/>
        <w:snapToGrid w:val="0"/>
        <w:spacing w:after="0" w:line="560" w:lineRule="exact"/>
        <w:ind w:firstLine="560" w:firstLineChars="200"/>
        <w:jc w:val="left"/>
        <w:rPr>
          <w:rFonts w:ascii="仿宋" w:hAnsi="仿宋" w:eastAsia="仿宋" w:cs="Times New Roman"/>
          <w:kern w:val="0"/>
          <w:sz w:val="28"/>
          <w:szCs w:val="28"/>
        </w:rPr>
      </w:pPr>
      <w:r>
        <w:rPr>
          <w:rFonts w:hint="eastAsia" w:ascii="仿宋" w:hAnsi="仿宋" w:eastAsia="仿宋" w:cs="Times New Roman"/>
          <w:kern w:val="0"/>
          <w:sz w:val="28"/>
          <w:szCs w:val="28"/>
        </w:rPr>
        <w:t>集中力量、集聚资源、集成政策，在壮大规模、招商引资、上市发展、强强联合等方面精准发力，“壮大规模，做大龙头”“招商引资，做强龙头”“整合资源，做优龙头”“提质升级，做精龙头”，多举措扶持富硒产业龙头企业，带动全市富硒产业“强链争先”“优质发展”。力争到2</w:t>
      </w:r>
      <w:r>
        <w:rPr>
          <w:rFonts w:ascii="仿宋" w:hAnsi="仿宋" w:eastAsia="仿宋" w:cs="Times New Roman"/>
          <w:kern w:val="0"/>
          <w:sz w:val="28"/>
          <w:szCs w:val="28"/>
        </w:rPr>
        <w:t>030</w:t>
      </w:r>
      <w:r>
        <w:rPr>
          <w:rFonts w:hint="eastAsia" w:ascii="仿宋" w:hAnsi="仿宋" w:eastAsia="仿宋" w:cs="Times New Roman"/>
          <w:kern w:val="0"/>
          <w:sz w:val="28"/>
          <w:szCs w:val="28"/>
        </w:rPr>
        <w:t>年新签亿元以上农业招商项目10</w:t>
      </w:r>
      <w:r>
        <w:rPr>
          <w:rFonts w:ascii="仿宋" w:hAnsi="仿宋" w:eastAsia="仿宋" w:cs="Times New Roman"/>
          <w:kern w:val="0"/>
          <w:sz w:val="28"/>
          <w:szCs w:val="28"/>
        </w:rPr>
        <w:t>0</w:t>
      </w:r>
      <w:r>
        <w:rPr>
          <w:rFonts w:hint="eastAsia" w:ascii="仿宋" w:hAnsi="仿宋" w:eastAsia="仿宋" w:cs="Times New Roman"/>
          <w:kern w:val="0"/>
          <w:sz w:val="28"/>
          <w:szCs w:val="28"/>
        </w:rPr>
        <w:t>个；农业招商引资实际进资额</w:t>
      </w:r>
      <w:r>
        <w:rPr>
          <w:rFonts w:ascii="仿宋" w:hAnsi="仿宋" w:eastAsia="仿宋" w:cs="Times New Roman"/>
          <w:kern w:val="0"/>
          <w:sz w:val="28"/>
          <w:szCs w:val="28"/>
        </w:rPr>
        <w:t>200</w:t>
      </w:r>
      <w:r>
        <w:rPr>
          <w:rFonts w:hint="eastAsia" w:ascii="仿宋" w:hAnsi="仿宋" w:eastAsia="仿宋" w:cs="Times New Roman"/>
          <w:kern w:val="0"/>
          <w:sz w:val="28"/>
          <w:szCs w:val="28"/>
        </w:rPr>
        <w:t>亿元以上；培育富硒产业市级龙头企业新增70家以上。</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 xml:space="preserve">专栏5  </w:t>
            </w:r>
            <w:r>
              <w:rPr>
                <w:rFonts w:hint="eastAsia" w:ascii="仿宋" w:hAnsi="仿宋" w:eastAsia="仿宋" w:cs="Times New Roman"/>
                <w:b/>
                <w:bCs/>
                <w:kern w:val="0"/>
                <w:sz w:val="28"/>
                <w:szCs w:val="28"/>
              </w:rPr>
              <w:t>大力推进龙头企业壮大引领示范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——富硒企业引育壮大工程：</w:t>
            </w:r>
            <w:r>
              <w:rPr>
                <w:rFonts w:hint="eastAsia" w:ascii="仿宋" w:hAnsi="仿宋" w:eastAsia="仿宋" w:cs="Times New Roman"/>
                <w:kern w:val="0"/>
                <w:sz w:val="28"/>
                <w:szCs w:val="28"/>
              </w:rPr>
              <w:t>开展产业赛道招商攻坚行动，引育壮大一批市场竞争力强、辐射带动力强的产业龙头。紧盯世界500强、中国500强、中国农业产业化龙头企业100强、农业产业化国家重点龙头企业，瞄准头部企业开展“靶向招商”、聚焦产业集群开展“精准招商”、立足产业园区开展“以商招商”。引进一批“链主”龙头企业，带动上下游企业共同发展。围绕“卡脖子”技术，引进一批集成创新实力强、行业带动能力强、市场开拓力强的科技领军型企业和具有国际先进水平的创新引领项目。成立全市绿色食品（富硒）产业“招大引强”攻坚工作专班，“市县+部门+小分队”协同作战，聚焦六大主导产业，策划、包装一批吸引力强、可行性高的产业项目，引进一批三产融合项目，打造宜春现代农业“新赛道”。</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——富硒企业优化整合工程：</w:t>
            </w:r>
            <w:r>
              <w:rPr>
                <w:rFonts w:hint="eastAsia" w:ascii="仿宋" w:hAnsi="仿宋" w:eastAsia="仿宋" w:cs="Times New Roman"/>
                <w:kern w:val="0"/>
                <w:sz w:val="28"/>
                <w:szCs w:val="28"/>
              </w:rPr>
              <w:t>围绕六大富硒主导产业，一是鼓励龙头企业牵头，农民合作社、家庭农场、农户等主体跟进，共同组建农业产业化联合体。二是共同组建支持企业强强联合、同业整合、兼并重组、挂牌上市，打造一批具有完整产业链、较强竞争力的产业龙头。前端联结富硒农业研发、育种、生产等环节，后端延展加工、储运、销售、品牌、体验、消费、服务等环节，优化富硒产业链供应链水平，实现全环节提升、全链条增值、全产业融合。支持龙头企业在全国大中城市建立宜春富硒农产品营销网络；鼓励富硒产业龙头企业发展连锁店、直营店、配送中心和电子商务；支持富硒企业参与综合性展会，组建富硒产品生产销售服务链。</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——富硒企业提质升级工程：</w:t>
            </w:r>
            <w:r>
              <w:rPr>
                <w:rFonts w:hint="eastAsia" w:ascii="仿宋" w:hAnsi="仿宋" w:eastAsia="仿宋" w:cs="Times New Roman"/>
                <w:kern w:val="0"/>
                <w:sz w:val="28"/>
                <w:szCs w:val="28"/>
              </w:rPr>
              <w:t>支持本土龙头企业加快技术改造、装备升级和模式创新，向产业链中高端延伸，不断提升加工转化增值能力。加快发展农产品加工业，抓好冷链物流建设，推动农产品初加工、精深加工和综合利用加工全面发展。鼓励采取新建、扩建或技改等方式，建设一批投资规模大、科技含量高、产业链条长、带动能力强的产品加工项目，同时鼓励龙头企业把后端的精深加工项目落户宜春，大力开发富硒休闲食品、功能性食品、预制食品、生物制品等精深加工产品，促进一产往后延、二产两头连、三产走高端。</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58" w:name="_Toc149730129"/>
      <w:bookmarkStart w:id="859" w:name="_Toc151219527"/>
      <w:bookmarkStart w:id="860" w:name="_Toc151751526"/>
      <w:r>
        <w:rPr>
          <w:rFonts w:hint="eastAsia" w:ascii="仿宋" w:hAnsi="仿宋" w:eastAsia="仿宋" w:cs="Times New Roman"/>
          <w:b/>
          <w:bCs/>
          <w:kern w:val="0"/>
          <w:sz w:val="32"/>
          <w:szCs w:val="32"/>
        </w:rPr>
        <w:t>第四节 大力推进富硒品牌创建营销推广</w:t>
      </w:r>
      <w:bookmarkEnd w:id="858"/>
      <w:bookmarkEnd w:id="859"/>
      <w:bookmarkEnd w:id="860"/>
    </w:p>
    <w:p>
      <w:pPr>
        <w:widowControl/>
        <w:adjustRightInd w:val="0"/>
        <w:snapToGrid w:val="0"/>
        <w:spacing w:after="0" w:line="560" w:lineRule="exact"/>
        <w:ind w:firstLine="560" w:firstLineChars="200"/>
        <w:jc w:val="both"/>
        <w:textAlignment w:val="center"/>
        <w:rPr>
          <w:rFonts w:ascii="仿宋" w:hAnsi="仿宋" w:eastAsia="仿宋" w:cs="Times New Roman"/>
          <w:kern w:val="0"/>
          <w:sz w:val="28"/>
          <w:szCs w:val="28"/>
        </w:rPr>
      </w:pPr>
      <w:r>
        <w:rPr>
          <w:rFonts w:hint="eastAsia" w:ascii="仿宋" w:hAnsi="仿宋" w:eastAsia="仿宋" w:cs="Times New Roman"/>
          <w:kern w:val="0"/>
          <w:sz w:val="28"/>
          <w:szCs w:val="28"/>
        </w:rPr>
        <w:t>围绕“世界硒谷·生态宜春”发展定位，加快推进“宜春宜品”区域公共商标的注册并进入全国农产品区域公用品牌价值榜100强，响应农业农村部“农业品牌精品培育计划”，积极争取纳入央视“品牌强农计划”。拓展富硒产品销售渠道，拓宽富硒产品受众面。按照“政府培育区域公用品牌、企业培育产品自主品牌”的思路，统筹推进富硒精品品牌创建，唱响“好硒在宜春、硒养到宜春”。力争在2025年，每个县（市、区）培育1-2个在全国、全省有影响力的富硒特色品牌，其中袁州区、丰城市、上高县启动谋划注册</w:t>
      </w:r>
      <w:r>
        <w:rPr>
          <w:rFonts w:ascii="仿宋" w:hAnsi="仿宋" w:eastAsia="仿宋" w:cs="Times New Roman"/>
          <w:kern w:val="0"/>
          <w:sz w:val="28"/>
          <w:szCs w:val="28"/>
        </w:rPr>
        <w:t>3</w:t>
      </w:r>
      <w:r>
        <w:rPr>
          <w:rFonts w:hint="eastAsia" w:ascii="仿宋" w:hAnsi="仿宋" w:eastAsia="仿宋" w:cs="Times New Roman"/>
          <w:kern w:val="0"/>
          <w:sz w:val="28"/>
          <w:szCs w:val="28"/>
        </w:rPr>
        <w:t>个以上省级富硒区域品牌；全市“两品一标”（绿色食品、有机农产品、地理标志农产品）农产品认证总数达到880个；分别在丰城市、上高县、宜丰县三个省级富硒功能农业重点县建立优质富硒产品营销旗舰店；在全市打造2-3处“硒+休闲康养”“硒+科普研学网红打卡地”。到2030年，全市“两品一标”产品认证总数达到1200个。每个市（县、区）分别设立1-2个富硒营销旗舰店。</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 xml:space="preserve">专栏6  </w:t>
            </w:r>
            <w:r>
              <w:rPr>
                <w:rFonts w:hint="eastAsia" w:ascii="仿宋" w:hAnsi="仿宋" w:eastAsia="仿宋" w:cs="Times New Roman"/>
                <w:b/>
                <w:bCs/>
                <w:kern w:val="0"/>
                <w:sz w:val="28"/>
                <w:szCs w:val="28"/>
              </w:rPr>
              <w:t>大力推进富硒品牌创建营销推广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——富硒品牌创建培优工程：</w:t>
            </w:r>
            <w:r>
              <w:rPr>
                <w:rFonts w:hint="eastAsia" w:ascii="仿宋" w:hAnsi="仿宋" w:eastAsia="仿宋" w:cs="Times New Roman"/>
                <w:kern w:val="0"/>
                <w:sz w:val="28"/>
                <w:szCs w:val="28"/>
              </w:rPr>
              <w:t>加快构建“1+N”（“宜春宜品”+N个企业品牌）品牌体系，策划建立“世界硒养之都”CI体系。依托赣湘边区域合作宜春产业园建设，积极参与“湘赣红”区域公用品牌共建。区域公用品牌实行统一注册管理、认证许可。加大知名县市富硒品牌创建力度，健全服务体系，持续推进“单品冠军”行动；建立富硒产品品牌目录制度，鼓励龙头企业自主注册企业品牌，与科研单位联合开发具有宜春地域特色的高、新、精富硒产品，力争注册国际商标、创建中国驰名商标，带动更多企业、更多产品实现市场突围。</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——富硒品牌影响提升工程：</w:t>
            </w:r>
            <w:r>
              <w:rPr>
                <w:rFonts w:hint="eastAsia" w:ascii="仿宋" w:hAnsi="仿宋" w:eastAsia="仿宋" w:cs="Times New Roman"/>
                <w:kern w:val="0"/>
                <w:sz w:val="28"/>
                <w:szCs w:val="28"/>
              </w:rPr>
              <w:t>鼓励龙头企业参加国家级会展，走向国际市场。利用好富硒产品博览会、世界硒养大会召开契机，讲好“硒”故事、办好“硒”游记。打造国家级会展品牌，设立富硒产品专场，举办专题推介会、产品展销会、专场采购会、节庆交流会等活动，全方位宣传富硒产品。加快建设市本级富硒体验展示馆，智能化、高水平对外宣传和展示宜春优质富硒产品和多彩富硒文化。采用线上线下一体化运营模式，展示宜春市富硒产业、品牌、品质成效。推动硒科普进机关、进校园、进酒店、进社区、进景区。</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——富硒科普平台建设工程：</w:t>
            </w:r>
            <w:r>
              <w:rPr>
                <w:rFonts w:hint="eastAsia" w:ascii="仿宋" w:hAnsi="仿宋" w:eastAsia="仿宋" w:cs="Times New Roman"/>
                <w:kern w:val="0"/>
                <w:sz w:val="28"/>
                <w:szCs w:val="28"/>
              </w:rPr>
              <w:t>建设宜春富硒科普基地，以倡导全民补硒、科学补硒为目标，涵盖硒知识、硒故事、硒资源、硒科研、硒产品、硒产业等内容，汇集图片、影片、教材、富硒产品等形式，展现硒检测、富硒产品研发过程。坚持“请进来”与“走出去”相结合、线上与线下相协同的科普模式，开展“院士说硒”等大中小型富硒科普活动，向广大群众普及硒知识、宣传硒文化，展示宜春“宜春宜品”“世界硒养之都”的品牌形象。让观众多角度、全领域、沉浸式地了解宜春富硒产业，品鉴宜春特色富硒产品。</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61" w:name="_Toc151219528"/>
      <w:bookmarkStart w:id="862" w:name="_Toc149730130"/>
      <w:bookmarkStart w:id="863" w:name="_Toc151751527"/>
      <w:r>
        <w:rPr>
          <w:rFonts w:hint="eastAsia" w:ascii="仿宋" w:hAnsi="仿宋" w:eastAsia="仿宋" w:cs="Times New Roman"/>
          <w:b/>
          <w:bCs/>
          <w:kern w:val="0"/>
          <w:sz w:val="32"/>
          <w:szCs w:val="32"/>
        </w:rPr>
        <w:t>第五节 大力推进富硒全产业示范区建设</w:t>
      </w:r>
      <w:bookmarkEnd w:id="861"/>
      <w:bookmarkEnd w:id="862"/>
      <w:bookmarkEnd w:id="863"/>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重点围绕“6</w:t>
      </w:r>
      <w:r>
        <w:rPr>
          <w:rFonts w:ascii="仿宋" w:hAnsi="仿宋" w:eastAsia="仿宋" w:cs="Times New Roman"/>
          <w:kern w:val="0"/>
          <w:sz w:val="28"/>
          <w:szCs w:val="28"/>
        </w:rPr>
        <w:t>+X</w:t>
      </w:r>
      <w:r>
        <w:rPr>
          <w:rFonts w:hint="eastAsia" w:ascii="仿宋" w:hAnsi="仿宋" w:eastAsia="仿宋" w:cs="Times New Roman"/>
          <w:kern w:val="0"/>
          <w:sz w:val="28"/>
          <w:szCs w:val="28"/>
        </w:rPr>
        <w:t>”产业体系，从项目选址、硬件配置、人才集聚等全过程进行规范管理，打造一批标准化富硒产业示范基地、智能化的富硒产业示范园区和沉浸式的富硒生态康养小镇。实施富硒产业升级战略，做大做优做强优势主导富硒产业，加快形成“一县一品”发展特色，推动传统富硒产业转型升级，构建具有先行示范引领效应的富硒产业发展新模式，实现在富硒产业发展上“走在前、做示范、善作为”。</w:t>
      </w:r>
    </w:p>
    <w:p>
      <w:pPr>
        <w:widowControl/>
        <w:adjustRightInd w:val="0"/>
        <w:snapToGrid w:val="0"/>
        <w:spacing w:after="0" w:line="560" w:lineRule="exact"/>
        <w:ind w:firstLine="562" w:firstLineChars="200"/>
        <w:jc w:val="left"/>
        <w:outlineLvl w:val="2"/>
        <w:rPr>
          <w:rFonts w:ascii="仿宋" w:hAnsi="仿宋" w:eastAsia="仿宋" w:cs="Times New Roman"/>
          <w:b/>
          <w:kern w:val="0"/>
          <w:sz w:val="28"/>
          <w:szCs w:val="28"/>
        </w:rPr>
      </w:pPr>
      <w:bookmarkStart w:id="864" w:name="_Toc151751528"/>
      <w:r>
        <w:rPr>
          <w:rFonts w:hint="eastAsia" w:ascii="仿宋" w:hAnsi="仿宋" w:eastAsia="仿宋" w:cs="Times New Roman"/>
          <w:b/>
          <w:kern w:val="0"/>
          <w:sz w:val="28"/>
          <w:szCs w:val="28"/>
        </w:rPr>
        <w:t>一、富硒产业示范基地建设工程</w:t>
      </w:r>
      <w:bookmarkEnd w:id="864"/>
    </w:p>
    <w:p>
      <w:pPr>
        <w:widowControl/>
        <w:adjustRightInd w:val="0"/>
        <w:snapToGrid w:val="0"/>
        <w:spacing w:after="0" w:line="560" w:lineRule="exact"/>
        <w:ind w:firstLine="560" w:firstLineChars="200"/>
        <w:jc w:val="both"/>
        <w:rPr>
          <w:rFonts w:ascii="仿宋" w:hAnsi="仿宋" w:eastAsia="仿宋" w:cs="Times New Roman"/>
          <w:kern w:val="0"/>
          <w:sz w:val="22"/>
          <w:szCs w:val="22"/>
        </w:rPr>
      </w:pPr>
      <w:r>
        <w:rPr>
          <w:rFonts w:hint="eastAsia" w:ascii="仿宋" w:hAnsi="仿宋" w:eastAsia="仿宋" w:cs="Times New Roman"/>
          <w:kern w:val="0"/>
          <w:sz w:val="28"/>
          <w:szCs w:val="28"/>
        </w:rPr>
        <w:t>以龙头企业为示范引领，通过市场信息、生产资料、装备技术共享，推广企业+基地+合作社（农户）模式，鼓励基地新建、扩建、升级，带动周边地区农民参与富硒生产。鼓励基地立足特色，科学定位，引进先进装备技术，引导产业转型升级，实现高附加值富硒产品的开发和安全生产能力。重点支持富硒大米、富硒果蔬、富硒竹笋、富硒禽蛋、富硒茶叶、富硒中药材等主导产业，多元化发展富硒油茶、含硒矿泉水、富硒水产、富硒康养等特色产业，建设现代化、规模化、专业化、标准化生产</w:t>
      </w:r>
      <w:r>
        <w:rPr>
          <w:rFonts w:ascii="仿宋" w:hAnsi="仿宋" w:eastAsia="仿宋" w:cs="Times New Roman"/>
          <w:kern w:val="0"/>
          <w:sz w:val="28"/>
          <w:szCs w:val="28"/>
        </w:rPr>
        <w:t>基地</w:t>
      </w:r>
      <w:r>
        <w:rPr>
          <w:rFonts w:hint="eastAsia" w:ascii="仿宋" w:hAnsi="仿宋" w:eastAsia="仿宋" w:cs="Times New Roman"/>
          <w:kern w:val="0"/>
          <w:sz w:val="28"/>
          <w:szCs w:val="28"/>
        </w:rPr>
        <w:t>，形成一批设施完善、功能齐全、产业特色明显的富硒产业重点示范基地。重点突出“一县一品”，培养“单品冠军”、</w:t>
      </w:r>
      <w:r>
        <w:rPr>
          <w:rFonts w:hint="eastAsia" w:ascii="仿宋" w:hAnsi="仿宋" w:eastAsia="仿宋" w:cs="Times New Roman"/>
          <w:kern w:val="2"/>
          <w:sz w:val="28"/>
          <w:szCs w:val="22"/>
        </w:rPr>
        <w:t>形成“一基地一主业”的发展格局，</w:t>
      </w:r>
      <w:r>
        <w:rPr>
          <w:rFonts w:hint="eastAsia" w:ascii="仿宋" w:hAnsi="仿宋" w:eastAsia="仿宋" w:cs="Times New Roman"/>
          <w:kern w:val="0"/>
          <w:sz w:val="28"/>
          <w:szCs w:val="28"/>
        </w:rPr>
        <w:t>分进合击、抱团作战，</w:t>
      </w:r>
      <w:r>
        <w:rPr>
          <w:rFonts w:ascii="仿宋" w:hAnsi="仿宋" w:eastAsia="仿宋" w:cs="Times New Roman"/>
          <w:kern w:val="0"/>
          <w:sz w:val="28"/>
          <w:szCs w:val="28"/>
        </w:rPr>
        <w:t>共同促进富硒产业</w:t>
      </w:r>
      <w:r>
        <w:rPr>
          <w:rFonts w:hint="eastAsia" w:ascii="仿宋" w:hAnsi="仿宋" w:eastAsia="仿宋" w:cs="Times New Roman"/>
          <w:kern w:val="0"/>
          <w:sz w:val="28"/>
          <w:szCs w:val="28"/>
        </w:rPr>
        <w:t>稳健</w:t>
      </w:r>
      <w:r>
        <w:rPr>
          <w:rFonts w:ascii="仿宋" w:hAnsi="仿宋" w:eastAsia="仿宋" w:cs="Times New Roman"/>
          <w:kern w:val="0"/>
          <w:sz w:val="28"/>
          <w:szCs w:val="28"/>
        </w:rPr>
        <w:t>发展</w:t>
      </w:r>
      <w:r>
        <w:rPr>
          <w:rFonts w:hint="eastAsia" w:ascii="仿宋" w:hAnsi="仿宋" w:eastAsia="仿宋" w:cs="Times New Roman"/>
          <w:kern w:val="0"/>
          <w:sz w:val="28"/>
          <w:szCs w:val="28"/>
        </w:rPr>
        <w:t>。</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专栏7  富硒产业示范基地工程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——富硒大米示范基地建设：</w:t>
            </w:r>
            <w:r>
              <w:rPr>
                <w:rFonts w:hint="eastAsia" w:ascii="仿宋" w:hAnsi="仿宋" w:eastAsia="仿宋" w:cs="Times New Roman"/>
                <w:kern w:val="0"/>
                <w:sz w:val="28"/>
                <w:szCs w:val="28"/>
              </w:rPr>
              <w:t>以袁州区、丰城市、高安市、樟树市、上高县、奉新县等地为先行试点地区，组建“宜春大米”产业化联合体，开发富硒特色功能米、米粉、米乳、米油、营养代餐、大米多肽等深加工产品。支持建设具备集成化、自动化、智能化装备水平的示范基地，通过以点带面、辐射全域，引领带动全市富硒大米产业标准化生产。优化大米产地环境，优选富硒大米品种、优化富硒大米加工工艺，打造集种植、加工、科普、体验、展销于一体的富硒大米产业基地，实现富硒大米产业集群成链发展。</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——富硒果蔬示范基地建设：</w:t>
            </w:r>
            <w:r>
              <w:rPr>
                <w:rFonts w:hint="eastAsia" w:ascii="仿宋" w:hAnsi="仿宋" w:eastAsia="仿宋" w:cs="Times New Roman"/>
                <w:bCs/>
                <w:kern w:val="0"/>
                <w:sz w:val="28"/>
                <w:szCs w:val="28"/>
              </w:rPr>
              <w:t>依托奉新县、袁州区、高安市、万载县等地区的富硒果园、富硒耕地集中连片地区，重点</w:t>
            </w:r>
            <w:r>
              <w:rPr>
                <w:rFonts w:hint="eastAsia" w:ascii="仿宋" w:hAnsi="仿宋" w:eastAsia="仿宋" w:cs="Times New Roman"/>
                <w:kern w:val="0"/>
                <w:sz w:val="28"/>
                <w:szCs w:val="28"/>
              </w:rPr>
              <w:t>引导奉新猕</w:t>
            </w:r>
            <w:r>
              <w:rPr>
                <w:rFonts w:hint="eastAsia" w:ascii="仿宋" w:hAnsi="仿宋" w:eastAsia="仿宋" w:cs="Times New Roman"/>
                <w:bCs/>
                <w:kern w:val="0"/>
                <w:sz w:val="28"/>
                <w:szCs w:val="28"/>
              </w:rPr>
              <w:t>猴桃、袁州脐橙、高安辣椒、万载百合等产业做大做强，建设一批标准化、数字化、智慧化生态富硒果蔬基地，促进全市富硒果蔬向高产、优质、高效、周年性供应方向发展，推进宜春市成为</w:t>
            </w:r>
            <w:r>
              <w:rPr>
                <w:rFonts w:hint="eastAsia" w:ascii="仿宋" w:hAnsi="仿宋" w:eastAsia="仿宋" w:cs="Times New Roman"/>
                <w:kern w:val="0"/>
                <w:sz w:val="28"/>
                <w:szCs w:val="28"/>
              </w:rPr>
              <w:t>长三角、粤港澳大湾区和“一带一路”的富硒果蔬供应基地。</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——富硒竹笋示范基地建设</w:t>
            </w:r>
            <w:r>
              <w:rPr>
                <w:rFonts w:hint="eastAsia" w:ascii="仿宋" w:hAnsi="仿宋" w:eastAsia="仿宋" w:cs="Times New Roman"/>
                <w:bCs/>
                <w:kern w:val="0"/>
                <w:sz w:val="28"/>
                <w:szCs w:val="28"/>
              </w:rPr>
              <w:t>：立足富硒竹林地资源禀赋，着力在资源条件优越、产业基础优良的“昌铜四县”及万载县、袁州区等地，在兼顾生态保护要求的前提下，优化竹林管理，以“山上建基地、山下办工厂、山外打市场”为导向发展富硒竹笋产业。开发富硒鲜竹笋、富硒竹笋干、富硒竹笋泡菜等产品，形成高效益的富硒林下经济发展模式。</w:t>
            </w:r>
          </w:p>
          <w:p>
            <w:pPr>
              <w:widowControl/>
              <w:adjustRightInd/>
              <w:snapToGrid/>
              <w:spacing w:after="0" w:line="44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w:t>
            </w:r>
            <w:r>
              <w:rPr>
                <w:rFonts w:hint="eastAsia" w:ascii="仿宋" w:hAnsi="仿宋" w:eastAsia="仿宋" w:cs="Times New Roman"/>
                <w:b/>
                <w:kern w:val="0"/>
                <w:sz w:val="28"/>
                <w:szCs w:val="28"/>
              </w:rPr>
              <w:t>富硒禽蛋示范基地建设：</w:t>
            </w:r>
            <w:r>
              <w:rPr>
                <w:rFonts w:hint="eastAsia" w:ascii="仿宋" w:hAnsi="仿宋" w:eastAsia="仿宋" w:cs="Times New Roman"/>
                <w:bCs/>
                <w:kern w:val="0"/>
                <w:sz w:val="28"/>
                <w:szCs w:val="28"/>
              </w:rPr>
              <w:t>优先在上高、丰城、铜鼓等地区推进传统</w:t>
            </w:r>
            <w:r>
              <w:rPr>
                <w:rFonts w:hint="eastAsia" w:ascii="仿宋" w:hAnsi="仿宋" w:eastAsia="仿宋" w:cs="Times New Roman"/>
                <w:kern w:val="0"/>
                <w:sz w:val="28"/>
                <w:szCs w:val="28"/>
              </w:rPr>
              <w:t>富硒禽蛋企业整合升级，</w:t>
            </w:r>
            <w:r>
              <w:rPr>
                <w:rFonts w:hint="eastAsia" w:ascii="仿宋" w:hAnsi="仿宋" w:eastAsia="仿宋" w:cs="Times New Roman"/>
                <w:bCs/>
                <w:kern w:val="0"/>
                <w:sz w:val="28"/>
                <w:szCs w:val="28"/>
              </w:rPr>
              <w:t>打造标准化富硒禽蛋示范基地，</w:t>
            </w:r>
            <w:r>
              <w:rPr>
                <w:rFonts w:hint="eastAsia" w:ascii="仿宋" w:hAnsi="仿宋" w:eastAsia="仿宋" w:cs="Times New Roman"/>
                <w:kern w:val="0"/>
                <w:sz w:val="28"/>
                <w:szCs w:val="28"/>
              </w:rPr>
              <w:t>形成集育苗、饲养、质检、包装、物流于一体的富硒禽蛋集群式产业链，开发无菌禽蛋、无抗禽蛋、营养强化禽蛋等畅销市场的功能产品，将宜春市打造为大南昌都市圈、长株潭、粤港澳地区的重要富硒禽蛋供应基地。</w:t>
            </w:r>
          </w:p>
          <w:p>
            <w:pPr>
              <w:widowControl/>
              <w:adjustRightInd/>
              <w:snapToGrid/>
              <w:spacing w:after="0" w:line="44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w:t>
            </w:r>
            <w:r>
              <w:rPr>
                <w:rFonts w:hint="eastAsia" w:ascii="仿宋" w:hAnsi="仿宋" w:eastAsia="仿宋" w:cs="Times New Roman"/>
                <w:b/>
                <w:kern w:val="0"/>
                <w:sz w:val="28"/>
                <w:szCs w:val="28"/>
              </w:rPr>
              <w:t>富硒茶叶基地建设：</w:t>
            </w:r>
            <w:r>
              <w:rPr>
                <w:rFonts w:hint="eastAsia" w:ascii="仿宋" w:hAnsi="仿宋" w:eastAsia="仿宋" w:cs="Times New Roman"/>
                <w:kern w:val="0"/>
                <w:sz w:val="28"/>
                <w:szCs w:val="28"/>
              </w:rPr>
              <w:t>以靖安县、铜鼓县等地富硒茶园集中连片区为重点，从种源种苗、生产加工、品质控制、品牌培育、推广营销、茶旅融合等方面进行整体优化，加快传统富硒茶叶基地改造转型升级，推进智慧型生态富硒茶园建设。持续抓生产、育主体、重创新、强品牌，推动富硒茶叶（皇菊）产业提质增效、融合发展。</w:t>
            </w:r>
          </w:p>
          <w:p>
            <w:pPr>
              <w:widowControl/>
              <w:adjustRightInd/>
              <w:snapToGrid/>
              <w:spacing w:after="0" w:line="44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w:t>
            </w:r>
            <w:r>
              <w:rPr>
                <w:rFonts w:hint="eastAsia" w:ascii="仿宋" w:hAnsi="仿宋" w:eastAsia="仿宋" w:cs="Times New Roman"/>
                <w:b/>
                <w:kern w:val="0"/>
                <w:sz w:val="28"/>
                <w:szCs w:val="28"/>
              </w:rPr>
              <w:t>富硒中药材基地建设：</w:t>
            </w:r>
            <w:r>
              <w:rPr>
                <w:rFonts w:hint="eastAsia" w:ascii="仿宋" w:hAnsi="仿宋" w:eastAsia="仿宋" w:cs="Times New Roman"/>
                <w:kern w:val="0"/>
                <w:sz w:val="28"/>
                <w:szCs w:val="28"/>
              </w:rPr>
              <w:t>以樟树市、铜鼓县等中药材连片种植区为重点，利用好硒对特定中药材品种增效提质的特性，重点加快高效益的药食同源富硒中药材种植示范推广，开发高附加值的药食同源富硒中药材加工产品。全力打造标准化富硒中药材产业基地，壮大龙头企业，优化产品结构，增强科研实力，打造药食同源富硒中药材产业链，推动富硒中药材向标准化、集群化、高端化升级跨越。</w:t>
            </w:r>
          </w:p>
          <w:p>
            <w:pPr>
              <w:widowControl/>
              <w:adjustRightInd/>
              <w:snapToGrid/>
              <w:spacing w:after="0" w:line="440" w:lineRule="exact"/>
              <w:ind w:firstLine="560" w:firstLineChars="200"/>
              <w:jc w:val="both"/>
              <w:rPr>
                <w:rFonts w:ascii="仿宋" w:hAnsi="仿宋" w:eastAsia="仿宋" w:cs="Times New Roman"/>
                <w:bCs/>
                <w:kern w:val="0"/>
                <w:sz w:val="28"/>
                <w:szCs w:val="28"/>
              </w:rPr>
            </w:pPr>
            <w:r>
              <w:rPr>
                <w:rFonts w:hint="eastAsia" w:ascii="仿宋" w:hAnsi="仿宋" w:eastAsia="仿宋" w:cs="Times New Roman"/>
                <w:kern w:val="0"/>
                <w:sz w:val="28"/>
                <w:szCs w:val="28"/>
              </w:rPr>
              <w:t>——</w:t>
            </w:r>
            <w:r>
              <w:rPr>
                <w:rFonts w:hint="eastAsia" w:ascii="仿宋" w:hAnsi="仿宋" w:eastAsia="仿宋" w:cs="Times New Roman"/>
                <w:b/>
                <w:kern w:val="0"/>
                <w:sz w:val="28"/>
                <w:szCs w:val="28"/>
              </w:rPr>
              <w:t>富硒特色示范基地建设：</w:t>
            </w:r>
            <w:r>
              <w:rPr>
                <w:rFonts w:hint="eastAsia" w:ascii="仿宋" w:hAnsi="仿宋" w:eastAsia="仿宋" w:cs="Times New Roman"/>
                <w:bCs/>
                <w:kern w:val="0"/>
                <w:sz w:val="28"/>
                <w:szCs w:val="28"/>
              </w:rPr>
              <w:t>根据各地资源禀赋差异，挖掘具有发展潜力的本土特色产业，按照“一主多辅”的原则，引导做好“土特产”文章；支持明月山、铜鼓县、靖安县等地建设含硒矿泉水示范基地；支持万载县、袁州区等地建设富硒油茶基地，支持明月山、万载县、铜鼓县、丰城市等地建设富硒休闲康养基地，推进富硒产业多样化发展，实现富硒产品多元化生产。</w:t>
            </w:r>
          </w:p>
        </w:tc>
      </w:tr>
    </w:tbl>
    <w:p>
      <w:pPr>
        <w:widowControl/>
        <w:adjustRightInd w:val="0"/>
        <w:snapToGrid w:val="0"/>
        <w:spacing w:after="0" w:line="560" w:lineRule="exact"/>
        <w:ind w:firstLine="562" w:firstLineChars="200"/>
        <w:jc w:val="left"/>
        <w:outlineLvl w:val="2"/>
        <w:rPr>
          <w:rFonts w:ascii="仿宋" w:hAnsi="仿宋" w:eastAsia="仿宋" w:cs="Times New Roman"/>
          <w:b/>
          <w:kern w:val="0"/>
          <w:sz w:val="28"/>
          <w:szCs w:val="28"/>
        </w:rPr>
      </w:pPr>
      <w:bookmarkStart w:id="865" w:name="_Toc151751529"/>
      <w:r>
        <w:rPr>
          <w:rFonts w:hint="eastAsia" w:ascii="仿宋" w:hAnsi="仿宋" w:eastAsia="仿宋" w:cs="Times New Roman"/>
          <w:b/>
          <w:kern w:val="0"/>
          <w:sz w:val="28"/>
          <w:szCs w:val="28"/>
        </w:rPr>
        <w:t>二、富硒产业示范园区建设工程</w:t>
      </w:r>
      <w:bookmarkEnd w:id="865"/>
    </w:p>
    <w:p>
      <w:pPr>
        <w:widowControl/>
        <w:adjustRightInd w:val="0"/>
        <w:snapToGrid w:val="0"/>
        <w:spacing w:after="0" w:line="560" w:lineRule="exact"/>
        <w:ind w:firstLine="560" w:firstLineChars="200"/>
        <w:jc w:val="both"/>
        <w:rPr>
          <w:rFonts w:hint="eastAsia" w:ascii="仿宋" w:hAnsi="仿宋" w:eastAsia="仿宋" w:cs="Times New Roman"/>
          <w:kern w:val="0"/>
          <w:sz w:val="28"/>
          <w:szCs w:val="28"/>
        </w:rPr>
      </w:pPr>
      <w:r>
        <w:rPr>
          <w:rFonts w:hint="eastAsia" w:ascii="仿宋" w:hAnsi="仿宋" w:eastAsia="仿宋" w:cs="Times New Roman"/>
          <w:kern w:val="0"/>
          <w:sz w:val="28"/>
          <w:szCs w:val="28"/>
        </w:rPr>
        <w:t>明确富硒产业园区企业发展生态位，构建深度融合、协同发展、良性循环的园区富硒产业生态系统，促进产业增效、产品增值，吸引更多资金、人才、技术集聚，不断扩大富硒产业园区核心竞争力。进一步促进科技与企业深度融合，鼓励高等学校、科研院所、重点龙头企业加强合作和资源整合，创建一批产学研、农科教紧密结合的富硒产业示范园区。鼓励和支持高新技术企业和人才到示范园区落户。依靠现有各类园区，整合农民工返乡创业园资源，强化财政扶持和金融服务，为特聘农技员、科技特派员、乡村大学生、返乡农民工、职业农民等群体创新创业提供孵化服务，按照标准建设一批设施完善、功能齐全、服务周到的富硒产业重点示范园区。</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专栏8  富硒产业示范园区工程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——靖安富硒白茶产业园：</w:t>
            </w:r>
            <w:r>
              <w:rPr>
                <w:rFonts w:hint="eastAsia" w:ascii="仿宋" w:hAnsi="仿宋" w:eastAsia="仿宋" w:cs="Times New Roman"/>
                <w:kern w:val="0"/>
                <w:sz w:val="28"/>
                <w:szCs w:val="28"/>
              </w:rPr>
              <w:t>支持龙头企业联合茶叶专业合作社和种植户组建茶叶基地经营联盟，实行规范种植和管理，建立可溯源体系。加强地方品种资源保护与开发，选育具有自主知识产权的地方优良品种。加强“靖安白茶”公共品牌与重点企业品牌建设。推动茶饮、茶包等精深加工衍生品开发，推进产业链集群集约化发展。加快生态茶园建设，推动茶旅融合发展。</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——奉新富硒猕猴桃产业园：</w:t>
            </w:r>
            <w:r>
              <w:rPr>
                <w:rFonts w:hint="eastAsia" w:ascii="仿宋" w:hAnsi="仿宋" w:eastAsia="仿宋" w:cs="Times New Roman"/>
                <w:kern w:val="0"/>
                <w:sz w:val="28"/>
                <w:szCs w:val="28"/>
              </w:rPr>
              <w:t>引导猕猴桃产业向精深加工和休闲农旅方向逐步延伸。强化种植监管，推行“三定三控”技术为核心的省级地方标准《绿色食品猕猴桃栽培技术规程》，实行全程生态质量管控。加强红阳、徐香、金果、金魁等新品种培育与示范推广。加强品牌宣传，依托成熟的营销网络，让“奉新猕猴桃”进驻“京津冀、长三角、珠三角”等国内中高档消费市场。</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——丰城富硒禽蛋产业园：</w:t>
            </w:r>
            <w:r>
              <w:rPr>
                <w:rFonts w:hint="eastAsia" w:ascii="仿宋" w:hAnsi="仿宋" w:eastAsia="仿宋" w:cs="Times New Roman"/>
                <w:kern w:val="0"/>
                <w:sz w:val="28"/>
                <w:szCs w:val="28"/>
              </w:rPr>
              <w:t>结合省级富硒功能农业重点县创建要求，推广富硒麻鸭标准化养殖模式。抓好精深加工能力提升创建项目，加快丰城市富硒食品工程技术研究中心建设，规划建设实验技术平台、技术中试平台、协同创新平台等三大平台。大力培育丰城麻鸭品牌体系，打造“单品冠军”。注重产品质量检测，严格把关产品质量和安全。依托丰城优势农业产业特色，开展园区招商引资，建成现代化农业全产业链。</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——铜鼓富硒黄精产业园：</w:t>
            </w:r>
            <w:r>
              <w:rPr>
                <w:rFonts w:hint="eastAsia" w:ascii="仿宋" w:hAnsi="仿宋" w:eastAsia="仿宋" w:cs="Times New Roman"/>
                <w:bCs/>
                <w:kern w:val="0"/>
                <w:sz w:val="28"/>
                <w:szCs w:val="28"/>
              </w:rPr>
              <w:t>用好铜鼓生态资源优势，鼓励发展林下黄精种植。</w:t>
            </w:r>
            <w:r>
              <w:rPr>
                <w:rFonts w:hint="eastAsia" w:ascii="仿宋" w:hAnsi="仿宋" w:eastAsia="仿宋" w:cs="Times New Roman"/>
                <w:kern w:val="0"/>
                <w:sz w:val="28"/>
                <w:szCs w:val="28"/>
              </w:rPr>
              <w:t>开展科技帮扶，聚焦富硒黄精病虫害、根腐病和施肥时间节点、技术等问题开展科研攻关。用好“中国黄精之乡”金字招牌，创建“铜鼓富硒黄精”品牌。引导黄精产业向精深加工方向发展，开发黄精丸、黄精富硒营养液等保健食品，延长产业链，提高附加值。</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——樟树富硒中药材产业园：</w:t>
            </w:r>
            <w:r>
              <w:rPr>
                <w:rFonts w:hint="eastAsia" w:ascii="仿宋" w:hAnsi="仿宋" w:eastAsia="仿宋" w:cs="Times New Roman"/>
                <w:bCs/>
                <w:kern w:val="0"/>
                <w:sz w:val="28"/>
                <w:szCs w:val="28"/>
              </w:rPr>
              <w:t>优先</w:t>
            </w:r>
            <w:r>
              <w:rPr>
                <w:rFonts w:hint="eastAsia" w:ascii="仿宋" w:hAnsi="仿宋" w:eastAsia="仿宋" w:cs="Times New Roman"/>
                <w:kern w:val="0"/>
                <w:sz w:val="28"/>
                <w:szCs w:val="28"/>
              </w:rPr>
              <w:t>在阁山镇、义成镇、吴城乡、双金园艺场等区域布局，依托阁山镇岐黄小镇，打造“硒养药都”集成示范中心园区。深化中药材健康上下游产业链建设，以硒促中药材提质增效。加快富硒中药材标准制定。按照“以富硒医药吸引客流、以富硒保健服务客流，借客流消费传播樟树硒药”的思路，打响樟树富硒品牌。</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——宜丰富硒竹笋产业园：</w:t>
            </w:r>
            <w:r>
              <w:rPr>
                <w:rFonts w:hint="eastAsia" w:ascii="仿宋" w:hAnsi="仿宋" w:eastAsia="仿宋" w:cs="Times New Roman"/>
                <w:kern w:val="0"/>
                <w:sz w:val="28"/>
                <w:szCs w:val="28"/>
              </w:rPr>
              <w:t>发挥“中国竹子之乡”金字招牌，打造“宜丰富硒竹笋”品牌。在工业园统一规划建设占地800亩的富硒竹笋产业园，引进年产能万吨以上、年产值亿元以上的富硒竹笋加工企业入驻。协助富硒竹笋加工企业开展富硒竹笋、绿色、有机产品申报以及品牌培育。促进竹笋产业与加工、旅游、文创、教育、生态﹢大健康等产业融合，拓展增效增收空间。</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——上高富硒禽蛋产业园：</w:t>
            </w:r>
            <w:r>
              <w:rPr>
                <w:rFonts w:hint="eastAsia" w:ascii="仿宋" w:hAnsi="仿宋" w:eastAsia="仿宋" w:cs="Times New Roman"/>
                <w:kern w:val="0"/>
                <w:sz w:val="28"/>
                <w:szCs w:val="28"/>
              </w:rPr>
              <w:t>采取“龙头企业+合作社+基地”的模式，带动禽蛋养殖产业实现“三化”，提升“三品”。加强对蛋鸡标准化养殖、禽产品深加工等问题的关键技术攻关。新建富硒鸡蛋清洗包装生产线，提高联合体生产能力。加强线上线下同步销售推广，依托江西“生态鄱阳湖·绿色农产品”宣传渠道，争取在中央、省级媒体上集中宣传，打响上高富硒禽蛋品牌。</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——高安富硒辣椒产业园：</w:t>
            </w:r>
            <w:r>
              <w:rPr>
                <w:rFonts w:hint="eastAsia" w:ascii="仿宋" w:hAnsi="仿宋" w:eastAsia="仿宋" w:cs="Times New Roman"/>
                <w:kern w:val="0"/>
                <w:sz w:val="28"/>
                <w:szCs w:val="28"/>
              </w:rPr>
              <w:t>加强与邹学校院士团队合作研究，进一步培优富硒辣椒品种，优化种植结构，提升产品品质。完善辣椒种植技术，推进辣椒种植全程机械化。引入数字辣椒概念，建设产业园区大数据管理平台，汇聚气候、土壤、大棚、施肥、人工、市场数据，赋能富硒辣椒生产销售。</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——万载富硒有机农产品产业园：</w:t>
            </w:r>
            <w:r>
              <w:rPr>
                <w:rFonts w:hint="eastAsia" w:ascii="仿宋" w:hAnsi="仿宋" w:eastAsia="仿宋" w:cs="Times New Roman"/>
                <w:kern w:val="0"/>
                <w:sz w:val="28"/>
                <w:szCs w:val="28"/>
              </w:rPr>
              <w:t>通过品种选育和农艺调控等技术，打通有机农产品向绿色有机富硒农产品转型升级之路。开发富硒果蔬糕、富硒百合粉、富硒葛粉等加工产品。建设万载富硒产品物流交易体系，实现集群化效应。整合利用乡村旅游资源，推进农业产业化发展与秀美乡村结合，吸引游客参观富硒园区，体验富硒生产，传播富硒品牌。</w:t>
            </w:r>
          </w:p>
          <w:p>
            <w:pPr>
              <w:widowControl/>
              <w:adjustRightInd/>
              <w:snapToGrid/>
              <w:spacing w:after="0" w:line="440" w:lineRule="exact"/>
              <w:ind w:firstLine="562" w:firstLineChars="200"/>
              <w:jc w:val="both"/>
              <w:rPr>
                <w:rFonts w:ascii="仿宋" w:hAnsi="仿宋" w:eastAsia="仿宋" w:cs="Times New Roman"/>
                <w:b/>
                <w:kern w:val="0"/>
                <w:sz w:val="28"/>
                <w:szCs w:val="28"/>
              </w:rPr>
            </w:pPr>
            <w:r>
              <w:rPr>
                <w:rFonts w:hint="eastAsia" w:ascii="仿宋" w:hAnsi="仿宋" w:eastAsia="仿宋" w:cs="Times New Roman"/>
                <w:b/>
                <w:kern w:val="0"/>
                <w:sz w:val="28"/>
                <w:szCs w:val="28"/>
              </w:rPr>
              <w:t>——袁州富硒食品加工产业园：</w:t>
            </w:r>
            <w:r>
              <w:rPr>
                <w:rFonts w:hint="eastAsia" w:ascii="仿宋" w:hAnsi="仿宋" w:eastAsia="仿宋" w:cs="Times New Roman"/>
                <w:bCs/>
                <w:kern w:val="0"/>
                <w:sz w:val="28"/>
                <w:szCs w:val="28"/>
              </w:rPr>
              <w:t>依托袁州区资源集聚优势，</w:t>
            </w:r>
            <w:r>
              <w:rPr>
                <w:rFonts w:hint="eastAsia" w:ascii="仿宋" w:hAnsi="仿宋" w:eastAsia="仿宋" w:cs="Times New Roman"/>
                <w:kern w:val="0"/>
                <w:sz w:val="28"/>
                <w:szCs w:val="28"/>
              </w:rPr>
              <w:t>以初级富硒农产品为基础原料，建设富硒食品加工产业园。引进一批富硒大健康食品产业园项目，打造现代化的新型富硒健康食品产业园区。力争升级为国家级富硒农业产业园、国家4A级旅游景区、国家乡村振兴示范区和江西省中小学生富硒研学实践教育基地。</w:t>
            </w:r>
          </w:p>
        </w:tc>
      </w:tr>
    </w:tbl>
    <w:p>
      <w:pPr>
        <w:widowControl/>
        <w:adjustRightInd w:val="0"/>
        <w:snapToGrid w:val="0"/>
        <w:spacing w:after="0" w:line="560" w:lineRule="exact"/>
        <w:ind w:firstLine="562" w:firstLineChars="200"/>
        <w:jc w:val="left"/>
        <w:outlineLvl w:val="2"/>
        <w:rPr>
          <w:rFonts w:ascii="仿宋" w:hAnsi="仿宋" w:eastAsia="仿宋" w:cs="Times New Roman"/>
          <w:b/>
          <w:kern w:val="0"/>
          <w:sz w:val="28"/>
          <w:szCs w:val="28"/>
        </w:rPr>
      </w:pPr>
      <w:r>
        <w:rPr>
          <w:rFonts w:hint="eastAsia" w:ascii="仿宋" w:hAnsi="仿宋" w:eastAsia="仿宋" w:cs="Times New Roman"/>
          <w:b/>
          <w:kern w:val="0"/>
          <w:sz w:val="28"/>
          <w:szCs w:val="28"/>
        </w:rPr>
        <w:t>三、富硒生态康养小镇建设工程</w:t>
      </w:r>
    </w:p>
    <w:p>
      <w:pPr>
        <w:widowControl/>
        <w:adjustRightInd w:val="0"/>
        <w:snapToGrid w:val="0"/>
        <w:spacing w:after="0" w:line="360" w:lineRule="auto"/>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以“大农业、大生态、大健康”为发展思路，结合民俗文化打造美丽乡村景观，硒科普文化景观、开展创意农业、农耕文化体验、硒果蔬采摘，营造生态休闲景观。以明月山、丰城市、樟树市为重点区域，积极探索以硒为本、以农为基、以旅为体、以养为魂的富硒农旅康养深度融合发展模式，带动全市各县（市、区）富硒康养旅游小镇建设。打造一批集富硒康复疗养区、富硒研学体验区、富硒休闲度假区、富硒文化展示区、富硒温泉娱乐区、富硒美食餐饮区等于一体的富硒生态康养旅游特色小镇。力争到2</w:t>
      </w:r>
      <w:r>
        <w:rPr>
          <w:rFonts w:ascii="仿宋" w:hAnsi="仿宋" w:eastAsia="仿宋" w:cs="Times New Roman"/>
          <w:kern w:val="0"/>
          <w:sz w:val="28"/>
          <w:szCs w:val="28"/>
        </w:rPr>
        <w:t>025</w:t>
      </w:r>
      <w:r>
        <w:rPr>
          <w:rFonts w:hint="eastAsia" w:ascii="仿宋" w:hAnsi="仿宋" w:eastAsia="仿宋" w:cs="Times New Roman"/>
          <w:kern w:val="0"/>
          <w:sz w:val="28"/>
          <w:szCs w:val="28"/>
        </w:rPr>
        <w:t>年，高质量高标准建成具有带动和辐射效应的富硒生态康养特色小镇3个；到2</w:t>
      </w:r>
      <w:r>
        <w:rPr>
          <w:rFonts w:ascii="仿宋" w:hAnsi="仿宋" w:eastAsia="仿宋" w:cs="Times New Roman"/>
          <w:kern w:val="0"/>
          <w:sz w:val="28"/>
          <w:szCs w:val="28"/>
        </w:rPr>
        <w:t>030</w:t>
      </w:r>
      <w:r>
        <w:rPr>
          <w:rFonts w:hint="eastAsia" w:ascii="仿宋" w:hAnsi="仿宋" w:eastAsia="仿宋" w:cs="Times New Roman"/>
          <w:kern w:val="0"/>
          <w:sz w:val="28"/>
          <w:szCs w:val="28"/>
        </w:rPr>
        <w:t>年，全面铺开，每个县（市、区）至少建成1个富硒生态康养特色小镇，实现全域富硒生态康养特色小镇各显特色、联动发展，纳入宜春全域旅游精品线路，将宜春建成世界富硒休闲康养旅游胜地。</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专栏9  富硒生态康养小镇工程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——温汤镇富硒温泉旅游特色小镇：</w:t>
            </w:r>
            <w:r>
              <w:rPr>
                <w:rFonts w:hint="eastAsia" w:ascii="仿宋" w:hAnsi="仿宋" w:eastAsia="仿宋" w:cs="Times New Roman"/>
                <w:bCs/>
                <w:kern w:val="0"/>
                <w:sz w:val="28"/>
                <w:szCs w:val="28"/>
              </w:rPr>
              <w:t>依托明月山独特的硒温泉资源，做大做强“润田翠”天然含硒矿泉水、开发富硒温泉化妆品，逐步形成“浴、饮、疗、食、美容”的温泉产业链条。将富硒标准化示范基地、富硒产业园建设成为休闲旅游景点，打造 “硒游记”旅游品牌。发展富硒养生休闲度假旅游产业，吸引游客参观富硒产业基地和示范园区，体验富硒产品生产加工，品尝富硒宴、了解硒标准、识别硒标识、购买富硒产品，形成三产融合的产业发展格局。</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——董家镇富硒农业产业特色小镇：</w:t>
            </w:r>
            <w:r>
              <w:rPr>
                <w:rFonts w:hint="eastAsia" w:ascii="仿宋" w:hAnsi="仿宋" w:eastAsia="仿宋" w:cs="Times New Roman"/>
                <w:bCs/>
                <w:kern w:val="0"/>
                <w:sz w:val="28"/>
                <w:szCs w:val="28"/>
              </w:rPr>
              <w:t>依托“中国生态硒谷”招牌，发挥天然富硒土壤资源优势，打造集富硒产品生产、加工、旅游、教育为一体的生态富硒产业特色小镇。以董家镇富硒产业园为中心，开展富硒综合开发利用示范，强化“有机农产品生产、观光休闲和乡间健康生活、农村发展模式与农业科技示范、生态环境改善”四大功能，形成“一带一园一村”总体框架，统筹城乡、城乡一体化发展。</w:t>
            </w:r>
          </w:p>
          <w:p>
            <w:pPr>
              <w:widowControl/>
              <w:adjustRightInd/>
              <w:snapToGrid/>
              <w:spacing w:after="0" w:line="440" w:lineRule="exact"/>
              <w:ind w:firstLine="562" w:firstLineChars="200"/>
              <w:jc w:val="both"/>
              <w:rPr>
                <w:rFonts w:ascii="仿宋" w:hAnsi="仿宋" w:eastAsia="仿宋" w:cs="Times New Roman"/>
                <w:b/>
                <w:kern w:val="0"/>
                <w:sz w:val="28"/>
                <w:szCs w:val="28"/>
              </w:rPr>
            </w:pPr>
            <w:r>
              <w:rPr>
                <w:rFonts w:hint="eastAsia" w:ascii="仿宋" w:hAnsi="仿宋" w:eastAsia="仿宋" w:cs="Times New Roman"/>
                <w:b/>
                <w:kern w:val="0"/>
                <w:sz w:val="28"/>
                <w:szCs w:val="28"/>
              </w:rPr>
              <w:t>——阁山镇富硒中药材特色小镇：</w:t>
            </w:r>
            <w:r>
              <w:rPr>
                <w:rFonts w:hint="eastAsia" w:ascii="仿宋" w:hAnsi="仿宋" w:eastAsia="仿宋" w:cs="Times New Roman"/>
                <w:bCs/>
                <w:kern w:val="0"/>
                <w:sz w:val="28"/>
                <w:szCs w:val="28"/>
              </w:rPr>
              <w:t>围绕富硒中药材健康产业、硒养服务、富硒会展培训三大板块，在富硒种植休闲体验、富硒保健食品、健康产品、富硒中医药养生饮食、富硒中草药日化产品、硒科普培训等多方面开展试验示范展陈。构建“产、游、养、学、研、贸”为一体的小镇特色产业体系，按照“以富硒医药吸引客流、以富硒保健服务客流，借客流消费传播樟树硒药”的思路，打响樟树富硒品牌。</w:t>
            </w:r>
          </w:p>
          <w:p>
            <w:pPr>
              <w:widowControl/>
              <w:adjustRightInd/>
              <w:snapToGrid/>
              <w:spacing w:after="0" w:line="440" w:lineRule="exact"/>
              <w:ind w:firstLine="562" w:firstLineChars="200"/>
              <w:jc w:val="both"/>
              <w:rPr>
                <w:rFonts w:ascii="仿宋" w:hAnsi="仿宋" w:eastAsia="仿宋" w:cs="Times New Roman"/>
                <w:b/>
                <w:kern w:val="0"/>
                <w:sz w:val="28"/>
                <w:szCs w:val="28"/>
              </w:rPr>
            </w:pPr>
            <w:r>
              <w:rPr>
                <w:rFonts w:hint="eastAsia" w:ascii="仿宋" w:hAnsi="仿宋" w:eastAsia="仿宋" w:cs="Times New Roman"/>
                <w:b/>
                <w:kern w:val="0"/>
                <w:sz w:val="28"/>
                <w:szCs w:val="28"/>
              </w:rPr>
              <w:t>——全域富硒生态康养特色小镇：</w:t>
            </w:r>
            <w:r>
              <w:rPr>
                <w:rFonts w:hint="eastAsia" w:ascii="仿宋" w:hAnsi="仿宋" w:eastAsia="仿宋" w:cs="Times New Roman"/>
                <w:bCs/>
                <w:kern w:val="0"/>
                <w:sz w:val="28"/>
                <w:szCs w:val="28"/>
              </w:rPr>
              <w:t>充分挖掘宜春“红色文化、绿色文化、蓝色文化、古色文化”等地域特色文化，以森林公园、产业园区为载体，结合富硒农业、富硒食品、富硒温泉、富硒康养等特色产业，围绕“一县一品”建设，全面推进各县（市、区）沉浸式富硒生态康养特色小镇建设，大力发展“硒+休闲康养”产业，打造公园游玩—休闲采摘——研学科普的富硒生态康养旅游路线，营造全域硒养氛围。鼓励各富硒生态康养特色小镇各显特色、联动发展，纳入宜春全域旅游精品线路。</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66" w:name="_Toc151219529"/>
      <w:bookmarkStart w:id="867" w:name="_Toc151751530"/>
      <w:r>
        <w:rPr>
          <w:rFonts w:hint="eastAsia" w:ascii="仿宋" w:hAnsi="仿宋" w:eastAsia="仿宋" w:cs="Times New Roman"/>
          <w:b/>
          <w:bCs/>
          <w:kern w:val="0"/>
          <w:sz w:val="32"/>
          <w:szCs w:val="32"/>
        </w:rPr>
        <w:t>第六节 大力推进富硒产业现代化建设</w:t>
      </w:r>
      <w:bookmarkEnd w:id="866"/>
      <w:bookmarkEnd w:id="867"/>
    </w:p>
    <w:p>
      <w:pPr>
        <w:widowControl/>
        <w:adjustRightInd w:val="0"/>
        <w:snapToGrid w:val="0"/>
        <w:spacing w:after="0" w:line="560" w:lineRule="exact"/>
        <w:ind w:firstLine="560" w:firstLineChars="200"/>
        <w:jc w:val="both"/>
        <w:textAlignment w:val="center"/>
        <w:rPr>
          <w:rFonts w:ascii="仿宋" w:hAnsi="仿宋" w:eastAsia="仿宋" w:cs="Times New Roman"/>
          <w:kern w:val="0"/>
          <w:sz w:val="28"/>
          <w:szCs w:val="28"/>
        </w:rPr>
      </w:pPr>
      <w:r>
        <w:rPr>
          <w:rFonts w:hint="eastAsia" w:ascii="仿宋" w:hAnsi="仿宋" w:eastAsia="仿宋" w:cs="Times New Roman"/>
          <w:kern w:val="0"/>
          <w:sz w:val="28"/>
          <w:szCs w:val="28"/>
        </w:rPr>
        <w:t>以智慧经济（数字经济）为主导、大健康产业为核心、现代农业为基础、融合五大产业（农业、工业、服务业、信息业、知识业），构建现代化的富硒产业发展体系，推动富硒产业转型升级。运用互联网、云计算、物联网等技术，将富硒产业发展的横向产业群与纵向产业链融合一体，并通过“云战略”使之立体化，实现富硒资源数据“一键获取”，富硒技术服务“一网覆盖”，建设具有完整性、先进性、安全性的现代化富硒产业体系。争取到2030年将宜春富硒产业打造成为“数字化、大健康文化、科技赋能、实体引领、资本化”的未来新型数字“硒</w:t>
      </w:r>
      <w:r>
        <w:rPr>
          <w:rFonts w:ascii="仿宋" w:hAnsi="仿宋" w:eastAsia="仿宋" w:cs="Times New Roman"/>
          <w:kern w:val="0"/>
          <w:sz w:val="28"/>
          <w:szCs w:val="28"/>
        </w:rPr>
        <w:t>+X”产业集群，</w:t>
      </w:r>
      <w:r>
        <w:rPr>
          <w:rFonts w:hint="eastAsia" w:ascii="仿宋" w:hAnsi="仿宋" w:eastAsia="仿宋" w:cs="Times New Roman"/>
          <w:kern w:val="0"/>
          <w:sz w:val="28"/>
          <w:szCs w:val="28"/>
        </w:rPr>
        <w:t>逐步形成以生态、绿色、循环、低碳为标志的现代化富硒产业发展模式，实现“世界硒谷</w:t>
      </w:r>
      <w:r>
        <w:rPr>
          <w:rFonts w:hint="eastAsia" w:ascii="仿宋" w:hAnsi="仿宋" w:eastAsia="仿宋" w:cs="Times New Roman"/>
          <w:kern w:val="0"/>
          <w:sz w:val="24"/>
          <w:szCs w:val="24"/>
        </w:rPr>
        <w:t>·</w:t>
      </w:r>
      <w:r>
        <w:rPr>
          <w:rFonts w:hint="eastAsia" w:ascii="仿宋" w:hAnsi="仿宋" w:eastAsia="仿宋" w:cs="Times New Roman"/>
          <w:kern w:val="0"/>
          <w:sz w:val="28"/>
          <w:szCs w:val="28"/>
        </w:rPr>
        <w:t>生态宜春”建设目标</w:t>
      </w:r>
      <w:r>
        <w:rPr>
          <w:rFonts w:ascii="仿宋" w:hAnsi="仿宋" w:eastAsia="仿宋" w:cs="Times New Roman"/>
          <w:kern w:val="0"/>
          <w:sz w:val="28"/>
          <w:szCs w:val="28"/>
        </w:rPr>
        <w:t>。</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专栏10  大力推进富硒产业现代化建设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——富硒产业绿色低碳示范工程：</w:t>
            </w:r>
            <w:r>
              <w:rPr>
                <w:rFonts w:hint="eastAsia" w:ascii="仿宋" w:hAnsi="仿宋" w:eastAsia="仿宋" w:cs="Times New Roman"/>
                <w:bCs/>
                <w:kern w:val="0"/>
                <w:sz w:val="28"/>
                <w:szCs w:val="28"/>
              </w:rPr>
              <w:t>提倡使用绿色低碳富硒生产资料，鼓励发展低能耗、低污染、低排放的富硒生态产业。改良优化富硒产品生产工艺，提升富硒产品生产加工过程中的硒转化效率，加强对生产废弃物中硒元素的提取和回收利用，推动富硒产业发展理念创新。</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——富硒产业数字农业示范工程：</w:t>
            </w:r>
            <w:r>
              <w:rPr>
                <w:rFonts w:hint="eastAsia" w:ascii="仿宋" w:hAnsi="仿宋" w:eastAsia="仿宋" w:cs="Times New Roman"/>
                <w:bCs/>
                <w:kern w:val="0"/>
                <w:sz w:val="28"/>
                <w:szCs w:val="28"/>
              </w:rPr>
              <w:t>构建农业资源大数据体系，采用传感器、自动化控制等技术，对生产环境进行实时监测、数据收集和远程管理。推动农田作业全过程自动化和精准化。利用信息技术、人工智能等数字化手段，提高生产效率，优化资源利用，保障产品质量，推动富硒产业可持续发展。</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——富硒产业数字智慧赋能工程：</w:t>
            </w:r>
            <w:r>
              <w:rPr>
                <w:rFonts w:hint="eastAsia" w:ascii="仿宋" w:hAnsi="仿宋" w:eastAsia="仿宋" w:cs="Times New Roman"/>
                <w:bCs/>
                <w:kern w:val="0"/>
                <w:sz w:val="28"/>
                <w:szCs w:val="28"/>
              </w:rPr>
              <w:t>运用互联网、云计算、物联网等技术，建设以富硒产品交易、富硒科技成果交易、富硒与人体健康信息交易、金融交易为核心的宜春富硒资源与技术交易中心。依托宜阳新区大数据产业园，以建设高速高效的信息传输网络、智慧化的富硒产业信息数据采集与处理系统为重点，建立富硒产业数字化管理服务平台，推动富硒产业科技水平提升。</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——富硒产业三产融合示范工程：</w:t>
            </w:r>
            <w:r>
              <w:rPr>
                <w:rFonts w:hint="eastAsia" w:ascii="仿宋" w:hAnsi="仿宋" w:eastAsia="仿宋" w:cs="Times New Roman"/>
                <w:bCs/>
                <w:kern w:val="0"/>
                <w:sz w:val="28"/>
                <w:szCs w:val="28"/>
              </w:rPr>
              <w:t>采取新建、扩建或技改等方式，建设一批投资规模大、科技含量高、产业链条长、带动能力强的产品加工项目，大力开发富硒休闲食品、功能性食品、预制食品、生物制品等精深加工产品。引导富硒龙头企业带动富硒休闲农业、富硒文旅康养新业态，促进三产深度融合，推动富硒产业发展模式升级。</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——富硒产业延链补链强链工程：</w:t>
            </w:r>
            <w:r>
              <w:rPr>
                <w:rFonts w:hint="eastAsia" w:ascii="仿宋" w:hAnsi="仿宋" w:eastAsia="仿宋" w:cs="Times New Roman"/>
                <w:bCs/>
                <w:kern w:val="0"/>
                <w:sz w:val="28"/>
                <w:szCs w:val="28"/>
              </w:rPr>
              <w:t>摸清现有富硒产业链，以市场需求为导向，加快高效益富硒产业链建设。以链长制为总抓手，推动生产、加工、流通一体化发展，从资源、政策、资金、科技、人才、品牌、推广求突破，集聚要素、打通环节，实现标准化补链提品质，规模化固链强主体，科技化延链增动能，品牌化强链扩影响，探索富硒产业发展新路径。</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68" w:name="_Toc151219530"/>
      <w:bookmarkStart w:id="869" w:name="_Toc151751531"/>
      <w:r>
        <w:rPr>
          <w:rFonts w:hint="eastAsia" w:ascii="仿宋" w:hAnsi="仿宋" w:eastAsia="仿宋" w:cs="Times New Roman"/>
          <w:b/>
          <w:bCs/>
          <w:kern w:val="0"/>
          <w:sz w:val="32"/>
          <w:szCs w:val="32"/>
        </w:rPr>
        <w:t>第七节 大力推进富硒产业质量整体提升</w:t>
      </w:r>
      <w:bookmarkEnd w:id="868"/>
      <w:bookmarkEnd w:id="869"/>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加快筹建宜春市硒产业标准化技术委员会，加快富硒标准体系建设，发挥标准的引领和带动作用。加快推动富硒农产品生产全过程技术规程（规范）和检验检测方法的制订，加快富硒产品质检中心建设，推动富硒产品的检测和认证工作，确保富硒产品的有效性和权威性。强化认证监管体系建设，加大对认证和检测机构的监管力度﹐净化认证检测市场秩序，营造市场环境，提升富硒产品和品牌的信用度。力争到2025年，江西省富硒食品质量检验检测中心（宜春）建成并投入使用；在袁州区、丰城市、宜丰县、高安市等地打造公共检测平台，其它县（市、区）设立硒含量快速检测点，便于各县市富硒企业进行富硒产品的检测认证；完成富硒盐皮蛋加工技术、富硒油菜标准等6项省级地方标准以及覆盖生产经营全过程的“宜春禽蛋”团体标准、“宜春大米”区域公用品牌团体标准的制定。到2030年，基本上形成健全的富硒产业全产业链标准体系。</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专栏11  大力推进富硒产业质量整体提升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——富硒标准体系建设工程：</w:t>
            </w:r>
            <w:r>
              <w:rPr>
                <w:rFonts w:hint="eastAsia" w:ascii="仿宋" w:hAnsi="仿宋" w:eastAsia="仿宋" w:cs="Times New Roman"/>
                <w:kern w:val="0"/>
                <w:sz w:val="28"/>
                <w:szCs w:val="28"/>
              </w:rPr>
              <w:t>重点推动制定团体标准，鼓励制定企业标准，逐步推动团体标准和企业标准升级。构建以基础通用硒标准、安全通用硒标准、种养殖类硒标准、初级农产品类硒标准、精加工食品类硒标准、文旅类硒标准为子体系的标准框架体系。加快研发出更为稳定可靠的硒形态检测方法标准，助力有机硒产品检测与认证获得更广泛的市场认可，进一步彰显宜春在富有机硒产品研发上的优势。</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——检测认证体系建设工程：</w:t>
            </w:r>
            <w:r>
              <w:rPr>
                <w:rFonts w:hint="eastAsia" w:ascii="仿宋" w:hAnsi="仿宋" w:eastAsia="仿宋" w:cs="Times New Roman"/>
                <w:kern w:val="0"/>
                <w:sz w:val="28"/>
                <w:szCs w:val="28"/>
              </w:rPr>
              <w:t>在江西省富硒食品质量检验检测中心（宜春）建设的基础上，加快提升检验检测机构的检测检验、研发中试、技术服务等能力，积极筹建国家级富硒食品质量检验检测中心。鼓励各县市打造公共检测平台或在体验消费场所建设硒含量快速检测点，提升涉硒检测能力。</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——质量监管体系建设工程：</w:t>
            </w:r>
            <w:r>
              <w:rPr>
                <w:rFonts w:hint="eastAsia" w:ascii="仿宋" w:hAnsi="仿宋" w:eastAsia="仿宋" w:cs="Times New Roman"/>
                <w:kern w:val="0"/>
                <w:sz w:val="28"/>
                <w:szCs w:val="28"/>
              </w:rPr>
              <w:t>以“标准上墙、技术落地、记录入档、质量追溯”为工作要求，实现对富硒农产品生产全程追溯，构建高效迅速的富硒农产品质量管理体系。健全富硒产品认证监管体系，持续推进“两证一码”（富硒农产品认证、农产品合格证、原产地追溯码）制度，鼓励富硒经营主体开展富硒产品认证，落实农产品质量安全监管对象名录管理制度，实现富硒农产品生产管理、质量跟踪、市场流通的全流程防伪可追溯。实行产品生产、加工、销售过程透明化，为消费者提供安全、健康、优质富硒产品。</w:t>
            </w:r>
          </w:p>
        </w:tc>
      </w:tr>
    </w:tbl>
    <w:p>
      <w:pPr>
        <w:widowControl/>
        <w:adjustRightInd w:val="0"/>
        <w:snapToGrid w:val="0"/>
        <w:spacing w:before="312" w:beforeLines="100" w:after="312" w:afterLines="100"/>
        <w:jc w:val="center"/>
        <w:outlineLvl w:val="1"/>
        <w:rPr>
          <w:rFonts w:ascii="仿宋" w:hAnsi="仿宋" w:eastAsia="仿宋" w:cs="Times New Roman"/>
          <w:b/>
          <w:bCs/>
          <w:kern w:val="0"/>
          <w:sz w:val="32"/>
          <w:szCs w:val="32"/>
        </w:rPr>
      </w:pPr>
      <w:bookmarkStart w:id="870" w:name="_Toc151751532"/>
      <w:bookmarkStart w:id="871" w:name="_Toc151219531"/>
      <w:r>
        <w:rPr>
          <w:rFonts w:hint="eastAsia" w:ascii="仿宋" w:hAnsi="仿宋" w:eastAsia="仿宋" w:cs="Times New Roman"/>
          <w:b/>
          <w:bCs/>
          <w:kern w:val="0"/>
          <w:sz w:val="32"/>
          <w:szCs w:val="32"/>
        </w:rPr>
        <w:t>第八节 大力推进富硒产业保障体系构建</w:t>
      </w:r>
      <w:bookmarkEnd w:id="870"/>
      <w:bookmarkEnd w:id="871"/>
    </w:p>
    <w:p>
      <w:pPr>
        <w:widowControl/>
        <w:adjustRightInd w:val="0"/>
        <w:snapToGrid w:val="0"/>
        <w:spacing w:after="0" w:line="560" w:lineRule="exact"/>
        <w:ind w:firstLine="560" w:firstLineChars="200"/>
        <w:jc w:val="left"/>
        <w:rPr>
          <w:rFonts w:ascii="仿宋" w:hAnsi="仿宋" w:eastAsia="仿宋" w:cs="Times New Roman"/>
          <w:kern w:val="0"/>
          <w:sz w:val="28"/>
          <w:szCs w:val="28"/>
        </w:rPr>
      </w:pPr>
      <w:r>
        <w:rPr>
          <w:rFonts w:hint="eastAsia" w:ascii="仿宋" w:hAnsi="仿宋" w:eastAsia="仿宋" w:cs="Times New Roman"/>
          <w:kern w:val="0"/>
          <w:sz w:val="28"/>
          <w:szCs w:val="28"/>
        </w:rPr>
        <w:t>以政府机关、行业协会、产业联盟为主导，以相关高等院校、科研院所、检测机构、管理部门为平台，提供人才、技术、培训、融资、物流、法律、管理、咨询等相关公共服务。鼓励各类服务组织加强合作，借助行业领先技术和专业团队，组建宜春市富硒产业发展全产业链社会化服务企业，推动服务链条横向拓展、纵向延伸，促进主体多元互动、功能互补、融合发展。引导各类服务主体围绕同一产业或同一产品的生产，以资金、技术、服务等要素为纽带，积极发展服务联合体、服务联盟等新型组织形式，打造全产业链服务组织体系，建立更加紧密的利益联结和分享机制。</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shd w:val="clear" w:color="auto" w:fill="92D050"/>
            <w:vAlign w:val="center"/>
          </w:tcPr>
          <w:p>
            <w:pPr>
              <w:widowControl/>
              <w:adjustRightInd w:val="0"/>
              <w:snapToGrid w:val="0"/>
              <w:spacing w:after="0"/>
              <w:jc w:val="center"/>
              <w:rPr>
                <w:rFonts w:ascii="仿宋" w:hAnsi="仿宋" w:eastAsia="仿宋" w:cs="Times New Roman"/>
                <w:b/>
                <w:kern w:val="0"/>
                <w:sz w:val="28"/>
                <w:szCs w:val="28"/>
              </w:rPr>
            </w:pPr>
            <w:r>
              <w:rPr>
                <w:rFonts w:hint="eastAsia" w:ascii="仿宋" w:hAnsi="仿宋" w:eastAsia="仿宋" w:cs="Times New Roman"/>
                <w:b/>
                <w:kern w:val="0"/>
                <w:sz w:val="28"/>
                <w:szCs w:val="28"/>
              </w:rPr>
              <w:t>专栏12  大力推进富硒产业保障体系构建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——富硒产业组织保障工程：</w:t>
            </w:r>
            <w:r>
              <w:rPr>
                <w:rFonts w:hint="eastAsia" w:ascii="仿宋" w:hAnsi="仿宋" w:eastAsia="仿宋" w:cs="Times New Roman"/>
                <w:bCs/>
                <w:kern w:val="0"/>
                <w:sz w:val="28"/>
                <w:szCs w:val="28"/>
              </w:rPr>
              <w:t>发挥市级链长制优势，强化全链思维和系统观念，统筹资源优势，促进区域协同，从产业链、资金链、创新链、人才链、政策链多端发力，建立完善的富硒产业发展闭环推进机制，集中力量打通富硒产业发展各个环节。持续完善市县两级硒资源开发利用中心管理机构体系建设，强化主体责任，细化部门职能，提供便捷高效服务与指导支持，推进富硒产业发展工程项目落地实施、发展目标任务顺利实现。</w:t>
            </w:r>
          </w:p>
          <w:p>
            <w:pPr>
              <w:widowControl/>
              <w:adjustRightInd/>
              <w:snapToGrid/>
              <w:spacing w:after="0" w:line="44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kern w:val="0"/>
                <w:sz w:val="28"/>
                <w:szCs w:val="28"/>
              </w:rPr>
              <w:t>——富硒金融服务保障工程：</w:t>
            </w:r>
            <w:r>
              <w:rPr>
                <w:rFonts w:hint="eastAsia" w:ascii="仿宋" w:hAnsi="仿宋" w:eastAsia="仿宋" w:cs="Times New Roman"/>
                <w:kern w:val="0"/>
                <w:sz w:val="28"/>
                <w:szCs w:val="28"/>
              </w:rPr>
              <w:t>充分利用金融政策，拓宽融资渠道，建立健全富硒产业科技金融服务，加大富硒产业发展创业投资、债权融资和金融中介等服务扶持力度。在市县两级投融资平台设立宜春市富硒产业发展基金，完善富硒产业发展金融服务体系，综合运用以奖代补、财政贴息、股权融资、过桥资金等措施扶持企业做大做强，助推优质招商引资项目落地。改善富硒龙头企业融资渠道，为富硒产业发展提供更多资金支持。鼓励企业利用金融政策积极自筹发展资金，政府加强监管，形成资金良性循环。</w:t>
            </w:r>
          </w:p>
          <w:p>
            <w:pPr>
              <w:widowControl/>
              <w:adjustRightInd/>
              <w:snapToGrid/>
              <w:spacing w:after="0" w:line="440" w:lineRule="exact"/>
              <w:ind w:firstLine="562" w:firstLineChars="200"/>
              <w:jc w:val="both"/>
              <w:rPr>
                <w:rFonts w:ascii="仿宋" w:hAnsi="仿宋" w:eastAsia="仿宋" w:cs="Times New Roman"/>
                <w:bCs/>
                <w:kern w:val="0"/>
                <w:sz w:val="28"/>
                <w:szCs w:val="28"/>
              </w:rPr>
            </w:pPr>
            <w:r>
              <w:rPr>
                <w:rFonts w:hint="eastAsia" w:ascii="仿宋" w:hAnsi="仿宋" w:eastAsia="仿宋" w:cs="Times New Roman"/>
                <w:b/>
                <w:kern w:val="0"/>
                <w:sz w:val="28"/>
                <w:szCs w:val="28"/>
              </w:rPr>
              <w:t>——富硒营商环境优化工程：</w:t>
            </w:r>
            <w:r>
              <w:rPr>
                <w:rFonts w:hint="eastAsia" w:ascii="仿宋" w:hAnsi="仿宋" w:eastAsia="仿宋" w:cs="Times New Roman"/>
                <w:kern w:val="0"/>
                <w:sz w:val="28"/>
                <w:szCs w:val="28"/>
              </w:rPr>
              <w:t>深化“放管服”改革、推动区域整体协调发展，对标长三角、大湾区营商环境标准，打造“政策最优、成本最低、服务最好、办事最快”的“四最”营商环境，破解富硒产业发展的“痛点”“堵点”“难点”。加强富硒产品市场监管，开展专项监督检查，依法保护富硒企业合法权益，强化综合执法力度，严厉打击假冒伪劣富硒产品。严格执行已有富硒产品标准，政府与企业同步进行，企业自检与市场抽检相结合，实行富硒产品抽样检测全覆盖，保证富硒产品品质安全。构建现代商贸流通体系，打通富硒产品流通网络。</w:t>
            </w:r>
          </w:p>
        </w:tc>
      </w:tr>
    </w:tbl>
    <w:p>
      <w:pPr>
        <w:widowControl/>
        <w:adjustRightInd w:val="0"/>
        <w:snapToGrid w:val="0"/>
        <w:spacing w:after="0" w:line="360" w:lineRule="auto"/>
        <w:ind w:firstLine="560" w:firstLineChars="200"/>
        <w:jc w:val="left"/>
        <w:rPr>
          <w:rFonts w:ascii="仿宋" w:hAnsi="仿宋" w:eastAsia="仿宋" w:cs="Times New Roman"/>
          <w:kern w:val="0"/>
          <w:sz w:val="28"/>
          <w:szCs w:val="28"/>
        </w:rPr>
      </w:pPr>
    </w:p>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7"/>
    <w:bookmarkEnd w:id="848"/>
    <w:bookmarkEnd w:id="849"/>
    <w:bookmarkEnd w:id="850"/>
    <w:bookmarkEnd w:id="851"/>
    <w:bookmarkEnd w:id="852"/>
    <w:bookmarkEnd w:id="853"/>
    <w:bookmarkEnd w:id="854"/>
    <w:p>
      <w:pPr>
        <w:widowControl/>
        <w:adjustRightInd/>
        <w:snapToGrid/>
        <w:spacing w:after="0"/>
        <w:jc w:val="left"/>
        <w:rPr>
          <w:rFonts w:ascii="仿宋" w:hAnsi="仿宋" w:eastAsia="仿宋" w:cs="Times New Roman"/>
          <w:kern w:val="0"/>
          <w:sz w:val="28"/>
          <w:szCs w:val="28"/>
        </w:rPr>
      </w:pPr>
      <w:bookmarkStart w:id="872" w:name="_Toc468290448"/>
      <w:bookmarkStart w:id="873" w:name="_Toc467615211"/>
      <w:bookmarkStart w:id="874" w:name="_Toc467706440"/>
      <w:bookmarkStart w:id="875" w:name="_Toc462220249"/>
      <w:bookmarkStart w:id="876" w:name="_Toc467615551"/>
      <w:bookmarkStart w:id="877" w:name="_Toc471505727"/>
      <w:bookmarkStart w:id="878" w:name="_Toc883"/>
      <w:bookmarkStart w:id="879" w:name="_Toc19567390"/>
      <w:bookmarkStart w:id="880" w:name="_Toc25705206"/>
      <w:bookmarkStart w:id="881" w:name="_Toc19567100"/>
      <w:r>
        <w:rPr>
          <w:rFonts w:ascii="仿宋" w:hAnsi="仿宋" w:eastAsia="仿宋" w:cs="Times New Roman"/>
          <w:kern w:val="0"/>
          <w:sz w:val="28"/>
          <w:szCs w:val="28"/>
        </w:rPr>
        <w:br w:type="page"/>
      </w:r>
    </w:p>
    <w:p>
      <w:pPr>
        <w:widowControl/>
        <w:adjustRightInd w:val="0"/>
        <w:snapToGrid w:val="0"/>
        <w:spacing w:after="312" w:afterLines="100"/>
        <w:jc w:val="center"/>
        <w:outlineLvl w:val="0"/>
        <w:rPr>
          <w:rFonts w:ascii="仿宋" w:hAnsi="仿宋" w:eastAsia="仿宋" w:cs="Times New Roman"/>
          <w:b/>
          <w:bCs/>
          <w:kern w:val="0"/>
          <w:sz w:val="36"/>
          <w:szCs w:val="36"/>
        </w:rPr>
      </w:pPr>
      <w:bookmarkStart w:id="882" w:name="_Toc151751533"/>
      <w:bookmarkStart w:id="883" w:name="_Toc147677298"/>
      <w:r>
        <w:rPr>
          <w:rFonts w:hint="eastAsia" w:ascii="仿宋" w:hAnsi="仿宋" w:eastAsia="仿宋" w:cs="Times New Roman"/>
          <w:b/>
          <w:bCs/>
          <w:kern w:val="0"/>
          <w:sz w:val="36"/>
          <w:szCs w:val="36"/>
        </w:rPr>
        <w:t>第五章 实施步骤</w:t>
      </w:r>
      <w:bookmarkEnd w:id="872"/>
      <w:bookmarkEnd w:id="873"/>
      <w:bookmarkEnd w:id="874"/>
      <w:bookmarkEnd w:id="875"/>
      <w:bookmarkEnd w:id="876"/>
      <w:bookmarkEnd w:id="877"/>
      <w:r>
        <w:rPr>
          <w:rFonts w:hint="eastAsia" w:ascii="仿宋" w:hAnsi="仿宋" w:eastAsia="仿宋" w:cs="Times New Roman"/>
          <w:b/>
          <w:bCs/>
          <w:kern w:val="0"/>
          <w:sz w:val="36"/>
          <w:szCs w:val="36"/>
        </w:rPr>
        <w:t>与阶段目标</w:t>
      </w:r>
      <w:bookmarkEnd w:id="878"/>
      <w:bookmarkEnd w:id="879"/>
      <w:bookmarkEnd w:id="880"/>
      <w:bookmarkEnd w:id="881"/>
      <w:bookmarkEnd w:id="882"/>
      <w:bookmarkEnd w:id="883"/>
    </w:p>
    <w:p>
      <w:pPr>
        <w:widowControl/>
        <w:adjustRightInd w:val="0"/>
        <w:snapToGrid w:val="0"/>
        <w:spacing w:after="0" w:line="560" w:lineRule="exact"/>
        <w:ind w:firstLine="560" w:firstLineChars="200"/>
        <w:jc w:val="both"/>
        <w:rPr>
          <w:rFonts w:ascii="仿宋" w:hAnsi="仿宋" w:eastAsia="仿宋" w:cs="Times New Roman"/>
          <w:kern w:val="0"/>
          <w:sz w:val="28"/>
          <w:szCs w:val="28"/>
        </w:rPr>
      </w:pPr>
      <w:bookmarkStart w:id="884" w:name="_Toc459633927"/>
      <w:r>
        <w:rPr>
          <w:rFonts w:hint="eastAsia" w:ascii="仿宋" w:hAnsi="仿宋" w:eastAsia="仿宋" w:cs="Times New Roman"/>
          <w:kern w:val="0"/>
          <w:sz w:val="28"/>
          <w:szCs w:val="28"/>
        </w:rPr>
        <w:t>本规划以20</w:t>
      </w:r>
      <w:r>
        <w:rPr>
          <w:rFonts w:ascii="仿宋" w:hAnsi="仿宋" w:eastAsia="仿宋" w:cs="Times New Roman"/>
          <w:kern w:val="0"/>
          <w:sz w:val="28"/>
          <w:szCs w:val="28"/>
        </w:rPr>
        <w:t>22</w:t>
      </w:r>
      <w:r>
        <w:rPr>
          <w:rFonts w:hint="eastAsia" w:ascii="仿宋" w:hAnsi="仿宋" w:eastAsia="仿宋" w:cs="Times New Roman"/>
          <w:kern w:val="0"/>
          <w:sz w:val="28"/>
          <w:szCs w:val="28"/>
        </w:rPr>
        <w:t>规划基准年，规划年限为202</w:t>
      </w:r>
      <w:r>
        <w:rPr>
          <w:rFonts w:ascii="仿宋" w:hAnsi="仿宋" w:eastAsia="仿宋" w:cs="Times New Roman"/>
          <w:kern w:val="0"/>
          <w:sz w:val="28"/>
          <w:szCs w:val="28"/>
        </w:rPr>
        <w:t>3</w:t>
      </w:r>
      <w:r>
        <w:rPr>
          <w:rFonts w:hint="eastAsia" w:ascii="仿宋" w:hAnsi="仿宋" w:eastAsia="仿宋" w:cs="Times New Roman"/>
          <w:kern w:val="0"/>
          <w:sz w:val="28"/>
          <w:szCs w:val="28"/>
        </w:rPr>
        <w:t>-20</w:t>
      </w:r>
      <w:r>
        <w:rPr>
          <w:rFonts w:ascii="仿宋" w:hAnsi="仿宋" w:eastAsia="仿宋" w:cs="Times New Roman"/>
          <w:kern w:val="0"/>
          <w:sz w:val="28"/>
          <w:szCs w:val="28"/>
        </w:rPr>
        <w:t>30</w:t>
      </w:r>
      <w:r>
        <w:rPr>
          <w:rFonts w:hint="eastAsia" w:ascii="仿宋" w:hAnsi="仿宋" w:eastAsia="仿宋" w:cs="Times New Roman"/>
          <w:kern w:val="0"/>
          <w:sz w:val="28"/>
          <w:szCs w:val="28"/>
        </w:rPr>
        <w:t>年（近期：</w:t>
      </w:r>
      <w:r>
        <w:rPr>
          <w:rFonts w:ascii="仿宋" w:hAnsi="仿宋" w:eastAsia="仿宋" w:cs="Times New Roman"/>
          <w:kern w:val="0"/>
          <w:sz w:val="28"/>
          <w:szCs w:val="28"/>
        </w:rPr>
        <w:t>2023-2025</w:t>
      </w:r>
      <w:r>
        <w:rPr>
          <w:rFonts w:hint="eastAsia" w:ascii="仿宋" w:hAnsi="仿宋" w:eastAsia="仿宋" w:cs="Times New Roman"/>
          <w:kern w:val="0"/>
          <w:sz w:val="28"/>
          <w:szCs w:val="28"/>
        </w:rPr>
        <w:t>年；远期：2026-2030年）。立足“一核两翼三带多区”的总体布局，重点抓好</w:t>
      </w:r>
      <w:r>
        <w:rPr>
          <w:rFonts w:hint="eastAsia" w:ascii="仿宋" w:hAnsi="仿宋" w:eastAsia="仿宋" w:cs="Times New Roman"/>
          <w:b/>
          <w:kern w:val="0"/>
          <w:sz w:val="28"/>
          <w:szCs w:val="28"/>
        </w:rPr>
        <w:t>“六个主导产业”</w:t>
      </w:r>
      <w:r>
        <w:rPr>
          <w:rFonts w:hint="eastAsia" w:ascii="仿宋" w:hAnsi="仿宋" w:eastAsia="仿宋" w:cs="Times New Roman"/>
          <w:kern w:val="0"/>
          <w:sz w:val="28"/>
          <w:szCs w:val="28"/>
        </w:rPr>
        <w:t>（富硒大米、富硒果蔬、富硒禽蛋、富硒竹笋、富硒茶叶、富硒中药材），建设</w:t>
      </w:r>
      <w:r>
        <w:rPr>
          <w:rFonts w:hint="eastAsia" w:ascii="仿宋" w:hAnsi="仿宋" w:eastAsia="仿宋" w:cs="Times New Roman"/>
          <w:b/>
          <w:kern w:val="0"/>
          <w:sz w:val="28"/>
          <w:szCs w:val="28"/>
        </w:rPr>
        <w:t>“六个重点领域”</w:t>
      </w:r>
      <w:r>
        <w:rPr>
          <w:rFonts w:hint="eastAsia" w:ascii="仿宋" w:hAnsi="仿宋" w:eastAsia="仿宋" w:cs="Times New Roman"/>
          <w:kern w:val="0"/>
          <w:sz w:val="28"/>
          <w:szCs w:val="28"/>
        </w:rPr>
        <w:t>（重点园区、重点基地、重点小镇、重点企业、重点品牌、重点品种），完成“</w:t>
      </w:r>
      <w:r>
        <w:rPr>
          <w:rFonts w:hint="eastAsia" w:ascii="仿宋" w:hAnsi="仿宋" w:eastAsia="仿宋" w:cs="Times New Roman"/>
          <w:b/>
          <w:kern w:val="0"/>
          <w:sz w:val="28"/>
          <w:szCs w:val="28"/>
        </w:rPr>
        <w:t>八项重大任务</w:t>
      </w:r>
      <w:r>
        <w:rPr>
          <w:rFonts w:hint="eastAsia" w:ascii="仿宋" w:hAnsi="仿宋" w:eastAsia="仿宋" w:cs="Times New Roman"/>
          <w:kern w:val="0"/>
          <w:sz w:val="28"/>
          <w:szCs w:val="28"/>
        </w:rPr>
        <w:t>”“</w:t>
      </w:r>
      <w:r>
        <w:rPr>
          <w:rFonts w:hint="eastAsia" w:ascii="仿宋" w:hAnsi="仿宋" w:eastAsia="仿宋" w:cs="Times New Roman"/>
          <w:b/>
          <w:kern w:val="0"/>
          <w:sz w:val="28"/>
          <w:szCs w:val="28"/>
        </w:rPr>
        <w:t>二十七项重点行动</w:t>
      </w:r>
      <w:r>
        <w:rPr>
          <w:rFonts w:hint="eastAsia" w:ascii="仿宋" w:hAnsi="仿宋" w:eastAsia="仿宋" w:cs="Times New Roman"/>
          <w:kern w:val="0"/>
          <w:sz w:val="28"/>
          <w:szCs w:val="28"/>
        </w:rPr>
        <w:t>”。规划期内分为两个阶段实施：示范引领、全面推进阶段；攻坚突破、提档升级阶段。</w:t>
      </w:r>
    </w:p>
    <w:bookmarkEnd w:id="884"/>
    <w:p>
      <w:pPr>
        <w:keepNext/>
        <w:keepLines/>
        <w:adjustRightInd w:val="0"/>
        <w:snapToGrid w:val="0"/>
        <w:spacing w:before="0" w:after="0" w:line="560" w:lineRule="exact"/>
        <w:ind w:firstLine="602" w:firstLineChars="200"/>
        <w:outlineLvl w:val="1"/>
        <w:rPr>
          <w:rFonts w:ascii="仿宋" w:hAnsi="仿宋" w:eastAsia="仿宋" w:cs="Times New Roman"/>
          <w:b/>
          <w:bCs/>
          <w:sz w:val="30"/>
          <w:szCs w:val="30"/>
          <w:lang w:val="en-US" w:eastAsia="zh-CN" w:bidi="ar-SA"/>
        </w:rPr>
      </w:pPr>
      <w:bookmarkStart w:id="885" w:name="_Toc151751534"/>
      <w:bookmarkStart w:id="886" w:name="_Toc147677299"/>
      <w:bookmarkStart w:id="887" w:name="_Toc6279"/>
      <w:r>
        <w:rPr>
          <w:rFonts w:hint="eastAsia" w:ascii="仿宋" w:hAnsi="仿宋" w:eastAsia="仿宋" w:cs="Times New Roman"/>
          <w:b/>
          <w:bCs/>
          <w:sz w:val="30"/>
          <w:szCs w:val="30"/>
          <w:lang w:val="en-US" w:eastAsia="zh-CN" w:bidi="ar-SA"/>
        </w:rPr>
        <w:t>一、示范引领、全面推进阶段（2023-2025年）</w:t>
      </w:r>
      <w:bookmarkEnd w:id="885"/>
      <w:bookmarkEnd w:id="886"/>
      <w:bookmarkEnd w:id="887"/>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主要以优化富硒产业集群和富硒产业链为主，强龙头、补链条、兴业态、树品牌。着力做大规模、做强特色、做响品牌、做优标准，全面提升富硒产业“首位度”。以富硒“单品冠军”为基础，以富硒龙头企业为载体，做好富硒产业示范基地、富硒产业示范园区、富硒体验展示馆、富硒产业特色小镇的建设布局，重点开展富硒产业的招商引资。以做大做强品牌为目标，重点发展六大富硒主导产业。加产品的富硒检测工作，做好优良品种的选育和引进工作。完善富硒生产管理规程，提升富硒产品的市场竞争力。加强富硒种养基地、富硒产品深加工基地、农产品物流中心、网上交易服务平台等载体建设。加强种养产品初加工、深加工和高新科技转化，推动药材、矿泉水、旅游、服务等相关产业发展提升，做长产业链条、做畅产品流通、做响富硒品牌、做强富硒龙头企业。立足“硒+</w:t>
      </w:r>
      <w:r>
        <w:rPr>
          <w:rFonts w:ascii="仿宋" w:hAnsi="仿宋" w:eastAsia="仿宋" w:cs="Times New Roman"/>
          <w:kern w:val="0"/>
          <w:sz w:val="28"/>
          <w:szCs w:val="28"/>
        </w:rPr>
        <w:t>X</w:t>
      </w:r>
      <w:r>
        <w:rPr>
          <w:rFonts w:hint="eastAsia" w:ascii="仿宋" w:hAnsi="仿宋" w:eastAsia="仿宋" w:cs="Times New Roman"/>
          <w:kern w:val="0"/>
          <w:sz w:val="28"/>
          <w:szCs w:val="28"/>
        </w:rPr>
        <w:t>”发展模式，构建三产融合联动的产业集群，加强产业协会、企业联盟建设，健全富硒产业体系、技术标准体系、经营主体体系、市场监测体系、产品品牌体系，提升富硒产品的科技含量和市场规模。力争到2025年，完成宜春市全市富硒管理机构、产业体系、产业协会（联盟）等富硒产业管理体系建设。</w:t>
      </w:r>
    </w:p>
    <w:p>
      <w:pPr>
        <w:keepNext/>
        <w:keepLines/>
        <w:adjustRightInd w:val="0"/>
        <w:snapToGrid w:val="0"/>
        <w:spacing w:before="0" w:after="0" w:line="560" w:lineRule="exact"/>
        <w:ind w:firstLine="602" w:firstLineChars="200"/>
        <w:outlineLvl w:val="1"/>
        <w:rPr>
          <w:rFonts w:ascii="仿宋" w:hAnsi="仿宋" w:eastAsia="仿宋" w:cs="Times New Roman"/>
          <w:b/>
          <w:bCs/>
          <w:sz w:val="30"/>
          <w:szCs w:val="30"/>
          <w:lang w:val="en-US" w:eastAsia="zh-CN" w:bidi="ar-SA"/>
        </w:rPr>
      </w:pPr>
      <w:bookmarkStart w:id="888" w:name="_Toc24404"/>
      <w:bookmarkStart w:id="889" w:name="_Toc151751535"/>
      <w:bookmarkStart w:id="890" w:name="_Toc147677300"/>
      <w:r>
        <w:rPr>
          <w:rFonts w:hint="eastAsia" w:ascii="仿宋" w:hAnsi="仿宋" w:eastAsia="仿宋" w:cs="Times New Roman"/>
          <w:b/>
          <w:bCs/>
          <w:sz w:val="30"/>
          <w:szCs w:val="30"/>
          <w:lang w:val="en-US" w:eastAsia="zh-CN" w:bidi="ar-SA"/>
        </w:rPr>
        <w:t>二、攻坚突破、提档升级阶段（2026-2030年）</w:t>
      </w:r>
      <w:bookmarkEnd w:id="888"/>
      <w:bookmarkEnd w:id="889"/>
      <w:bookmarkEnd w:id="890"/>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主要以特色品牌提升和高新科技转化为主，依托“一核两翼三带多区”的发展格局，立足初级生产和加工业，做好高端富硒产品，做优富硒休闲服务，形成产业链长、附加值高、市场前景好等系列富硒产品和富硒文化。深入推进“三链同构”和“三产融合”，促进硒产业提档升级、增值增效。推动各级各类富硒知名品牌不断增特色、强实力，更好地发挥其联农带农和示范辐射作用。推行“四统一分”生产经营模式，全力打造“宜春宜品”富硒产品区域公用品牌，积极争取进入全国100强品牌行列。加强高科技功能产品研发，进一步提高富硒产品附加值和市场占有率，推动产品走遍中国、远销国外。繁荣富硒文化，使“好硒在宜春，硒养到宜春”的富硒文化深得人心，富硒品牌进一步提升，富硒产值规模不断提高，真正成为宜春市重要的经济增长点和主导优势产业。</w:t>
      </w:r>
      <w:r>
        <w:rPr>
          <w:rFonts w:ascii="仿宋" w:hAnsi="仿宋" w:eastAsia="仿宋" w:cs="Times New Roman"/>
          <w:kern w:val="0"/>
          <w:sz w:val="28"/>
          <w:szCs w:val="28"/>
        </w:rPr>
        <w:t>加强高科技功能产品研发，进一步提高富硒产品附加值和市场占有率，推动产品走遍中国、远销国外。通过政府引导、企业参与、科技支撑、融合发展、培育品牌和政策保障，加快推进宜春市富硒产业全面升级和高质量跨越式发展。创造生态价值转化，变绿为金的宜春经验，打造富硒产业高质量发展的宜春样板，在富硒产业发展领域“</w:t>
      </w:r>
      <w:r>
        <w:rPr>
          <w:rFonts w:hint="eastAsia" w:ascii="仿宋" w:hAnsi="仿宋" w:eastAsia="仿宋" w:cs="Times New Roman"/>
          <w:kern w:val="0"/>
          <w:sz w:val="28"/>
          <w:szCs w:val="28"/>
        </w:rPr>
        <w:t>走在前</w:t>
      </w:r>
      <w:r>
        <w:rPr>
          <w:rFonts w:ascii="仿宋" w:hAnsi="仿宋" w:eastAsia="仿宋" w:cs="Times New Roman"/>
          <w:kern w:val="0"/>
          <w:sz w:val="28"/>
          <w:szCs w:val="28"/>
        </w:rPr>
        <w:t>、勇争先</w:t>
      </w:r>
      <w:r>
        <w:rPr>
          <w:rFonts w:hint="eastAsia" w:ascii="仿宋" w:hAnsi="仿宋" w:eastAsia="仿宋" w:cs="Times New Roman"/>
          <w:kern w:val="0"/>
          <w:sz w:val="28"/>
          <w:szCs w:val="28"/>
        </w:rPr>
        <w:t>、善作为</w:t>
      </w:r>
      <w:r>
        <w:rPr>
          <w:rFonts w:ascii="仿宋" w:hAnsi="仿宋" w:eastAsia="仿宋" w:cs="Times New Roman"/>
          <w:kern w:val="0"/>
          <w:sz w:val="28"/>
          <w:szCs w:val="28"/>
        </w:rPr>
        <w:t>”。</w:t>
      </w:r>
      <w:r>
        <w:rPr>
          <w:rFonts w:hint="eastAsia" w:ascii="仿宋" w:hAnsi="仿宋" w:eastAsia="仿宋" w:cs="Times New Roman"/>
          <w:kern w:val="0"/>
          <w:sz w:val="28"/>
          <w:szCs w:val="28"/>
        </w:rPr>
        <w:t>力争到2028年，完成科技支撑平台、流通服务体系、康养旅游服务、品牌认证服务等建设；到2030年，富硒主导产业基地建设和富硒重点领域示范建设取得高质量成果。</w:t>
      </w:r>
    </w:p>
    <w:p>
      <w:pPr>
        <w:widowControl/>
        <w:adjustRightInd w:val="0"/>
        <w:snapToGrid w:val="0"/>
        <w:spacing w:after="0" w:line="360" w:lineRule="auto"/>
        <w:ind w:firstLine="560" w:firstLineChars="200"/>
        <w:jc w:val="both"/>
        <w:rPr>
          <w:rFonts w:ascii="仿宋" w:hAnsi="仿宋" w:eastAsia="仿宋" w:cs="Times New Roman"/>
          <w:kern w:val="0"/>
          <w:sz w:val="28"/>
          <w:szCs w:val="28"/>
        </w:rPr>
      </w:pPr>
    </w:p>
    <w:p>
      <w:pPr>
        <w:widowControl/>
        <w:adjustRightInd/>
        <w:snapToGrid/>
        <w:spacing w:after="0"/>
        <w:jc w:val="left"/>
        <w:rPr>
          <w:rFonts w:ascii="仿宋" w:hAnsi="仿宋" w:eastAsia="仿宋" w:cs="Times New Roman"/>
          <w:kern w:val="0"/>
          <w:sz w:val="28"/>
          <w:szCs w:val="28"/>
        </w:rPr>
      </w:pPr>
      <w:r>
        <w:rPr>
          <w:rFonts w:ascii="仿宋" w:hAnsi="仿宋" w:eastAsia="仿宋" w:cs="Times New Roman"/>
          <w:kern w:val="0"/>
          <w:sz w:val="28"/>
          <w:szCs w:val="28"/>
        </w:rPr>
        <w:br w:type="page"/>
      </w:r>
    </w:p>
    <w:p>
      <w:pPr>
        <w:widowControl/>
        <w:adjustRightInd w:val="0"/>
        <w:snapToGrid w:val="0"/>
        <w:spacing w:after="200"/>
        <w:jc w:val="left"/>
        <w:rPr>
          <w:rFonts w:ascii="仿宋" w:hAnsi="仿宋" w:eastAsia="仿宋" w:cs="Times New Roman"/>
          <w:kern w:val="0"/>
          <w:sz w:val="22"/>
          <w:szCs w:val="22"/>
        </w:rPr>
      </w:pPr>
      <w:bookmarkStart w:id="891" w:name="_Toc2125"/>
      <w:bookmarkStart w:id="892" w:name="_Toc12241"/>
    </w:p>
    <w:p>
      <w:pPr>
        <w:widowControl/>
        <w:adjustRightInd w:val="0"/>
        <w:snapToGrid w:val="0"/>
        <w:spacing w:after="312" w:afterLines="100"/>
        <w:jc w:val="center"/>
        <w:outlineLvl w:val="0"/>
        <w:rPr>
          <w:rFonts w:ascii="仿宋" w:hAnsi="仿宋" w:eastAsia="仿宋" w:cs="Times New Roman"/>
          <w:b/>
          <w:bCs/>
          <w:kern w:val="0"/>
          <w:sz w:val="36"/>
          <w:szCs w:val="36"/>
        </w:rPr>
      </w:pPr>
      <w:bookmarkStart w:id="893" w:name="_Toc147677308"/>
      <w:bookmarkStart w:id="894" w:name="_Toc151751536"/>
      <w:r>
        <w:rPr>
          <w:rFonts w:hint="eastAsia" w:ascii="仿宋" w:hAnsi="仿宋" w:eastAsia="仿宋" w:cs="Times New Roman"/>
          <w:b/>
          <w:bCs/>
          <w:kern w:val="0"/>
          <w:sz w:val="36"/>
          <w:szCs w:val="36"/>
        </w:rPr>
        <w:t>第六章 预期效益分析</w:t>
      </w:r>
      <w:bookmarkEnd w:id="893"/>
      <w:bookmarkEnd w:id="894"/>
    </w:p>
    <w:bookmarkEnd w:id="891"/>
    <w:p>
      <w:pPr>
        <w:widowControl/>
        <w:adjustRightInd w:val="0"/>
        <w:snapToGrid w:val="0"/>
        <w:spacing w:after="0" w:line="560" w:lineRule="exact"/>
        <w:ind w:firstLine="560" w:firstLineChars="200"/>
        <w:jc w:val="both"/>
        <w:rPr>
          <w:rFonts w:ascii="仿宋" w:hAnsi="仿宋" w:eastAsia="仿宋" w:cs="Times New Roman"/>
          <w:kern w:val="0"/>
          <w:sz w:val="28"/>
          <w:szCs w:val="28"/>
        </w:rPr>
      </w:pPr>
      <w:bookmarkStart w:id="895" w:name="_Toc147314317"/>
      <w:bookmarkStart w:id="896" w:name="_Toc146743303"/>
      <w:bookmarkStart w:id="897" w:name="_Toc147677309"/>
      <w:bookmarkStart w:id="898" w:name="_Toc146745895"/>
      <w:bookmarkStart w:id="899" w:name="_Toc31848"/>
      <w:r>
        <w:rPr>
          <w:rFonts w:hint="eastAsia" w:ascii="仿宋" w:hAnsi="仿宋" w:eastAsia="仿宋" w:cs="Times New Roman"/>
          <w:kern w:val="0"/>
          <w:sz w:val="28"/>
          <w:szCs w:val="28"/>
        </w:rPr>
        <w:t>通过实施富硒产业发展规划，推进富硒资源利用、改善生产条件环境、提升富硒产品质量、降低生产风险成本、带动农民创业就业、促进农业农村发展</w:t>
      </w:r>
      <w:r>
        <w:rPr>
          <w:rFonts w:ascii="仿宋" w:hAnsi="仿宋" w:eastAsia="仿宋" w:cs="Times New Roman"/>
          <w:kern w:val="0"/>
          <w:sz w:val="28"/>
          <w:szCs w:val="28"/>
        </w:rPr>
        <w:t>，</w:t>
      </w:r>
      <w:r>
        <w:rPr>
          <w:rFonts w:hint="eastAsia" w:ascii="仿宋" w:hAnsi="仿宋" w:eastAsia="仿宋" w:cs="Times New Roman"/>
          <w:kern w:val="0"/>
          <w:sz w:val="28"/>
          <w:szCs w:val="28"/>
        </w:rPr>
        <w:t>推广绿色循环生态发展理念，形成标准化、规模化、产业化的现代化富硒产业发展模式，实现农业提质增效、农民增产增收、农村增色添彩，助力农业高质量发展和农业强市战略。</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r>
        <w:rPr>
          <w:rFonts w:hint="eastAsia" w:ascii="仿宋" w:hAnsi="仿宋" w:eastAsia="仿宋" w:cs="Times New Roman"/>
          <w:b/>
          <w:bCs/>
          <w:kern w:val="0"/>
          <w:sz w:val="28"/>
          <w:szCs w:val="28"/>
        </w:rPr>
        <w:t>——经济效益</w:t>
      </w:r>
      <w:bookmarkEnd w:id="895"/>
      <w:bookmarkEnd w:id="896"/>
      <w:bookmarkEnd w:id="897"/>
      <w:bookmarkEnd w:id="898"/>
      <w:bookmarkEnd w:id="899"/>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通过实施富硒产业规划，推动富硒资源的科学合理利用，将资源优势转变为资产优势和产业发展优势，推动宜春市社会经济高质量发展。到2</w:t>
      </w:r>
      <w:r>
        <w:rPr>
          <w:rFonts w:ascii="仿宋" w:hAnsi="仿宋" w:eastAsia="仿宋" w:cs="Times New Roman"/>
          <w:kern w:val="0"/>
          <w:sz w:val="28"/>
          <w:szCs w:val="28"/>
        </w:rPr>
        <w:t>025</w:t>
      </w:r>
      <w:r>
        <w:rPr>
          <w:rFonts w:hint="eastAsia" w:ascii="仿宋" w:hAnsi="仿宋" w:eastAsia="仿宋" w:cs="Times New Roman"/>
          <w:kern w:val="0"/>
          <w:sz w:val="28"/>
          <w:szCs w:val="28"/>
        </w:rPr>
        <w:t>年，预计宜春市富硒产业综合产值达到</w:t>
      </w:r>
      <w:r>
        <w:rPr>
          <w:rFonts w:ascii="仿宋" w:hAnsi="仿宋" w:eastAsia="仿宋" w:cs="Times New Roman"/>
          <w:kern w:val="0"/>
          <w:sz w:val="28"/>
          <w:szCs w:val="28"/>
        </w:rPr>
        <w:t>850</w:t>
      </w:r>
      <w:r>
        <w:rPr>
          <w:rFonts w:hint="eastAsia" w:ascii="仿宋" w:hAnsi="仿宋" w:eastAsia="仿宋" w:cs="Times New Roman"/>
          <w:kern w:val="0"/>
          <w:sz w:val="28"/>
          <w:szCs w:val="28"/>
        </w:rPr>
        <w:t>亿元以上，其中富硒农业产值实现</w:t>
      </w:r>
      <w:r>
        <w:rPr>
          <w:rFonts w:ascii="仿宋" w:hAnsi="仿宋" w:eastAsia="仿宋" w:cs="Times New Roman"/>
          <w:kern w:val="0"/>
          <w:sz w:val="28"/>
          <w:szCs w:val="28"/>
        </w:rPr>
        <w:t>280</w:t>
      </w:r>
      <w:r>
        <w:rPr>
          <w:rFonts w:hint="eastAsia" w:ascii="仿宋" w:hAnsi="仿宋" w:eastAsia="仿宋" w:cs="Times New Roman"/>
          <w:kern w:val="0"/>
          <w:sz w:val="28"/>
          <w:szCs w:val="28"/>
        </w:rPr>
        <w:t>亿元以上的目标，富硒工业产值实现</w:t>
      </w:r>
      <w:r>
        <w:rPr>
          <w:rFonts w:ascii="仿宋" w:hAnsi="仿宋" w:eastAsia="仿宋" w:cs="Times New Roman"/>
          <w:kern w:val="0"/>
          <w:sz w:val="28"/>
          <w:szCs w:val="28"/>
        </w:rPr>
        <w:t>265</w:t>
      </w:r>
      <w:r>
        <w:rPr>
          <w:rFonts w:hint="eastAsia" w:ascii="仿宋" w:hAnsi="仿宋" w:eastAsia="仿宋" w:cs="Times New Roman"/>
          <w:kern w:val="0"/>
          <w:sz w:val="28"/>
          <w:szCs w:val="28"/>
        </w:rPr>
        <w:t>亿元以上，富硒服务业产值实现</w:t>
      </w:r>
      <w:r>
        <w:rPr>
          <w:rFonts w:ascii="仿宋" w:hAnsi="仿宋" w:eastAsia="仿宋" w:cs="Times New Roman"/>
          <w:kern w:val="0"/>
          <w:sz w:val="28"/>
          <w:szCs w:val="28"/>
        </w:rPr>
        <w:t>305</w:t>
      </w:r>
      <w:r>
        <w:rPr>
          <w:rFonts w:hint="eastAsia" w:ascii="仿宋" w:hAnsi="仿宋" w:eastAsia="仿宋" w:cs="Times New Roman"/>
          <w:kern w:val="0"/>
          <w:sz w:val="28"/>
          <w:szCs w:val="28"/>
        </w:rPr>
        <w:t>亿元以上。到2</w:t>
      </w:r>
      <w:r>
        <w:rPr>
          <w:rFonts w:ascii="仿宋" w:hAnsi="仿宋" w:eastAsia="仿宋" w:cs="Times New Roman"/>
          <w:kern w:val="0"/>
          <w:sz w:val="28"/>
          <w:szCs w:val="28"/>
        </w:rPr>
        <w:t>030</w:t>
      </w:r>
      <w:r>
        <w:rPr>
          <w:rFonts w:hint="eastAsia" w:ascii="仿宋" w:hAnsi="仿宋" w:eastAsia="仿宋" w:cs="Times New Roman"/>
          <w:kern w:val="0"/>
          <w:sz w:val="28"/>
          <w:szCs w:val="28"/>
        </w:rPr>
        <w:t>年，预计宜春市富硒产业综合产值较基准年翻一番，达到</w:t>
      </w:r>
      <w:r>
        <w:rPr>
          <w:rFonts w:ascii="仿宋" w:hAnsi="仿宋" w:eastAsia="仿宋" w:cs="Times New Roman"/>
          <w:kern w:val="0"/>
          <w:sz w:val="28"/>
          <w:szCs w:val="28"/>
        </w:rPr>
        <w:t>1200</w:t>
      </w:r>
      <w:r>
        <w:rPr>
          <w:rFonts w:hint="eastAsia" w:ascii="仿宋" w:hAnsi="仿宋" w:eastAsia="仿宋" w:cs="Times New Roman"/>
          <w:kern w:val="0"/>
          <w:sz w:val="28"/>
          <w:szCs w:val="28"/>
        </w:rPr>
        <w:t>亿元以上，其中富硒农业产值达</w:t>
      </w:r>
      <w:r>
        <w:rPr>
          <w:rFonts w:ascii="仿宋" w:hAnsi="仿宋" w:eastAsia="仿宋" w:cs="Times New Roman"/>
          <w:kern w:val="0"/>
          <w:sz w:val="28"/>
          <w:szCs w:val="28"/>
        </w:rPr>
        <w:t>380</w:t>
      </w:r>
      <w:r>
        <w:rPr>
          <w:rFonts w:hint="eastAsia" w:ascii="仿宋" w:hAnsi="仿宋" w:eastAsia="仿宋" w:cs="Times New Roman"/>
          <w:kern w:val="0"/>
          <w:sz w:val="28"/>
          <w:szCs w:val="28"/>
        </w:rPr>
        <w:t>亿元以上，富硒工业产值达</w:t>
      </w:r>
      <w:r>
        <w:rPr>
          <w:rFonts w:ascii="仿宋" w:hAnsi="仿宋" w:eastAsia="仿宋" w:cs="Times New Roman"/>
          <w:kern w:val="0"/>
          <w:sz w:val="28"/>
          <w:szCs w:val="28"/>
        </w:rPr>
        <w:t>390</w:t>
      </w:r>
      <w:r>
        <w:rPr>
          <w:rFonts w:hint="eastAsia" w:ascii="仿宋" w:hAnsi="仿宋" w:eastAsia="仿宋" w:cs="Times New Roman"/>
          <w:kern w:val="0"/>
          <w:sz w:val="28"/>
          <w:szCs w:val="28"/>
        </w:rPr>
        <w:t>亿元以上，富硒服务业产值达</w:t>
      </w:r>
      <w:r>
        <w:rPr>
          <w:rFonts w:ascii="仿宋" w:hAnsi="仿宋" w:eastAsia="仿宋" w:cs="Times New Roman"/>
          <w:kern w:val="0"/>
          <w:sz w:val="28"/>
          <w:szCs w:val="28"/>
        </w:rPr>
        <w:t>430</w:t>
      </w:r>
      <w:r>
        <w:rPr>
          <w:rFonts w:hint="eastAsia" w:ascii="仿宋" w:hAnsi="仿宋" w:eastAsia="仿宋" w:cs="Times New Roman"/>
          <w:kern w:val="0"/>
          <w:sz w:val="28"/>
          <w:szCs w:val="28"/>
        </w:rPr>
        <w:t>亿元以上。</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00" w:name="_Toc147677310"/>
      <w:bookmarkStart w:id="901" w:name="_Toc146745896"/>
      <w:bookmarkStart w:id="902" w:name="_Toc147314318"/>
      <w:bookmarkStart w:id="903" w:name="_Toc25328"/>
      <w:bookmarkStart w:id="904" w:name="_Toc146743304"/>
      <w:r>
        <w:rPr>
          <w:rFonts w:hint="eastAsia" w:ascii="仿宋" w:hAnsi="仿宋" w:eastAsia="仿宋" w:cs="Times New Roman"/>
          <w:b/>
          <w:bCs/>
          <w:kern w:val="0"/>
          <w:sz w:val="28"/>
          <w:szCs w:val="28"/>
        </w:rPr>
        <w:t>——社会效益</w:t>
      </w:r>
      <w:bookmarkEnd w:id="900"/>
      <w:bookmarkEnd w:id="901"/>
      <w:bookmarkEnd w:id="902"/>
      <w:bookmarkEnd w:id="903"/>
      <w:bookmarkEnd w:id="904"/>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通过实施富硒产业规划，进一步提升宜春“富硒”特色和产业品牌，做实“中国生态硒谷”“世界硒养之都”，建成“世界硒谷·生态宜春”金字招牌，提供更多富硒产品、形成更好富硒康养文化，提升富硒知名度，增强市场竞争力，满足人们日益增长的美好生活需求，带动全市社会文明整体提升，推动宜春市农业农村现代化，助力“健康中国2</w:t>
      </w:r>
      <w:r>
        <w:rPr>
          <w:rFonts w:ascii="仿宋" w:hAnsi="仿宋" w:eastAsia="仿宋" w:cs="Times New Roman"/>
          <w:kern w:val="0"/>
          <w:sz w:val="28"/>
          <w:szCs w:val="28"/>
        </w:rPr>
        <w:t>030</w:t>
      </w:r>
      <w:r>
        <w:rPr>
          <w:rFonts w:hint="eastAsia" w:ascii="仿宋" w:hAnsi="仿宋" w:eastAsia="仿宋" w:cs="Times New Roman"/>
          <w:kern w:val="0"/>
          <w:sz w:val="28"/>
          <w:szCs w:val="28"/>
        </w:rPr>
        <w:t>”建设。进一步提高本地劳动力就业水平，推进生产活动、自然风光、科技示范、休闲观光、环境保护一体化，实现一主多辅、三产联动效应，带动周边地区和相关产业就业规模，走富民持久、共同富裕的发展道路，促进宜春市和谐社会的发展建设。</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05" w:name="_Toc146743305"/>
      <w:bookmarkStart w:id="906" w:name="_Toc147314319"/>
      <w:bookmarkStart w:id="907" w:name="_Toc146745897"/>
      <w:bookmarkStart w:id="908" w:name="_Toc11455"/>
      <w:bookmarkStart w:id="909" w:name="_Toc147677311"/>
      <w:r>
        <w:rPr>
          <w:rFonts w:hint="eastAsia" w:ascii="仿宋" w:hAnsi="仿宋" w:eastAsia="仿宋" w:cs="Times New Roman"/>
          <w:b/>
          <w:bCs/>
          <w:kern w:val="0"/>
          <w:sz w:val="28"/>
          <w:szCs w:val="28"/>
        </w:rPr>
        <w:t>——生态效益</w:t>
      </w:r>
      <w:bookmarkEnd w:id="905"/>
      <w:bookmarkEnd w:id="906"/>
      <w:bookmarkEnd w:id="907"/>
      <w:bookmarkEnd w:id="908"/>
      <w:bookmarkEnd w:id="909"/>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通过实施富硒产业规划，进一步贯彻落实“两山理论”“山水林田湖草沙生命共同体理念”，持久保持和发挥宜春市生态优势，因地制宜发展宜春富硒产业，科学利用富硒资源，对富硒产业涉及的各类资源进行统筹规划、合理运用，提高富硒产品产出率，发挥出资源生态的最大效益，最大程度实现生态产品价值。实现富硒产业标准化、规范化、产业化的发展，严格化肥、农药等农业投入品使用管理，走绿色、生态、低碳、循环的可持续发展道路，降低土壤污染风险，生产更加优质富硒产品的同时提升生态环境质量。</w:t>
      </w:r>
    </w:p>
    <w:p>
      <w:pPr>
        <w:widowControl/>
        <w:adjustRightInd/>
        <w:snapToGrid/>
        <w:spacing w:after="0"/>
        <w:jc w:val="left"/>
        <w:rPr>
          <w:rFonts w:ascii="仿宋" w:hAnsi="仿宋" w:eastAsia="仿宋" w:cs="Times New Roman"/>
          <w:kern w:val="0"/>
          <w:sz w:val="22"/>
          <w:szCs w:val="22"/>
        </w:rPr>
      </w:pPr>
      <w:r>
        <w:rPr>
          <w:rFonts w:ascii="仿宋" w:hAnsi="仿宋" w:eastAsia="仿宋" w:cs="Times New Roman"/>
          <w:kern w:val="0"/>
          <w:sz w:val="22"/>
          <w:szCs w:val="22"/>
        </w:rPr>
        <w:br w:type="page"/>
      </w:r>
    </w:p>
    <w:p>
      <w:pPr>
        <w:widowControl/>
        <w:adjustRightInd w:val="0"/>
        <w:snapToGrid w:val="0"/>
        <w:spacing w:after="200"/>
        <w:jc w:val="left"/>
        <w:rPr>
          <w:rFonts w:ascii="仿宋" w:hAnsi="仿宋" w:eastAsia="仿宋" w:cs="Times New Roman"/>
          <w:kern w:val="0"/>
          <w:sz w:val="22"/>
          <w:szCs w:val="22"/>
        </w:rPr>
      </w:pPr>
    </w:p>
    <w:p>
      <w:pPr>
        <w:widowControl/>
        <w:adjustRightInd w:val="0"/>
        <w:snapToGrid w:val="0"/>
        <w:spacing w:after="312" w:afterLines="100"/>
        <w:jc w:val="center"/>
        <w:outlineLvl w:val="0"/>
        <w:rPr>
          <w:rFonts w:ascii="仿宋" w:hAnsi="仿宋" w:eastAsia="仿宋" w:cs="Times New Roman"/>
          <w:b/>
          <w:bCs/>
          <w:kern w:val="0"/>
          <w:sz w:val="36"/>
          <w:szCs w:val="36"/>
        </w:rPr>
      </w:pPr>
      <w:bookmarkStart w:id="910" w:name="_Toc147677312"/>
      <w:bookmarkStart w:id="911" w:name="_Toc151751537"/>
      <w:r>
        <w:rPr>
          <w:rFonts w:hint="eastAsia" w:ascii="仿宋" w:hAnsi="仿宋" w:eastAsia="仿宋" w:cs="Times New Roman"/>
          <w:b/>
          <w:bCs/>
          <w:kern w:val="0"/>
          <w:sz w:val="36"/>
          <w:szCs w:val="36"/>
        </w:rPr>
        <w:t xml:space="preserve">第七章 </w:t>
      </w:r>
      <w:r>
        <w:rPr>
          <w:rFonts w:ascii="Tahoma" w:hAnsi="Tahoma" w:eastAsia="微软雅黑" w:cs="Times New Roman"/>
          <w:kern w:val="0"/>
          <w:sz w:val="22"/>
          <w:szCs w:val="22"/>
        </w:rPr>
        <w:fldChar w:fldCharType="begin"/>
      </w:r>
      <w:r>
        <w:rPr>
          <w:rFonts w:ascii="Tahoma" w:hAnsi="Tahoma" w:eastAsia="微软雅黑" w:cs="Times New Roman"/>
          <w:kern w:val="0"/>
          <w:sz w:val="22"/>
          <w:szCs w:val="22"/>
        </w:rPr>
        <w:instrText xml:space="preserve"> HYPERLINK \l "_Toc432671480" </w:instrText>
      </w:r>
      <w:r>
        <w:rPr>
          <w:rFonts w:ascii="Tahoma" w:hAnsi="Tahoma" w:eastAsia="微软雅黑" w:cs="Times New Roman"/>
          <w:kern w:val="0"/>
          <w:sz w:val="22"/>
          <w:szCs w:val="22"/>
        </w:rPr>
        <w:fldChar w:fldCharType="separate"/>
      </w:r>
      <w:bookmarkStart w:id="912" w:name="_Toc467706482"/>
      <w:bookmarkStart w:id="913" w:name="_Toc468290490"/>
      <w:bookmarkStart w:id="914" w:name="_Toc462220291"/>
      <w:bookmarkStart w:id="915" w:name="_Toc467615253"/>
      <w:bookmarkStart w:id="916" w:name="_Toc19567121"/>
      <w:bookmarkStart w:id="917" w:name="_Toc25705236"/>
      <w:bookmarkStart w:id="918" w:name="_Toc467615593"/>
      <w:bookmarkStart w:id="919" w:name="_Toc471505769"/>
      <w:bookmarkStart w:id="920" w:name="_Toc19567411"/>
      <w:r>
        <w:rPr>
          <w:rFonts w:hint="eastAsia" w:ascii="仿宋" w:hAnsi="仿宋" w:eastAsia="仿宋" w:cs="Times New Roman"/>
          <w:b/>
          <w:bCs/>
          <w:kern w:val="0"/>
          <w:sz w:val="36"/>
          <w:szCs w:val="36"/>
        </w:rPr>
        <w:t>保障措施</w:t>
      </w:r>
      <w:bookmarkEnd w:id="910"/>
      <w:bookmarkEnd w:id="911"/>
      <w:bookmarkEnd w:id="912"/>
      <w:bookmarkEnd w:id="913"/>
      <w:bookmarkEnd w:id="914"/>
      <w:bookmarkEnd w:id="915"/>
      <w:bookmarkEnd w:id="916"/>
      <w:bookmarkEnd w:id="917"/>
      <w:bookmarkEnd w:id="918"/>
      <w:bookmarkEnd w:id="919"/>
      <w:bookmarkEnd w:id="920"/>
      <w:r>
        <w:rPr>
          <w:rFonts w:hint="eastAsia" w:ascii="仿宋" w:hAnsi="仿宋" w:eastAsia="仿宋" w:cs="Times New Roman"/>
          <w:b/>
          <w:bCs/>
          <w:kern w:val="0"/>
          <w:sz w:val="36"/>
          <w:szCs w:val="36"/>
        </w:rPr>
        <w:fldChar w:fldCharType="end"/>
      </w:r>
      <w:bookmarkEnd w:id="892"/>
    </w:p>
    <w:p>
      <w:pPr>
        <w:widowControl/>
        <w:adjustRightInd w:val="0"/>
        <w:snapToGrid w:val="0"/>
        <w:spacing w:after="0" w:line="560" w:lineRule="exact"/>
        <w:ind w:firstLine="560" w:firstLineChars="200"/>
        <w:jc w:val="both"/>
        <w:rPr>
          <w:rFonts w:ascii="仿宋" w:hAnsi="仿宋" w:eastAsia="仿宋" w:cs="Times New Roman"/>
          <w:kern w:val="0"/>
          <w:sz w:val="28"/>
          <w:szCs w:val="28"/>
        </w:rPr>
      </w:pPr>
      <w:r>
        <w:rPr>
          <w:rFonts w:hint="eastAsia" w:ascii="仿宋" w:hAnsi="仿宋" w:eastAsia="仿宋" w:cs="Times New Roman"/>
          <w:kern w:val="0"/>
          <w:sz w:val="28"/>
          <w:szCs w:val="28"/>
        </w:rPr>
        <w:t>各县（市、区）要加强对富硒产业的全面领导和全面统筹，调动各方面资源要素，凝聚全社会有生力量，构建强有力保障措施，形成推动规划实施的强大合力，扎实有序推进富硒产业高质量跨越式发展。</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21" w:name="_Toc19567412"/>
      <w:bookmarkStart w:id="922" w:name="_Toc19567122"/>
      <w:bookmarkStart w:id="923" w:name="_Toc25705237"/>
      <w:bookmarkStart w:id="924" w:name="_Toc467615254"/>
      <w:bookmarkStart w:id="925" w:name="_Toc462220292"/>
      <w:bookmarkStart w:id="926" w:name="_Toc471505770"/>
      <w:bookmarkStart w:id="927" w:name="_Toc467615594"/>
      <w:bookmarkStart w:id="928" w:name="_Toc467706483"/>
      <w:bookmarkStart w:id="929" w:name="_Toc468290491"/>
      <w:bookmarkStart w:id="930" w:name="_Toc28711"/>
      <w:bookmarkStart w:id="931" w:name="_Toc147677313"/>
      <w:r>
        <w:rPr>
          <w:rFonts w:hint="eastAsia" w:ascii="仿宋" w:hAnsi="仿宋" w:eastAsia="仿宋" w:cs="Times New Roman"/>
          <w:b/>
          <w:bCs/>
          <w:kern w:val="0"/>
          <w:sz w:val="28"/>
          <w:szCs w:val="28"/>
        </w:rPr>
        <w:t>——加强组织领导</w:t>
      </w:r>
      <w:bookmarkEnd w:id="921"/>
      <w:bookmarkEnd w:id="922"/>
      <w:bookmarkEnd w:id="923"/>
      <w:bookmarkEnd w:id="924"/>
      <w:bookmarkEnd w:id="925"/>
      <w:bookmarkEnd w:id="926"/>
      <w:bookmarkEnd w:id="927"/>
      <w:bookmarkEnd w:id="928"/>
      <w:bookmarkEnd w:id="929"/>
      <w:r>
        <w:rPr>
          <w:rFonts w:hint="eastAsia" w:ascii="仿宋" w:hAnsi="仿宋" w:eastAsia="仿宋" w:cs="Times New Roman"/>
          <w:b/>
          <w:bCs/>
          <w:kern w:val="0"/>
          <w:sz w:val="28"/>
          <w:szCs w:val="28"/>
        </w:rPr>
        <w:t>，完善体制机制</w:t>
      </w:r>
      <w:bookmarkEnd w:id="930"/>
      <w:bookmarkEnd w:id="931"/>
      <w:r>
        <w:rPr>
          <w:rFonts w:hint="eastAsia" w:ascii="仿宋" w:hAnsi="仿宋" w:eastAsia="仿宋" w:cs="Times New Roman"/>
          <w:b/>
          <w:bCs/>
          <w:kern w:val="0"/>
          <w:sz w:val="28"/>
          <w:szCs w:val="28"/>
        </w:rPr>
        <w:t>。</w:t>
      </w:r>
      <w:r>
        <w:rPr>
          <w:rFonts w:hint="eastAsia" w:ascii="仿宋" w:hAnsi="仿宋" w:eastAsia="仿宋" w:cs="Times New Roman"/>
          <w:kern w:val="0"/>
          <w:sz w:val="28"/>
          <w:szCs w:val="28"/>
        </w:rPr>
        <w:t>强化宜春市</w:t>
      </w:r>
      <w:r>
        <w:rPr>
          <w:rFonts w:ascii="仿宋" w:hAnsi="仿宋" w:eastAsia="仿宋" w:cs="Times New Roman"/>
          <w:kern w:val="0"/>
          <w:sz w:val="28"/>
          <w:szCs w:val="28"/>
        </w:rPr>
        <w:t>富硒产业发展领导小组职能</w:t>
      </w:r>
      <w:r>
        <w:rPr>
          <w:rFonts w:hint="eastAsia" w:ascii="仿宋" w:hAnsi="仿宋" w:eastAsia="仿宋" w:cs="Times New Roman"/>
          <w:kern w:val="0"/>
          <w:sz w:val="28"/>
          <w:szCs w:val="28"/>
        </w:rPr>
        <w:t>，做好全市富硒产业发展的顶层设计和综合调度，全市“一盘棋”高位推动，发挥市县两级书记、市（县）长“双组长制”产业发展领导小组和市硒资源开发利用中心制度优势，统筹推进富硒产业发展。各县（市、区）相关部门形成工作合力，推动产业发展各项任务落实落细落地。构建科研院所、园区、基地、企业等共同参与的产业协作机制、市场运行机制、扶持激励机制和监管评估机制，为富硒产业发展保驾护航。强化富硒绿色食品产业链链长制，将富硒产业发展实绩纳入现代农业建设成效考核，构建工作评价机制，推动创新发展。</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32" w:name="_Toc30885"/>
      <w:bookmarkStart w:id="933" w:name="_Toc147677314"/>
      <w:bookmarkStart w:id="934" w:name="_Toc468290495"/>
      <w:bookmarkStart w:id="935" w:name="_Toc467615595"/>
      <w:bookmarkStart w:id="936" w:name="_Toc462220293"/>
      <w:bookmarkStart w:id="937" w:name="_Toc467706487"/>
      <w:bookmarkStart w:id="938" w:name="_Toc467706484"/>
      <w:bookmarkStart w:id="939" w:name="_Toc467615598"/>
      <w:bookmarkStart w:id="940" w:name="_Toc468290492"/>
      <w:bookmarkStart w:id="941" w:name="_Toc471505774"/>
      <w:bookmarkStart w:id="942" w:name="_Toc467615258"/>
      <w:bookmarkStart w:id="943" w:name="_Toc25705238"/>
      <w:bookmarkStart w:id="944" w:name="_Toc471505771"/>
      <w:bookmarkStart w:id="945" w:name="_Toc25705241"/>
      <w:bookmarkStart w:id="946" w:name="_Toc19567126"/>
      <w:bookmarkStart w:id="947" w:name="_Toc19567123"/>
      <w:bookmarkStart w:id="948" w:name="_Toc19567416"/>
      <w:bookmarkStart w:id="949" w:name="_Toc462220296"/>
      <w:bookmarkStart w:id="950" w:name="_Toc19567413"/>
      <w:bookmarkStart w:id="951" w:name="_Toc467615255"/>
      <w:r>
        <w:rPr>
          <w:rFonts w:hint="eastAsia" w:ascii="仿宋" w:hAnsi="仿宋" w:eastAsia="仿宋" w:cs="Times New Roman"/>
          <w:b/>
          <w:bCs/>
          <w:kern w:val="0"/>
          <w:sz w:val="28"/>
          <w:szCs w:val="28"/>
        </w:rPr>
        <w:t>——加大政策支持，拓宽融资渠道</w:t>
      </w:r>
      <w:bookmarkEnd w:id="932"/>
      <w:bookmarkEnd w:id="933"/>
      <w:r>
        <w:rPr>
          <w:rFonts w:hint="eastAsia" w:ascii="仿宋" w:hAnsi="仿宋" w:eastAsia="仿宋" w:cs="Times New Roman"/>
          <w:kern w:val="0"/>
          <w:sz w:val="28"/>
          <w:szCs w:val="28"/>
        </w:rPr>
        <w:t>。强化富硒产业发展与乡村振兴、农业结构调整、生态文化旅游产业、“强链争先”工程的有机衔接，形成配套产业政策。加大对“八项重大任务”“二十七项重点工程”的投入力度，支持富硒产业相关研究，促进产学研合作、科技成果转化。各级各部门要用好用足中央、省级、宜春市有关强农惠农的政策，鼓励加强富硒产业基地建设、科技创新、标准体系建设和富硒农产品品牌创建。统筹涉农项目资金，支持发展壮大富硒产业园和富硒龙头企业，支持富硒农产品生产保护区、天然富硒土壤保护建设。鼓励富硒产业经营主体参与高标准农田建设、农业结构调整。充分利用金融政策拓宽融资渠道，鼓励金融机构设立面向富硒产业的金融服务产品，完善富硒产业投融资体系，形成财政扶持、企业主体、社会投入的多元化投融资方式。</w:t>
      </w:r>
    </w:p>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52" w:name="_Toc467706485"/>
      <w:bookmarkStart w:id="953" w:name="_Toc468290493"/>
      <w:bookmarkStart w:id="954" w:name="_Toc471505772"/>
      <w:bookmarkStart w:id="955" w:name="_Toc467615256"/>
      <w:bookmarkStart w:id="956" w:name="_Toc467615596"/>
      <w:bookmarkStart w:id="957" w:name="_Toc462220294"/>
      <w:bookmarkStart w:id="958" w:name="_Toc25705239"/>
      <w:bookmarkStart w:id="959" w:name="_Toc19567414"/>
      <w:bookmarkStart w:id="960" w:name="_Toc19567124"/>
      <w:bookmarkStart w:id="961" w:name="_Toc147677315"/>
      <w:bookmarkStart w:id="962" w:name="_Toc18774"/>
      <w:r>
        <w:rPr>
          <w:rFonts w:hint="eastAsia" w:ascii="仿宋" w:hAnsi="仿宋" w:eastAsia="仿宋" w:cs="Times New Roman"/>
          <w:b/>
          <w:bCs/>
          <w:kern w:val="0"/>
          <w:sz w:val="28"/>
          <w:szCs w:val="28"/>
        </w:rPr>
        <w:t>——强化科技支撑</w:t>
      </w:r>
      <w:bookmarkEnd w:id="952"/>
      <w:bookmarkEnd w:id="953"/>
      <w:bookmarkEnd w:id="954"/>
      <w:bookmarkEnd w:id="955"/>
      <w:bookmarkEnd w:id="956"/>
      <w:bookmarkEnd w:id="957"/>
      <w:bookmarkEnd w:id="958"/>
      <w:bookmarkEnd w:id="959"/>
      <w:bookmarkEnd w:id="960"/>
      <w:r>
        <w:rPr>
          <w:rFonts w:hint="eastAsia" w:ascii="仿宋" w:hAnsi="仿宋" w:eastAsia="仿宋" w:cs="Times New Roman"/>
          <w:b/>
          <w:bCs/>
          <w:kern w:val="0"/>
          <w:sz w:val="28"/>
          <w:szCs w:val="28"/>
        </w:rPr>
        <w:t>，夯实人才根基</w:t>
      </w:r>
      <w:bookmarkEnd w:id="961"/>
      <w:bookmarkEnd w:id="962"/>
      <w:r>
        <w:rPr>
          <w:rFonts w:hint="eastAsia" w:ascii="仿宋" w:hAnsi="仿宋" w:eastAsia="仿宋" w:cs="Times New Roman"/>
          <w:kern w:val="0"/>
          <w:sz w:val="28"/>
          <w:szCs w:val="28"/>
        </w:rPr>
        <w:t>。加强引智招才，联合相关科研院所，建立科技研发与应用平台，打造富硒科研创新平台，筹建江西省富硒食品质量检验检测中心（宜春），助力宜春市富硒产业科技创新再上层楼。引入互联网、物联网现代化技术，推动传统产业转型升级，向智慧产业发展，充分利用物联网建设、富硒产品追溯编码建设、富硒产业投入品互联网建设等方面强化质量监督管理；通过信息化引导和服务，促进富硒产品互联网营销，以信息化带动宜春市富硒产业现代化。构建“权威专家+本土科研团队+企业+合作社+基地”科研创新模式，推进国家级富硒产业工程技术研究中心建设，每年组织开展富硒功能农业“院士专家企业行”活动，进一步促进产学研深度融合。</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63" w:name="_Toc467706486"/>
      <w:bookmarkStart w:id="964" w:name="_Toc19567125"/>
      <w:bookmarkStart w:id="965" w:name="_Toc467615597"/>
      <w:bookmarkStart w:id="966" w:name="_Toc25705240"/>
      <w:bookmarkStart w:id="967" w:name="_Toc471505773"/>
      <w:bookmarkStart w:id="968" w:name="_Toc19567415"/>
      <w:bookmarkStart w:id="969" w:name="_Toc462220295"/>
      <w:bookmarkStart w:id="970" w:name="_Toc468290494"/>
      <w:bookmarkStart w:id="971" w:name="_Toc467615257"/>
      <w:bookmarkStart w:id="972" w:name="_Toc1204"/>
      <w:bookmarkStart w:id="973" w:name="_Toc147677316"/>
      <w:r>
        <w:rPr>
          <w:rFonts w:hint="eastAsia" w:ascii="仿宋" w:hAnsi="仿宋" w:eastAsia="仿宋" w:cs="Times New Roman"/>
          <w:b/>
          <w:bCs/>
          <w:kern w:val="0"/>
          <w:sz w:val="28"/>
          <w:szCs w:val="28"/>
        </w:rPr>
        <w:t>——实施品牌战略</w:t>
      </w:r>
      <w:bookmarkEnd w:id="963"/>
      <w:bookmarkEnd w:id="964"/>
      <w:bookmarkEnd w:id="965"/>
      <w:bookmarkEnd w:id="966"/>
      <w:bookmarkEnd w:id="967"/>
      <w:bookmarkEnd w:id="968"/>
      <w:bookmarkEnd w:id="969"/>
      <w:bookmarkEnd w:id="970"/>
      <w:bookmarkEnd w:id="971"/>
      <w:r>
        <w:rPr>
          <w:rFonts w:hint="eastAsia" w:ascii="仿宋" w:hAnsi="仿宋" w:eastAsia="仿宋" w:cs="Times New Roman"/>
          <w:b/>
          <w:bCs/>
          <w:kern w:val="0"/>
          <w:sz w:val="28"/>
          <w:szCs w:val="28"/>
        </w:rPr>
        <w:t>，严格质量管控</w:t>
      </w:r>
      <w:bookmarkEnd w:id="972"/>
      <w:bookmarkEnd w:id="973"/>
      <w:r>
        <w:rPr>
          <w:rFonts w:hint="eastAsia" w:ascii="仿宋" w:hAnsi="仿宋" w:eastAsia="仿宋" w:cs="Times New Roman"/>
          <w:b/>
          <w:bCs/>
          <w:kern w:val="0"/>
          <w:sz w:val="28"/>
          <w:szCs w:val="28"/>
        </w:rPr>
        <w:t>。</w:t>
      </w:r>
      <w:r>
        <w:rPr>
          <w:rFonts w:ascii="仿宋" w:hAnsi="仿宋" w:eastAsia="仿宋" w:cs="Times New Roman"/>
          <w:kern w:val="0"/>
          <w:sz w:val="28"/>
          <w:szCs w:val="28"/>
        </w:rPr>
        <w:t>坚持高端开发路线，</w:t>
      </w:r>
      <w:r>
        <w:rPr>
          <w:rFonts w:hint="eastAsia" w:ascii="仿宋" w:hAnsi="仿宋" w:eastAsia="仿宋" w:cs="Times New Roman"/>
          <w:kern w:val="0"/>
          <w:sz w:val="28"/>
          <w:szCs w:val="28"/>
        </w:rPr>
        <w:t>突出品牌培育，将富硒品牌纳入“世界硒谷·生态宜春”发展战略。</w:t>
      </w:r>
      <w:r>
        <w:rPr>
          <w:rFonts w:ascii="仿宋" w:hAnsi="仿宋" w:eastAsia="仿宋" w:cs="Times New Roman"/>
          <w:kern w:val="0"/>
          <w:sz w:val="28"/>
          <w:szCs w:val="28"/>
        </w:rPr>
        <w:t>实施</w:t>
      </w:r>
      <w:r>
        <w:rPr>
          <w:rFonts w:hint="eastAsia" w:ascii="仿宋" w:hAnsi="仿宋" w:eastAsia="仿宋" w:cs="Times New Roman"/>
          <w:kern w:val="0"/>
          <w:sz w:val="28"/>
          <w:szCs w:val="28"/>
        </w:rPr>
        <w:t>区域</w:t>
      </w:r>
      <w:r>
        <w:rPr>
          <w:rFonts w:ascii="仿宋" w:hAnsi="仿宋" w:eastAsia="仿宋" w:cs="Times New Roman"/>
          <w:kern w:val="0"/>
          <w:sz w:val="28"/>
          <w:szCs w:val="28"/>
        </w:rPr>
        <w:t>品牌、企业品牌、商品品牌</w:t>
      </w:r>
      <w:r>
        <w:rPr>
          <w:rFonts w:hint="eastAsia" w:ascii="仿宋" w:hAnsi="仿宋" w:eastAsia="仿宋" w:cs="Times New Roman"/>
          <w:kern w:val="0"/>
          <w:sz w:val="28"/>
          <w:szCs w:val="28"/>
        </w:rPr>
        <w:t>“</w:t>
      </w:r>
      <w:r>
        <w:rPr>
          <w:rFonts w:ascii="仿宋" w:hAnsi="仿宋" w:eastAsia="仿宋" w:cs="Times New Roman"/>
          <w:kern w:val="0"/>
          <w:sz w:val="28"/>
          <w:szCs w:val="28"/>
        </w:rPr>
        <w:t>三位一体</w:t>
      </w:r>
      <w:r>
        <w:rPr>
          <w:rFonts w:hint="eastAsia" w:ascii="仿宋" w:hAnsi="仿宋" w:eastAsia="仿宋" w:cs="Times New Roman"/>
          <w:kern w:val="0"/>
          <w:sz w:val="28"/>
          <w:szCs w:val="28"/>
        </w:rPr>
        <w:t>”</w:t>
      </w:r>
      <w:r>
        <w:rPr>
          <w:rFonts w:ascii="仿宋" w:hAnsi="仿宋" w:eastAsia="仿宋" w:cs="Times New Roman"/>
          <w:kern w:val="0"/>
          <w:sz w:val="28"/>
          <w:szCs w:val="28"/>
        </w:rPr>
        <w:t>的品牌发展战略，</w:t>
      </w:r>
      <w:r>
        <w:rPr>
          <w:rFonts w:hint="eastAsia" w:ascii="仿宋" w:hAnsi="仿宋" w:eastAsia="仿宋" w:cs="Times New Roman"/>
          <w:kern w:val="0"/>
          <w:sz w:val="28"/>
          <w:szCs w:val="28"/>
        </w:rPr>
        <w:t>不断提升宜春“硒”引力。加强宣传力度，提高群众知晓力。</w:t>
      </w:r>
      <w:r>
        <w:rPr>
          <w:rFonts w:ascii="仿宋" w:hAnsi="仿宋" w:eastAsia="仿宋" w:cs="Times New Roman"/>
          <w:kern w:val="0"/>
          <w:sz w:val="28"/>
          <w:szCs w:val="28"/>
        </w:rPr>
        <w:t>打造一批上规模、上档次、有影响力的富硒龙头企业集群，打造一批特色鲜明、科技含量高、叫得响的拳头产品</w:t>
      </w:r>
      <w:r>
        <w:rPr>
          <w:rFonts w:hint="eastAsia" w:ascii="仿宋" w:hAnsi="仿宋" w:eastAsia="仿宋" w:cs="Times New Roman"/>
          <w:kern w:val="0"/>
          <w:sz w:val="28"/>
          <w:szCs w:val="28"/>
        </w:rPr>
        <w:t>，</w:t>
      </w:r>
      <w:r>
        <w:rPr>
          <w:rFonts w:ascii="仿宋" w:hAnsi="仿宋" w:eastAsia="仿宋" w:cs="Times New Roman"/>
          <w:kern w:val="0"/>
          <w:sz w:val="28"/>
          <w:szCs w:val="28"/>
        </w:rPr>
        <w:t>打造</w:t>
      </w:r>
      <w:r>
        <w:rPr>
          <w:rFonts w:hint="eastAsia" w:ascii="仿宋" w:hAnsi="仿宋" w:eastAsia="仿宋" w:cs="Times New Roman"/>
          <w:kern w:val="0"/>
          <w:sz w:val="28"/>
          <w:szCs w:val="28"/>
        </w:rPr>
        <w:t>成宜春“硒”名片</w:t>
      </w:r>
      <w:r>
        <w:rPr>
          <w:rFonts w:ascii="仿宋" w:hAnsi="仿宋" w:eastAsia="仿宋" w:cs="Times New Roman"/>
          <w:kern w:val="0"/>
          <w:sz w:val="28"/>
          <w:szCs w:val="28"/>
        </w:rPr>
        <w:t>。</w:t>
      </w:r>
      <w:r>
        <w:rPr>
          <w:rFonts w:hint="eastAsia" w:ascii="仿宋" w:hAnsi="仿宋" w:eastAsia="仿宋" w:cs="Times New Roman"/>
          <w:kern w:val="0"/>
          <w:sz w:val="28"/>
          <w:szCs w:val="28"/>
        </w:rPr>
        <w:t>各市县区谋划建设“硒博馆”、举办“硒博会”和富硒专场活动，有序组织电商促销活动，线上线下共同发力，畅通宜春市富硒产品营销渠道。</w:t>
      </w:r>
      <w:r>
        <w:rPr>
          <w:rFonts w:ascii="仿宋" w:hAnsi="仿宋" w:eastAsia="仿宋" w:cs="Times New Roman"/>
          <w:kern w:val="0"/>
          <w:sz w:val="28"/>
          <w:szCs w:val="28"/>
        </w:rPr>
        <w:t>鼓励和支持企业申请专利、地理标志产品</w:t>
      </w:r>
      <w:r>
        <w:rPr>
          <w:rFonts w:hint="eastAsia" w:ascii="仿宋" w:hAnsi="仿宋" w:eastAsia="仿宋" w:cs="Times New Roman"/>
          <w:kern w:val="0"/>
          <w:sz w:val="28"/>
          <w:szCs w:val="28"/>
        </w:rPr>
        <w:t>。规范</w:t>
      </w:r>
      <w:r>
        <w:rPr>
          <w:rFonts w:ascii="仿宋" w:hAnsi="仿宋" w:eastAsia="仿宋" w:cs="Times New Roman"/>
          <w:kern w:val="0"/>
          <w:sz w:val="28"/>
          <w:szCs w:val="28"/>
        </w:rPr>
        <w:t>富硒产品生产质量标准，建立可</w:t>
      </w:r>
      <w:r>
        <w:rPr>
          <w:rFonts w:hint="eastAsia" w:ascii="仿宋" w:hAnsi="仿宋" w:eastAsia="仿宋" w:cs="Times New Roman"/>
          <w:kern w:val="0"/>
          <w:sz w:val="28"/>
          <w:szCs w:val="28"/>
        </w:rPr>
        <w:t>溯源富硒产品</w:t>
      </w:r>
      <w:r>
        <w:rPr>
          <w:rFonts w:ascii="仿宋" w:hAnsi="仿宋" w:eastAsia="仿宋" w:cs="Times New Roman"/>
          <w:kern w:val="0"/>
          <w:sz w:val="28"/>
          <w:szCs w:val="28"/>
        </w:rPr>
        <w:t>质量控制体系</w:t>
      </w:r>
      <w:r>
        <w:rPr>
          <w:rFonts w:hint="eastAsia" w:ascii="仿宋" w:hAnsi="仿宋" w:eastAsia="仿宋" w:cs="Times New Roman"/>
          <w:kern w:val="0"/>
          <w:sz w:val="28"/>
          <w:szCs w:val="28"/>
        </w:rPr>
        <w:t>。加快构建宜春富硒产业“1 +N”的富硒产业品牌体系，规范富硒产品公用品牌、商标的使用，</w:t>
      </w:r>
      <w:r>
        <w:rPr>
          <w:rFonts w:ascii="仿宋" w:hAnsi="仿宋" w:eastAsia="仿宋" w:cs="Times New Roman"/>
          <w:kern w:val="0"/>
          <w:sz w:val="28"/>
          <w:szCs w:val="28"/>
        </w:rPr>
        <w:t>坚决</w:t>
      </w:r>
      <w:r>
        <w:rPr>
          <w:rFonts w:hint="eastAsia" w:ascii="仿宋" w:hAnsi="仿宋" w:eastAsia="仿宋" w:cs="Times New Roman"/>
          <w:kern w:val="0"/>
          <w:sz w:val="28"/>
          <w:szCs w:val="28"/>
        </w:rPr>
        <w:t>抵制</w:t>
      </w:r>
      <w:r>
        <w:rPr>
          <w:rFonts w:ascii="仿宋" w:hAnsi="仿宋" w:eastAsia="仿宋" w:cs="Times New Roman"/>
          <w:kern w:val="0"/>
          <w:sz w:val="28"/>
          <w:szCs w:val="28"/>
        </w:rPr>
        <w:t>影响富硒</w:t>
      </w:r>
      <w:r>
        <w:rPr>
          <w:rFonts w:hint="eastAsia" w:ascii="仿宋" w:hAnsi="仿宋" w:eastAsia="仿宋" w:cs="Times New Roman"/>
          <w:kern w:val="0"/>
          <w:sz w:val="28"/>
          <w:szCs w:val="28"/>
        </w:rPr>
        <w:t>品牌声誉</w:t>
      </w:r>
      <w:r>
        <w:rPr>
          <w:rFonts w:ascii="仿宋" w:hAnsi="仿宋" w:eastAsia="仿宋" w:cs="Times New Roman"/>
          <w:kern w:val="0"/>
          <w:sz w:val="28"/>
          <w:szCs w:val="28"/>
        </w:rPr>
        <w:t>的行为，实行最严格的富硒产品</w:t>
      </w:r>
      <w:r>
        <w:rPr>
          <w:rFonts w:hint="eastAsia" w:ascii="仿宋" w:hAnsi="仿宋" w:eastAsia="仿宋" w:cs="Times New Roman"/>
          <w:kern w:val="0"/>
          <w:sz w:val="28"/>
          <w:szCs w:val="28"/>
        </w:rPr>
        <w:t>质量</w:t>
      </w:r>
      <w:r>
        <w:rPr>
          <w:rFonts w:ascii="仿宋" w:hAnsi="仿宋" w:eastAsia="仿宋" w:cs="Times New Roman"/>
          <w:kern w:val="0"/>
          <w:sz w:val="28"/>
          <w:szCs w:val="28"/>
        </w:rPr>
        <w:t>管控和富硒</w:t>
      </w:r>
      <w:r>
        <w:rPr>
          <w:rFonts w:hint="eastAsia" w:ascii="仿宋" w:hAnsi="仿宋" w:eastAsia="仿宋" w:cs="Times New Roman"/>
          <w:kern w:val="0"/>
          <w:sz w:val="28"/>
          <w:szCs w:val="28"/>
        </w:rPr>
        <w:t>品牌保护战略。</w:t>
      </w:r>
    </w:p>
    <w:p>
      <w:pPr>
        <w:widowControl/>
        <w:adjustRightInd w:val="0"/>
        <w:snapToGrid w:val="0"/>
        <w:spacing w:after="0" w:line="560" w:lineRule="exact"/>
        <w:ind w:firstLine="562" w:firstLineChars="200"/>
        <w:jc w:val="both"/>
        <w:rPr>
          <w:rFonts w:ascii="仿宋" w:hAnsi="仿宋" w:eastAsia="仿宋" w:cs="Times New Roman"/>
          <w:kern w:val="0"/>
          <w:sz w:val="28"/>
          <w:szCs w:val="28"/>
        </w:rPr>
      </w:pPr>
      <w:bookmarkStart w:id="974" w:name="_Toc471505775"/>
      <w:bookmarkStart w:id="975" w:name="_Toc468290496"/>
      <w:bookmarkStart w:id="976" w:name="_Toc19567417"/>
      <w:bookmarkStart w:id="977" w:name="_Toc462220297"/>
      <w:bookmarkStart w:id="978" w:name="_Toc467615599"/>
      <w:bookmarkStart w:id="979" w:name="_Toc25705242"/>
      <w:bookmarkStart w:id="980" w:name="_Toc467615259"/>
      <w:bookmarkStart w:id="981" w:name="_Toc19567127"/>
      <w:bookmarkStart w:id="982" w:name="_Toc467706488"/>
      <w:bookmarkStart w:id="983" w:name="_Toc147677317"/>
      <w:bookmarkStart w:id="984" w:name="_Toc18039"/>
      <w:r>
        <w:rPr>
          <w:rFonts w:hint="eastAsia" w:ascii="仿宋" w:hAnsi="仿宋" w:eastAsia="仿宋" w:cs="Times New Roman"/>
          <w:b/>
          <w:bCs/>
          <w:kern w:val="0"/>
          <w:sz w:val="28"/>
          <w:szCs w:val="28"/>
        </w:rPr>
        <w:t>——优化发展环境</w:t>
      </w:r>
      <w:bookmarkEnd w:id="974"/>
      <w:bookmarkEnd w:id="975"/>
      <w:bookmarkEnd w:id="976"/>
      <w:bookmarkEnd w:id="977"/>
      <w:bookmarkEnd w:id="978"/>
      <w:bookmarkEnd w:id="979"/>
      <w:bookmarkEnd w:id="980"/>
      <w:bookmarkEnd w:id="981"/>
      <w:bookmarkEnd w:id="982"/>
      <w:r>
        <w:rPr>
          <w:rFonts w:hint="eastAsia" w:ascii="仿宋" w:hAnsi="仿宋" w:eastAsia="仿宋" w:cs="Times New Roman"/>
          <w:b/>
          <w:bCs/>
          <w:kern w:val="0"/>
          <w:sz w:val="28"/>
          <w:szCs w:val="28"/>
        </w:rPr>
        <w:t>，严抓考核评估</w:t>
      </w:r>
      <w:bookmarkEnd w:id="983"/>
      <w:bookmarkEnd w:id="984"/>
      <w:r>
        <w:rPr>
          <w:rFonts w:hint="eastAsia" w:ascii="仿宋" w:hAnsi="仿宋" w:eastAsia="仿宋" w:cs="Times New Roman"/>
          <w:kern w:val="0"/>
          <w:sz w:val="28"/>
          <w:szCs w:val="28"/>
        </w:rPr>
        <w:t>。建立健全以宜春市政府为主导，各级地方政府牵头负责的发展机制，转变政府职能，强化服务意识，纵深推进营商优化升级“一号改革工程”，努力打造“政策最优、成本最低、服务最好、办事最快”的“四最”营商环境，打造市场化法治化国际化的一流营商环境。充分调动农户生产积极性，完善奖励补偿机制，由龙头企业给农户提供生产资料、技术等有偿支持，解决因资金短缺、技术薄弱对富硒产业生产的制约。推广“企业+基地+合作社（农户）”模式，带动富硒产业共享经济，实现普遍的增收增效，扩大富硒富民实效。强化富硒产业各项指标数据采集，加强规划实施情况年度监测分析、中期评估和总结评估全过程管理。建立健全跟踪考核机制，考核结果纳入年度专项工作考评体系，做到目标量化、责任细化、进度显化，压实规划实施责任。</w:t>
      </w:r>
    </w:p>
    <w:p>
      <w:pPr>
        <w:widowControl/>
        <w:adjustRightInd/>
        <w:snapToGrid/>
        <w:spacing w:after="0"/>
        <w:jc w:val="left"/>
        <w:rPr>
          <w:rFonts w:ascii="仿宋" w:hAnsi="仿宋" w:eastAsia="仿宋" w:cs="Times New Roman"/>
          <w:kern w:val="0"/>
          <w:sz w:val="22"/>
          <w:szCs w:val="22"/>
        </w:rPr>
      </w:pPr>
    </w:p>
    <w:p>
      <w:pPr>
        <w:widowControl/>
        <w:adjustRightInd w:val="0"/>
        <w:snapToGrid w:val="0"/>
        <w:spacing w:after="200"/>
        <w:jc w:val="center"/>
        <w:rPr>
          <w:rFonts w:hint="eastAsia" w:ascii="仿宋" w:hAnsi="仿宋" w:eastAsia="仿宋" w:cs="Times New Roman"/>
          <w:b/>
          <w:kern w:val="0"/>
          <w:sz w:val="32"/>
          <w:szCs w:val="32"/>
          <w:shd w:val="clear" w:color="auto" w:fill="FFFFFF"/>
          <w:lang w:val="en-US" w:eastAsia="zh-CN"/>
        </w:rPr>
      </w:pPr>
    </w:p>
    <w:sectPr>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ahoma" w:hAnsi="Tahoma" w:eastAsia="微软雅黑" w:cs="Times New Roman"/>
        <w:sz w:val="22"/>
        <w:szCs w:val="22"/>
        <w:lang w:val="en-US" w:eastAsia="zh-CN" w:bidi="ar-SA"/>
      </w:rPr>
      <w:id w:val="-769698122"/>
      <w:docPartObj>
        <w:docPartGallery w:val="autotext"/>
      </w:docPartObj>
    </w:sdtPr>
    <w:sdtEndPr>
      <w:rPr>
        <w:rFonts w:ascii="Tahoma" w:hAnsi="Tahoma" w:eastAsia="微软雅黑" w:cs="Times New Roman"/>
        <w:sz w:val="18"/>
        <w:szCs w:val="18"/>
        <w:lang w:val="en-US" w:eastAsia="zh-CN" w:bidi="ar-SA"/>
      </w:rPr>
    </w:sdtEndPr>
    <w:sdtContent>
      <w:p>
        <w:pPr>
          <w:tabs>
            <w:tab w:val="center" w:pos="4153"/>
            <w:tab w:val="right" w:pos="8306"/>
          </w:tabs>
          <w:adjustRightInd w:val="0"/>
          <w:snapToGrid w:val="0"/>
          <w:spacing w:after="200"/>
          <w:ind w:firstLine="44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w:fldChar w:fldCharType="begin"/>
        </w:r>
        <w:r>
          <w:rPr>
            <w:rFonts w:ascii="Tahoma" w:hAnsi="Tahoma" w:eastAsia="微软雅黑" w:cs="Times New Roman"/>
            <w:sz w:val="18"/>
            <w:szCs w:val="18"/>
            <w:lang w:val="en-US" w:eastAsia="zh-CN" w:bidi="ar-SA"/>
          </w:rPr>
          <w:instrText xml:space="preserve">PAGE   \* MERGEFORMAT</w:instrText>
        </w:r>
        <w:r>
          <w:rPr>
            <w:rFonts w:ascii="Tahoma" w:hAnsi="Tahoma" w:eastAsia="微软雅黑" w:cs="Times New Roman"/>
            <w:sz w:val="18"/>
            <w:szCs w:val="18"/>
            <w:lang w:val="en-US" w:eastAsia="zh-CN" w:bidi="ar-SA"/>
          </w:rPr>
          <w:fldChar w:fldCharType="separate"/>
        </w:r>
        <w:r>
          <w:rPr>
            <w:rFonts w:ascii="Tahoma" w:hAnsi="Tahoma" w:eastAsia="微软雅黑" w:cs="Times New Roman"/>
            <w:sz w:val="18"/>
            <w:szCs w:val="18"/>
            <w:lang w:val="zh-CN" w:eastAsia="zh-CN" w:bidi="ar-SA"/>
          </w:rPr>
          <w:t>50</w:t>
        </w:r>
        <w:r>
          <w:rPr>
            <w:rFonts w:ascii="Tahoma" w:hAnsi="Tahoma" w:eastAsia="微软雅黑" w:cs="Times New Roman"/>
            <w:sz w:val="18"/>
            <w:szCs w:val="18"/>
            <w:lang w:val="en-US" w:eastAsia="zh-CN" w:bidi="ar-S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ahoma" w:hAnsi="Tahoma" w:eastAsia="微软雅黑" w:cs="Times New Roman"/>
        <w:sz w:val="22"/>
        <w:szCs w:val="22"/>
        <w:lang w:val="en-US" w:eastAsia="zh-CN" w:bidi="ar-SA"/>
      </w:rPr>
      <w:id w:val="-769698122"/>
      <w:docPartObj>
        <w:docPartGallery w:val="autotext"/>
      </w:docPartObj>
    </w:sdtPr>
    <w:sdtEndPr>
      <w:rPr>
        <w:rFonts w:ascii="Tahoma" w:hAnsi="Tahoma" w:eastAsia="微软雅黑" w:cs="Times New Roman"/>
        <w:sz w:val="18"/>
        <w:szCs w:val="18"/>
        <w:lang w:val="en-US" w:eastAsia="zh-CN" w:bidi="ar-SA"/>
      </w:rPr>
    </w:sdtEndPr>
    <w:sdtContent>
      <w:p>
        <w:pPr>
          <w:tabs>
            <w:tab w:val="center" w:pos="4153"/>
            <w:tab w:val="right" w:pos="8306"/>
          </w:tabs>
          <w:adjustRightInd w:val="0"/>
          <w:snapToGrid w:val="0"/>
          <w:spacing w:after="200"/>
          <w:ind w:firstLine="44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w:fldChar w:fldCharType="begin"/>
        </w:r>
        <w:r>
          <w:rPr>
            <w:rFonts w:ascii="Tahoma" w:hAnsi="Tahoma" w:eastAsia="微软雅黑" w:cs="Times New Roman"/>
            <w:sz w:val="18"/>
            <w:szCs w:val="18"/>
            <w:lang w:val="en-US" w:eastAsia="zh-CN" w:bidi="ar-SA"/>
          </w:rPr>
          <w:instrText xml:space="preserve">PAGE   \* MERGEFORMAT</w:instrText>
        </w:r>
        <w:r>
          <w:rPr>
            <w:rFonts w:ascii="Tahoma" w:hAnsi="Tahoma" w:eastAsia="微软雅黑" w:cs="Times New Roman"/>
            <w:sz w:val="18"/>
            <w:szCs w:val="18"/>
            <w:lang w:val="en-US" w:eastAsia="zh-CN" w:bidi="ar-SA"/>
          </w:rPr>
          <w:fldChar w:fldCharType="separate"/>
        </w:r>
        <w:r>
          <w:rPr>
            <w:rFonts w:ascii="Tahoma" w:hAnsi="Tahoma" w:eastAsia="微软雅黑" w:cs="Times New Roman"/>
            <w:sz w:val="18"/>
            <w:szCs w:val="18"/>
            <w:lang w:val="zh-CN" w:eastAsia="zh-CN" w:bidi="ar-SA"/>
          </w:rPr>
          <w:t>50</w:t>
        </w:r>
        <w:r>
          <w:rPr>
            <w:rFonts w:ascii="Tahoma" w:hAnsi="Tahoma" w:eastAsia="微软雅黑" w:cs="Times New Roman"/>
            <w:sz w:val="18"/>
            <w:szCs w:val="18"/>
            <w:lang w:val="en-US" w:eastAsia="zh-CN" w:bidi="ar-SA"/>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hMDlhMjkxZmQzZWYwYTc4NmQ0Y2ExOTM0OWZkNzkifQ=="/>
  </w:docVars>
  <w:rsids>
    <w:rsidRoot w:val="00000000"/>
    <w:rsid w:val="0304376D"/>
    <w:rsid w:val="083B3352"/>
    <w:rsid w:val="09C0632E"/>
    <w:rsid w:val="09C15C02"/>
    <w:rsid w:val="09C6146A"/>
    <w:rsid w:val="0B53731F"/>
    <w:rsid w:val="0BEF4CA9"/>
    <w:rsid w:val="0C0F69F6"/>
    <w:rsid w:val="0C15637E"/>
    <w:rsid w:val="0C1E10EA"/>
    <w:rsid w:val="0C281F69"/>
    <w:rsid w:val="0DD423A8"/>
    <w:rsid w:val="0E0A5DCA"/>
    <w:rsid w:val="0E50097E"/>
    <w:rsid w:val="0E527516"/>
    <w:rsid w:val="0EEF7C2C"/>
    <w:rsid w:val="0F44530B"/>
    <w:rsid w:val="130C4392"/>
    <w:rsid w:val="143E22D4"/>
    <w:rsid w:val="14D94748"/>
    <w:rsid w:val="155D0ED5"/>
    <w:rsid w:val="156F5830"/>
    <w:rsid w:val="15E30CD7"/>
    <w:rsid w:val="17FF44C5"/>
    <w:rsid w:val="187E2E5C"/>
    <w:rsid w:val="18890233"/>
    <w:rsid w:val="19033B41"/>
    <w:rsid w:val="1D9D3292"/>
    <w:rsid w:val="1E234B9B"/>
    <w:rsid w:val="1E831DEE"/>
    <w:rsid w:val="1F1A7E37"/>
    <w:rsid w:val="1F996FAD"/>
    <w:rsid w:val="20913F51"/>
    <w:rsid w:val="20F87D04"/>
    <w:rsid w:val="210E7C28"/>
    <w:rsid w:val="22D71C1D"/>
    <w:rsid w:val="238456FF"/>
    <w:rsid w:val="23B51EDC"/>
    <w:rsid w:val="244A180D"/>
    <w:rsid w:val="26277838"/>
    <w:rsid w:val="27070CA1"/>
    <w:rsid w:val="272817B6"/>
    <w:rsid w:val="27870033"/>
    <w:rsid w:val="290A5904"/>
    <w:rsid w:val="290F6532"/>
    <w:rsid w:val="2A2967C7"/>
    <w:rsid w:val="2A524929"/>
    <w:rsid w:val="2B397896"/>
    <w:rsid w:val="2C267E1B"/>
    <w:rsid w:val="2CFB7A75"/>
    <w:rsid w:val="2FB15C4D"/>
    <w:rsid w:val="2FD96910"/>
    <w:rsid w:val="305A0118"/>
    <w:rsid w:val="34741569"/>
    <w:rsid w:val="354E4778"/>
    <w:rsid w:val="35B46497"/>
    <w:rsid w:val="3667350A"/>
    <w:rsid w:val="3B4A3A5D"/>
    <w:rsid w:val="3CFE4647"/>
    <w:rsid w:val="3E2B66CE"/>
    <w:rsid w:val="3E491747"/>
    <w:rsid w:val="3F4028FA"/>
    <w:rsid w:val="3F406678"/>
    <w:rsid w:val="3F4A1C1A"/>
    <w:rsid w:val="417E3DFD"/>
    <w:rsid w:val="41AA074E"/>
    <w:rsid w:val="425A6618"/>
    <w:rsid w:val="42FC2F7B"/>
    <w:rsid w:val="434703D0"/>
    <w:rsid w:val="43CA280D"/>
    <w:rsid w:val="43D63A7D"/>
    <w:rsid w:val="44142E95"/>
    <w:rsid w:val="45363422"/>
    <w:rsid w:val="47656693"/>
    <w:rsid w:val="4AC7411F"/>
    <w:rsid w:val="4BC67321"/>
    <w:rsid w:val="4C4D7146"/>
    <w:rsid w:val="4D57786C"/>
    <w:rsid w:val="4DE77E30"/>
    <w:rsid w:val="4E326C84"/>
    <w:rsid w:val="4FAB1E17"/>
    <w:rsid w:val="4FC27E34"/>
    <w:rsid w:val="50175B49"/>
    <w:rsid w:val="508B3E41"/>
    <w:rsid w:val="53C93D09"/>
    <w:rsid w:val="54FD69B2"/>
    <w:rsid w:val="55943798"/>
    <w:rsid w:val="56376E63"/>
    <w:rsid w:val="566E5A3F"/>
    <w:rsid w:val="57947A7F"/>
    <w:rsid w:val="58896EB8"/>
    <w:rsid w:val="5932754F"/>
    <w:rsid w:val="5B8A7C55"/>
    <w:rsid w:val="5C0728DA"/>
    <w:rsid w:val="5C401F83"/>
    <w:rsid w:val="5D011713"/>
    <w:rsid w:val="5DA62893"/>
    <w:rsid w:val="5DFB598F"/>
    <w:rsid w:val="5E174F66"/>
    <w:rsid w:val="6094289E"/>
    <w:rsid w:val="60A5089F"/>
    <w:rsid w:val="63043D0B"/>
    <w:rsid w:val="631D4DCC"/>
    <w:rsid w:val="63225CDF"/>
    <w:rsid w:val="64787BF2"/>
    <w:rsid w:val="672310A8"/>
    <w:rsid w:val="679C6C08"/>
    <w:rsid w:val="67DE7C6D"/>
    <w:rsid w:val="69735746"/>
    <w:rsid w:val="69925649"/>
    <w:rsid w:val="6AC164DF"/>
    <w:rsid w:val="6C861C34"/>
    <w:rsid w:val="6D8C142E"/>
    <w:rsid w:val="6F751AEC"/>
    <w:rsid w:val="6FF64254"/>
    <w:rsid w:val="706978A3"/>
    <w:rsid w:val="71E74F23"/>
    <w:rsid w:val="742230DC"/>
    <w:rsid w:val="744E128A"/>
    <w:rsid w:val="74512BC5"/>
    <w:rsid w:val="777E65A3"/>
    <w:rsid w:val="77F51A1C"/>
    <w:rsid w:val="78CF4963"/>
    <w:rsid w:val="78D9133E"/>
    <w:rsid w:val="79393B8B"/>
    <w:rsid w:val="7A122D59"/>
    <w:rsid w:val="7A513882"/>
    <w:rsid w:val="7C3A2A38"/>
    <w:rsid w:val="7C647170"/>
    <w:rsid w:val="7D3424F8"/>
    <w:rsid w:val="7DEB13D7"/>
    <w:rsid w:val="7E6D1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1013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2023-11-27T03:12:00Z</dcterms:created>
  <dc:creator>Administrator</dc:creator>
  <cp:lastModifiedBy>梦回唐朝</cp:lastModifiedBy>
  <cp:lastPrinted>2023-11-27T07:20:00Z</cp:lastPrinted>
  <dcterms:modified xsi:type="dcterms:W3CDTF">2024-01-24T06:50:17Z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17AC10B7E23E455DBE9408B35AC89973_12</vt:lpwstr>
  </property>
</Properties>
</file>